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DAC0B">
      <w:pPr>
        <w:widowControl/>
        <w:spacing w:before="240" w:beforeLines="100" w:after="240" w:afterLines="100" w:line="360" w:lineRule="auto"/>
        <w:ind w:right="0"/>
        <w:jc w:val="center"/>
        <w:rPr>
          <w:rFonts w:ascii="Helvetica Neue" w:hAnsi="Helvetica Neue" w:eastAsia="Helvetica Neue" w:cs="Helvetica Neue"/>
          <w:b/>
          <w:bCs/>
          <w:color w:val="0E0E0E"/>
          <w:kern w:val="0"/>
          <w:sz w:val="28"/>
          <w:szCs w:val="28"/>
          <w:lang w:bidi="ar"/>
        </w:rPr>
      </w:pPr>
      <w:r>
        <w:rPr>
          <w:rFonts w:ascii="Times New Roman" w:hAnsi="Times New Roman" w:cs="Times New Roman"/>
          <w:b/>
          <w:bCs/>
          <w:sz w:val="32"/>
          <w:szCs w:val="32"/>
        </w:rPr>
        <w:t>From Scientific Literature to Alloy Discovery: A Corpus–Topic–Document Framework for Copper Alloy Informatics</w:t>
      </w:r>
      <w:bookmarkStart w:id="0" w:name="_GoBack"/>
      <w:bookmarkEnd w:id="0"/>
    </w:p>
    <w:p w14:paraId="3652DB1F">
      <w:pPr>
        <w:spacing w:line="360" w:lineRule="auto"/>
        <w:jc w:val="center"/>
        <w:rPr>
          <w:b/>
          <w:color w:val="000000"/>
          <w:sz w:val="24"/>
          <w:vertAlign w:val="superscript"/>
        </w:rPr>
      </w:pPr>
      <w:r>
        <w:rPr>
          <w:rFonts w:hint="eastAsia" w:ascii="Times New Roman" w:hAnsi="Times New Roman" w:cs="Times New Roman"/>
          <w:b/>
          <w:bCs/>
          <w:sz w:val="24"/>
        </w:rPr>
        <w:t>Zixuan Zhao</w:t>
      </w:r>
      <w:r>
        <w:rPr>
          <w:b/>
          <w:color w:val="000000"/>
          <w:sz w:val="26"/>
          <w:szCs w:val="26"/>
          <w:vertAlign w:val="superscript"/>
        </w:rPr>
        <w:t>1</w:t>
      </w:r>
      <w:r>
        <w:rPr>
          <w:b/>
          <w:color w:val="000000"/>
          <w:sz w:val="26"/>
          <w:szCs w:val="26"/>
        </w:rPr>
        <w:t>,</w:t>
      </w:r>
      <w:r>
        <w:rPr>
          <w:rFonts w:hint="default"/>
          <w:b/>
          <w:color w:val="000000"/>
          <w:sz w:val="26"/>
          <w:szCs w:val="26"/>
          <w:lang w:val="en-US"/>
        </w:rPr>
        <w:t xml:space="preserve"> </w:t>
      </w:r>
      <w:r>
        <w:rPr>
          <w:rFonts w:ascii="Times New Roman" w:hAnsi="Times New Roman" w:cs="Times New Roman"/>
          <w:b/>
          <w:bCs/>
          <w:sz w:val="24"/>
        </w:rPr>
        <w:t>Zhikang Xie</w:t>
      </w:r>
      <w:r>
        <w:rPr>
          <w:b/>
          <w:color w:val="000000"/>
          <w:sz w:val="26"/>
          <w:szCs w:val="26"/>
          <w:vertAlign w:val="superscript"/>
        </w:rPr>
        <w:t>1</w:t>
      </w:r>
      <w:r>
        <w:rPr>
          <w:b/>
          <w:color w:val="000000"/>
          <w:sz w:val="26"/>
          <w:szCs w:val="26"/>
        </w:rPr>
        <w:t xml:space="preserve">, </w:t>
      </w:r>
      <w:r>
        <w:rPr>
          <w:rFonts w:hint="eastAsia" w:ascii="Times New Roman" w:hAnsi="Times New Roman" w:cs="Times New Roman"/>
          <w:b/>
          <w:bCs/>
          <w:sz w:val="24"/>
        </w:rPr>
        <w:t>Fei Tan</w:t>
      </w:r>
      <w:r>
        <w:rPr>
          <w:b/>
          <w:color w:val="000000"/>
          <w:sz w:val="26"/>
          <w:szCs w:val="26"/>
          <w:vertAlign w:val="superscript"/>
        </w:rPr>
        <w:t>1</w:t>
      </w:r>
      <w:r>
        <w:rPr>
          <w:b/>
          <w:color w:val="000000"/>
          <w:sz w:val="26"/>
          <w:szCs w:val="26"/>
        </w:rPr>
        <w:t xml:space="preserve">, </w:t>
      </w:r>
      <w:r>
        <w:rPr>
          <w:rFonts w:ascii="Times New Roman" w:hAnsi="Times New Roman" w:cs="Times New Roman"/>
          <w:b/>
          <w:bCs/>
          <w:sz w:val="24"/>
        </w:rPr>
        <w:t>Peiyun Chen</w:t>
      </w:r>
      <w:r>
        <w:rPr>
          <w:b/>
          <w:color w:val="000000"/>
          <w:sz w:val="26"/>
          <w:szCs w:val="26"/>
          <w:vertAlign w:val="superscript"/>
        </w:rPr>
        <w:t>1</w:t>
      </w:r>
      <w:r>
        <w:rPr>
          <w:b/>
          <w:color w:val="000000"/>
          <w:sz w:val="26"/>
          <w:szCs w:val="26"/>
        </w:rPr>
        <w:t xml:space="preserve">, </w:t>
      </w:r>
      <w:r>
        <w:rPr>
          <w:rFonts w:ascii="Times New Roman" w:hAnsi="Times New Roman" w:cs="Times New Roman"/>
          <w:b/>
          <w:bCs/>
          <w:sz w:val="24"/>
        </w:rPr>
        <w:t>Yanbin Jiang</w:t>
      </w:r>
      <w:r>
        <w:rPr>
          <w:b/>
          <w:color w:val="000000"/>
          <w:sz w:val="26"/>
          <w:szCs w:val="26"/>
          <w:vertAlign w:val="superscript"/>
        </w:rPr>
        <w:t>1*</w:t>
      </w:r>
      <w:r>
        <w:rPr>
          <w:b/>
          <w:color w:val="000000"/>
          <w:sz w:val="26"/>
          <w:szCs w:val="26"/>
        </w:rPr>
        <w:t xml:space="preserve">, </w:t>
      </w:r>
      <w:r>
        <w:rPr>
          <w:rFonts w:hint="eastAsia" w:ascii="Times New Roman" w:hAnsi="Times New Roman" w:cs="Times New Roman"/>
          <w:b/>
          <w:bCs/>
          <w:sz w:val="24"/>
        </w:rPr>
        <w:t>Tong Xie</w:t>
      </w:r>
      <w:r>
        <w:rPr>
          <w:b/>
          <w:color w:val="000000"/>
          <w:sz w:val="26"/>
          <w:szCs w:val="26"/>
          <w:vertAlign w:val="superscript"/>
        </w:rPr>
        <w:t>2,3*</w:t>
      </w:r>
      <w:r>
        <w:rPr>
          <w:b/>
          <w:color w:val="000000"/>
          <w:sz w:val="26"/>
          <w:szCs w:val="26"/>
        </w:rPr>
        <w:t>,</w:t>
      </w:r>
      <w:r>
        <w:rPr>
          <w:rFonts w:ascii="Times New Roman" w:hAnsi="Times New Roman" w:cs="Times New Roman"/>
          <w:b/>
          <w:bCs/>
          <w:sz w:val="24"/>
        </w:rPr>
        <w:t xml:space="preserve"> </w:t>
      </w:r>
      <w:r>
        <w:rPr>
          <w:rFonts w:hint="eastAsia" w:ascii="Times New Roman" w:hAnsi="Times New Roman" w:cs="Times New Roman"/>
          <w:b/>
          <w:bCs/>
          <w:sz w:val="24"/>
        </w:rPr>
        <w:t>Wei Chen</w:t>
      </w:r>
      <w:r>
        <w:rPr>
          <w:b/>
          <w:color w:val="000000"/>
          <w:sz w:val="26"/>
          <w:szCs w:val="26"/>
          <w:vertAlign w:val="superscript"/>
        </w:rPr>
        <w:t>1</w:t>
      </w:r>
      <w:r>
        <w:rPr>
          <w:b/>
          <w:color w:val="000000"/>
          <w:sz w:val="26"/>
          <w:szCs w:val="26"/>
        </w:rPr>
        <w:t xml:space="preserve">, </w:t>
      </w:r>
      <w:r>
        <w:rPr>
          <w:rFonts w:hint="default" w:ascii="Times New Roman" w:hAnsi="Times New Roman" w:cs="Times New Roman"/>
          <w:b/>
          <w:bCs/>
          <w:sz w:val="24"/>
          <w:lang w:val="en-US"/>
        </w:rPr>
        <w:t>Haoran</w:t>
      </w:r>
      <w:r>
        <w:rPr>
          <w:rFonts w:hint="eastAsia" w:ascii="Times New Roman" w:hAnsi="Times New Roman" w:cs="Times New Roman"/>
          <w:b/>
          <w:bCs/>
          <w:sz w:val="24"/>
        </w:rPr>
        <w:t xml:space="preserve"> </w:t>
      </w:r>
      <w:r>
        <w:rPr>
          <w:rFonts w:hint="default" w:ascii="Times New Roman" w:hAnsi="Times New Roman" w:cs="Times New Roman"/>
          <w:b/>
          <w:bCs/>
          <w:sz w:val="24"/>
          <w:lang w:val="en-US"/>
        </w:rPr>
        <w:t>Ouyang</w:t>
      </w:r>
      <w:r>
        <w:rPr>
          <w:b/>
          <w:color w:val="000000"/>
          <w:sz w:val="26"/>
          <w:szCs w:val="26"/>
          <w:vertAlign w:val="superscript"/>
        </w:rPr>
        <w:t>1</w:t>
      </w:r>
      <w:r>
        <w:rPr>
          <w:b/>
          <w:color w:val="000000"/>
          <w:sz w:val="26"/>
          <w:szCs w:val="26"/>
        </w:rPr>
        <w:t xml:space="preserve">, </w:t>
      </w:r>
      <w:r>
        <w:rPr>
          <w:rFonts w:hint="default" w:ascii="Times New Roman" w:hAnsi="Times New Roman" w:cs="Times New Roman"/>
          <w:b/>
          <w:bCs/>
          <w:color w:val="auto"/>
          <w:sz w:val="24"/>
          <w:szCs w:val="24"/>
          <w:lang w:val="en-US" w:eastAsia="zh-CN"/>
        </w:rPr>
        <w:t>Jin</w:t>
      </w:r>
      <w:r>
        <w:rPr>
          <w:rFonts w:hint="eastAsia" w:ascii="Times New Roman" w:hAnsi="Times New Roman" w:cs="Times New Roman"/>
          <w:b/>
          <w:bCs/>
          <w:sz w:val="24"/>
          <w:szCs w:val="24"/>
          <w:lang w:val="en-US" w:eastAsia="zh-CN"/>
        </w:rPr>
        <w:t>g</w:t>
      </w:r>
      <w:r>
        <w:rPr>
          <w:rFonts w:hint="default" w:ascii="Times New Roman" w:hAnsi="Times New Roman" w:cs="Times New Roman"/>
          <w:b/>
          <w:bCs/>
          <w:color w:val="auto"/>
          <w:sz w:val="24"/>
          <w:szCs w:val="24"/>
          <w:lang w:val="en-US" w:eastAsia="zh-CN"/>
        </w:rPr>
        <w:t xml:space="preserve"> He</w:t>
      </w:r>
      <w:r>
        <w:rPr>
          <w:b/>
          <w:color w:val="000000"/>
          <w:sz w:val="26"/>
          <w:szCs w:val="26"/>
          <w:vertAlign w:val="superscript"/>
        </w:rPr>
        <w:t>1</w:t>
      </w:r>
      <w:r>
        <w:rPr>
          <w:rFonts w:hint="eastAsia"/>
          <w:b/>
          <w:color w:val="000000"/>
          <w:sz w:val="26"/>
          <w:szCs w:val="26"/>
          <w:lang w:val="en-US" w:eastAsia="zh-CN"/>
        </w:rPr>
        <w:t>,</w:t>
      </w:r>
      <w:r>
        <w:rPr>
          <w:rFonts w:hint="default" w:ascii="Times New Roman" w:hAnsi="Times New Roman" w:cs="Times New Roman"/>
          <w:b/>
          <w:bCs/>
          <w:sz w:val="24"/>
          <w:lang w:val="en-US"/>
        </w:rPr>
        <w:t>Wenqin Xu</w:t>
      </w:r>
      <w:r>
        <w:rPr>
          <w:b/>
          <w:color w:val="000000"/>
          <w:sz w:val="26"/>
          <w:szCs w:val="26"/>
          <w:vertAlign w:val="superscript"/>
        </w:rPr>
        <w:t>1</w:t>
      </w:r>
      <w:r>
        <w:rPr>
          <w:b/>
          <w:color w:val="000000"/>
          <w:sz w:val="26"/>
          <w:szCs w:val="26"/>
        </w:rPr>
        <w:t xml:space="preserve">, </w:t>
      </w:r>
      <w:r>
        <w:rPr>
          <w:rFonts w:hint="eastAsia" w:ascii="Times New Roman" w:hAnsi="Times New Roman" w:cs="Times New Roman"/>
          <w:b/>
          <w:bCs/>
          <w:sz w:val="24"/>
        </w:rPr>
        <w:t>Yanpeng Ye</w:t>
      </w:r>
      <w:r>
        <w:rPr>
          <w:b/>
          <w:color w:val="000000"/>
          <w:sz w:val="26"/>
          <w:szCs w:val="26"/>
          <w:vertAlign w:val="superscript"/>
        </w:rPr>
        <w:t>4</w:t>
      </w:r>
      <w:r>
        <w:rPr>
          <w:b/>
          <w:color w:val="000000"/>
          <w:sz w:val="26"/>
          <w:szCs w:val="26"/>
        </w:rPr>
        <w:t xml:space="preserve">, </w:t>
      </w:r>
      <w:r>
        <w:rPr>
          <w:rFonts w:ascii="Times New Roman" w:hAnsi="Times New Roman" w:cs="Times New Roman"/>
          <w:b/>
          <w:bCs/>
          <w:sz w:val="24"/>
        </w:rPr>
        <w:t>Guofu Xu</w:t>
      </w:r>
      <w:r>
        <w:rPr>
          <w:b/>
          <w:color w:val="000000"/>
          <w:sz w:val="26"/>
          <w:szCs w:val="26"/>
          <w:vertAlign w:val="superscript"/>
        </w:rPr>
        <w:t>1</w:t>
      </w:r>
      <w:r>
        <w:rPr>
          <w:b/>
          <w:color w:val="000000"/>
          <w:sz w:val="26"/>
          <w:szCs w:val="26"/>
        </w:rPr>
        <w:t xml:space="preserve">, </w:t>
      </w:r>
      <w:r>
        <w:rPr>
          <w:rFonts w:ascii="Times New Roman" w:hAnsi="Times New Roman" w:cs="Times New Roman"/>
          <w:b/>
          <w:bCs/>
          <w:sz w:val="24"/>
          <w:szCs w:val="28"/>
        </w:rPr>
        <w:t>Byungju Lee</w:t>
      </w:r>
      <w:r>
        <w:rPr>
          <w:b/>
          <w:color w:val="000000"/>
          <w:sz w:val="26"/>
          <w:szCs w:val="26"/>
          <w:vertAlign w:val="superscript"/>
        </w:rPr>
        <w:t>5,6</w:t>
      </w:r>
      <w:r>
        <w:rPr>
          <w:rFonts w:ascii="Times New Roman" w:hAnsi="Times New Roman" w:cs="Times New Roman"/>
          <w:b/>
          <w:bCs/>
          <w:sz w:val="24"/>
        </w:rPr>
        <w:t xml:space="preserve">, </w:t>
      </w:r>
      <w:r>
        <w:rPr>
          <w:rFonts w:hint="default" w:ascii="Times New Roman" w:hAnsi="Times New Roman" w:cs="Times New Roman"/>
          <w:b/>
          <w:bCs/>
          <w:sz w:val="24"/>
          <w:lang w:val="en-US"/>
        </w:rPr>
        <w:t xml:space="preserve">  </w:t>
      </w:r>
      <w:r>
        <w:rPr>
          <w:rFonts w:hint="eastAsia" w:ascii="Times New Roman" w:hAnsi="Times New Roman" w:cs="Times New Roman"/>
          <w:b/>
          <w:bCs/>
          <w:sz w:val="24"/>
        </w:rPr>
        <w:t>Z</w:t>
      </w:r>
      <w:r>
        <w:rPr>
          <w:rFonts w:ascii="Times New Roman" w:hAnsi="Times New Roman" w:cs="Times New Roman"/>
          <w:b/>
          <w:bCs/>
          <w:sz w:val="24"/>
        </w:rPr>
        <w:t>hou Li</w:t>
      </w:r>
      <w:r>
        <w:rPr>
          <w:b/>
          <w:color w:val="000000"/>
          <w:sz w:val="26"/>
          <w:szCs w:val="26"/>
          <w:vertAlign w:val="superscript"/>
        </w:rPr>
        <w:t>1</w:t>
      </w:r>
    </w:p>
    <w:p w14:paraId="41AF455C">
      <w:pPr>
        <w:spacing w:line="360" w:lineRule="auto"/>
        <w:ind w:firstLine="480" w:firstLineChars="200"/>
        <w:rPr>
          <w:rFonts w:ascii="Arial" w:hAnsi="Arial" w:cs="Arial"/>
          <w:sz w:val="24"/>
        </w:rPr>
      </w:pPr>
      <w:r>
        <w:rPr>
          <w:rFonts w:ascii="Arial" w:hAnsi="Arial" w:cs="Arial"/>
          <w:sz w:val="24"/>
        </w:rPr>
        <w:t>1 School of Materials Science and Engineering, Central South University, Changsha, 410083, PR China.</w:t>
      </w:r>
    </w:p>
    <w:p w14:paraId="7C04A2B9">
      <w:pPr>
        <w:spacing w:line="360" w:lineRule="auto"/>
        <w:ind w:firstLine="480" w:firstLineChars="200"/>
        <w:rPr>
          <w:rFonts w:ascii="Arial" w:hAnsi="Arial" w:cs="Arial"/>
          <w:sz w:val="24"/>
        </w:rPr>
      </w:pPr>
      <w:r>
        <w:rPr>
          <w:rFonts w:ascii="Arial" w:hAnsi="Arial" w:cs="Arial"/>
          <w:sz w:val="24"/>
        </w:rPr>
        <w:t>2 School of Photovoltaic and Renewable Energy Engineering, University of New South Wales, Kensington, NSW, Australia.</w:t>
      </w:r>
    </w:p>
    <w:p w14:paraId="58E39E46">
      <w:pPr>
        <w:spacing w:line="360" w:lineRule="auto"/>
        <w:ind w:firstLine="480" w:firstLineChars="200"/>
        <w:rPr>
          <w:rFonts w:ascii="Arial" w:hAnsi="Arial" w:cs="Arial"/>
          <w:sz w:val="24"/>
        </w:rPr>
      </w:pPr>
      <w:r>
        <w:rPr>
          <w:rFonts w:ascii="Arial" w:hAnsi="Arial" w:cs="Arial"/>
          <w:sz w:val="24"/>
        </w:rPr>
        <w:t>3 Green Dynamics, Sydney, 2000, Australia.</w:t>
      </w:r>
    </w:p>
    <w:p w14:paraId="2F3BC211">
      <w:pPr>
        <w:spacing w:line="360" w:lineRule="auto"/>
        <w:ind w:firstLine="480" w:firstLineChars="200"/>
        <w:rPr>
          <w:rFonts w:ascii="Arial" w:hAnsi="Arial" w:cs="Arial"/>
          <w:sz w:val="24"/>
        </w:rPr>
      </w:pPr>
      <w:r>
        <w:rPr>
          <w:rFonts w:ascii="Arial" w:hAnsi="Arial" w:cs="Arial"/>
          <w:sz w:val="24"/>
        </w:rPr>
        <w:t>4 Physical Sciences and Engineering Division, King Abdullah University of Science and Technology (KAUST), Thuwal 23955-6900, Saudi Arabia.</w:t>
      </w:r>
    </w:p>
    <w:p w14:paraId="2290C977">
      <w:pPr>
        <w:spacing w:line="360" w:lineRule="auto"/>
        <w:ind w:firstLine="480" w:firstLineChars="200"/>
        <w:rPr>
          <w:rFonts w:ascii="Arial" w:hAnsi="Arial" w:cs="Arial"/>
          <w:sz w:val="24"/>
        </w:rPr>
      </w:pPr>
      <w:r>
        <w:rPr>
          <w:rFonts w:ascii="Arial" w:hAnsi="Arial" w:cs="Arial"/>
          <w:sz w:val="24"/>
        </w:rPr>
        <w:t>5 Department of Materials Science and Engineering, Korea University, Seoul, Republic of Korea</w:t>
      </w:r>
    </w:p>
    <w:p w14:paraId="278D920E">
      <w:pPr>
        <w:spacing w:line="360" w:lineRule="auto"/>
        <w:ind w:firstLine="480" w:firstLineChars="200"/>
        <w:rPr>
          <w:rFonts w:ascii="Arial" w:hAnsi="Arial" w:cs="Arial"/>
          <w:sz w:val="24"/>
        </w:rPr>
      </w:pPr>
      <w:r>
        <w:rPr>
          <w:rFonts w:ascii="Arial" w:hAnsi="Arial" w:cs="Arial"/>
          <w:sz w:val="24"/>
        </w:rPr>
        <w:t>6 Nanoscience and Technology, KIST School, University of Science and Technology, Seoul, Republic of Korea.</w:t>
      </w:r>
    </w:p>
    <w:p w14:paraId="7D28E2EC">
      <w:pPr>
        <w:spacing w:line="360" w:lineRule="auto"/>
        <w:ind w:firstLine="480" w:firstLineChars="200"/>
        <w:rPr>
          <w:rFonts w:ascii="Arial" w:hAnsi="Arial" w:cs="Arial"/>
          <w:sz w:val="24"/>
        </w:rPr>
      </w:pPr>
    </w:p>
    <w:p w14:paraId="4A1492B7">
      <w:pPr>
        <w:spacing w:line="360" w:lineRule="auto"/>
        <w:rPr>
          <w:rFonts w:ascii="Times New Roman" w:hAnsi="Times New Roman" w:cs="Times New Roman"/>
          <w:sz w:val="24"/>
        </w:rPr>
      </w:pPr>
      <w:r>
        <w:rPr>
          <w:rFonts w:ascii="Times New Roman" w:hAnsi="Times New Roman" w:cs="Times New Roman"/>
          <w:sz w:val="24"/>
        </w:rPr>
        <w:t xml:space="preserve">* Corresponding authors: </w:t>
      </w:r>
      <w:r>
        <w:rPr>
          <w:rFonts w:ascii="Times New Roman Bold" w:hAnsi="Times New Roman Bold" w:cs="Times New Roman Bold"/>
          <w:b/>
          <w:bCs/>
          <w:sz w:val="24"/>
        </w:rPr>
        <w:t>Yanbin Jiang</w:t>
      </w:r>
      <w:r>
        <w:rPr>
          <w:rFonts w:ascii="Times New Roman" w:hAnsi="Times New Roman" w:cs="Times New Roman"/>
          <w:sz w:val="24"/>
        </w:rPr>
        <w:t xml:space="preserve"> ( </w:t>
      </w:r>
      <w:r>
        <w:fldChar w:fldCharType="begin"/>
      </w:r>
      <w:r>
        <w:instrText xml:space="preserve"> HYPERLINK "mailto:jiangyanbin@tsinghua.org.cn" </w:instrText>
      </w:r>
      <w:r>
        <w:fldChar w:fldCharType="separate"/>
      </w:r>
      <w:r>
        <w:rPr>
          <w:rStyle w:val="13"/>
          <w:rFonts w:ascii="Times New Roman" w:hAnsi="Times New Roman" w:cs="Times New Roman"/>
          <w:sz w:val="24"/>
        </w:rPr>
        <w:t>jiangyanbin@tsinghua.org.cn</w:t>
      </w:r>
      <w:r>
        <w:rPr>
          <w:rStyle w:val="13"/>
          <w:rFonts w:ascii="Times New Roman" w:hAnsi="Times New Roman" w:cs="Times New Roman"/>
          <w:sz w:val="24"/>
        </w:rPr>
        <w:fldChar w:fldCharType="end"/>
      </w:r>
      <w:r>
        <w:rPr>
          <w:rFonts w:ascii="Times New Roman" w:hAnsi="Times New Roman" w:cs="Times New Roman"/>
          <w:sz w:val="24"/>
        </w:rPr>
        <w:t xml:space="preserve"> ). </w:t>
      </w:r>
    </w:p>
    <w:p w14:paraId="1FAC667B">
      <w:pPr>
        <w:spacing w:line="360" w:lineRule="auto"/>
        <w:ind w:firstLine="2523" w:firstLineChars="1050"/>
        <w:rPr>
          <w:rFonts w:ascii="Times New Roman" w:hAnsi="Times New Roman" w:cs="Times New Roman"/>
          <w:sz w:val="24"/>
        </w:rPr>
      </w:pPr>
      <w:r>
        <w:rPr>
          <w:rFonts w:hint="eastAsia" w:ascii="Times New Roman" w:hAnsi="Times New Roman" w:cs="Times New Roman"/>
          <w:b/>
          <w:bCs/>
          <w:sz w:val="24"/>
        </w:rPr>
        <w:t>Tong Xie</w:t>
      </w:r>
      <w:r>
        <w:rPr>
          <w:rFonts w:hint="default" w:ascii="Times New Roman" w:hAnsi="Times New Roman" w:cs="Times New Roman"/>
          <w:b/>
          <w:bCs/>
          <w:sz w:val="24"/>
          <w:lang w:val="en-US"/>
        </w:rPr>
        <w:t xml:space="preserve"> (</w:t>
      </w:r>
      <w:r>
        <w:rPr>
          <w:rFonts w:hint="default" w:ascii="Times New Roman" w:hAnsi="Times New Roman" w:cs="Times New Roman"/>
          <w:sz w:val="24"/>
        </w:rPr>
        <w:t>tong.xie@unsw.edu.au</w:t>
      </w:r>
      <w:r>
        <w:rPr>
          <w:rFonts w:hint="default" w:ascii="Times New Roman" w:hAnsi="Times New Roman" w:cs="Times New Roman"/>
          <w:sz w:val="24"/>
          <w:lang w:val="en-US"/>
        </w:rPr>
        <w:t>)</w:t>
      </w:r>
      <w:r>
        <w:rPr>
          <w:rFonts w:ascii="Times New Roman" w:hAnsi="Times New Roman" w:cs="Times New Roman"/>
          <w:sz w:val="24"/>
        </w:rPr>
        <w:t xml:space="preserve">. </w:t>
      </w:r>
    </w:p>
    <w:p w14:paraId="0BF4285D">
      <w:pPr>
        <w:spacing w:line="360" w:lineRule="auto"/>
        <w:ind w:firstLine="0" w:firstLineChars="0"/>
        <w:rPr>
          <w:rFonts w:ascii="Arial" w:hAnsi="Arial" w:cs="Arial"/>
          <w:sz w:val="24"/>
        </w:rPr>
      </w:pPr>
    </w:p>
    <w:p w14:paraId="687C7DBD">
      <w:pPr>
        <w:pStyle w:val="14"/>
        <w:spacing w:beforeAutospacing="0" w:afterAutospacing="0" w:line="360" w:lineRule="auto"/>
        <w:rPr>
          <w:rFonts w:hint="eastAsia" w:eastAsia="Times New Roman"/>
          <w:b/>
          <w:bCs/>
          <w:sz w:val="28"/>
          <w:szCs w:val="28"/>
        </w:rPr>
      </w:pPr>
      <w:r>
        <w:rPr>
          <w:rFonts w:eastAsia="Times New Roman"/>
          <w:b/>
          <w:bCs/>
          <w:sz w:val="28"/>
          <w:szCs w:val="28"/>
        </w:rPr>
        <w:t>Abstract</w:t>
      </w:r>
      <w:r>
        <w:rPr>
          <w:rFonts w:hint="eastAsia" w:eastAsia="Times New Roman"/>
          <w:b/>
          <w:bCs/>
          <w:sz w:val="28"/>
          <w:szCs w:val="28"/>
        </w:rPr>
        <w:t>：</w:t>
      </w:r>
    </w:p>
    <w:p w14:paraId="41A3DE72">
      <w:pPr>
        <w:pStyle w:val="14"/>
        <w:spacing w:beforeAutospacing="0" w:afterAutospacing="0" w:line="360" w:lineRule="auto"/>
        <w:ind w:firstLine="480" w:firstLineChars="200"/>
        <w:jc w:val="both"/>
        <w:rPr>
          <w:rFonts w:hint="default" w:eastAsia="Times New Roman"/>
          <w:kern w:val="2"/>
          <w:lang w:val="en-US"/>
        </w:rPr>
      </w:pPr>
      <w:r>
        <w:rPr>
          <w:rFonts w:hint="eastAsia" w:eastAsia="Times New Roman"/>
          <w:kern w:val="2"/>
        </w:rPr>
        <w:t>High-quality Composition–Processing–Structure–Performance (CPSP) data infrastructures are essential for data-driven copper alloy discovery, yet relevant knowledge remains fragmented across textual descriptions, experimental tables, and graphical contents in scientific literature. To address this challenge, we propose a literature-centric Corpus</w:t>
      </w:r>
      <w:r>
        <w:rPr>
          <w:rFonts w:hint="eastAsia" w:eastAsia="Times New Roman"/>
          <w:kern w:val="2"/>
          <w:lang w:val="en-US"/>
        </w:rPr>
        <w:t>-</w:t>
      </w:r>
      <w:r>
        <w:rPr>
          <w:rFonts w:hint="eastAsia" w:eastAsia="Times New Roman"/>
          <w:kern w:val="2"/>
        </w:rPr>
        <w:t>Topic</w:t>
      </w:r>
      <w:r>
        <w:rPr>
          <w:rFonts w:hint="eastAsia" w:eastAsia="Times New Roman"/>
          <w:kern w:val="2"/>
          <w:lang w:val="en-US"/>
        </w:rPr>
        <w:t>-</w:t>
      </w:r>
      <w:r>
        <w:rPr>
          <w:rFonts w:hint="eastAsia" w:eastAsia="Times New Roman"/>
          <w:kern w:val="2"/>
        </w:rPr>
        <w:t>Document (CTD) framework transform</w:t>
      </w:r>
      <w:r>
        <w:rPr>
          <w:rFonts w:hint="eastAsia" w:eastAsia="Times New Roman"/>
          <w:kern w:val="2"/>
          <w:lang w:val="en-US"/>
        </w:rPr>
        <w:t>ing</w:t>
      </w:r>
      <w:r>
        <w:rPr>
          <w:rFonts w:hint="eastAsia" w:eastAsia="Times New Roman"/>
          <w:kern w:val="2"/>
        </w:rPr>
        <w:t xml:space="preserve"> heterogeneous literature resources into machine-readable CPSP knowledge resources and machine learning</w:t>
      </w:r>
      <w:r>
        <w:rPr>
          <w:rFonts w:hint="eastAsia" w:eastAsia="Times New Roman"/>
          <w:kern w:val="2"/>
          <w:lang w:val="en-US" w:eastAsia="zh-CN"/>
        </w:rPr>
        <w:t xml:space="preserve"> (</w:t>
      </w:r>
      <w:r>
        <w:rPr>
          <w:rFonts w:hint="eastAsia" w:eastAsia="Times New Roman"/>
          <w:kern w:val="2"/>
        </w:rPr>
        <w:t>ML</w:t>
      </w:r>
      <w:r>
        <w:rPr>
          <w:rFonts w:hint="eastAsia" w:eastAsia="Times New Roman"/>
          <w:kern w:val="2"/>
          <w:lang w:val="en-US" w:eastAsia="zh-CN"/>
        </w:rPr>
        <w:t>)</w:t>
      </w:r>
      <w:r>
        <w:rPr>
          <w:rFonts w:hint="eastAsia" w:eastAsia="Times New Roman"/>
          <w:kern w:val="2"/>
        </w:rPr>
        <w:t>-ready copper alloy databases.</w:t>
      </w:r>
      <w:r>
        <w:rPr>
          <w:rFonts w:hint="eastAsia" w:eastAsia="Times New Roman"/>
          <w:kern w:val="2"/>
          <w:lang w:val="en-US" w:eastAsia="zh-CN"/>
        </w:rPr>
        <w:t xml:space="preserve"> </w:t>
      </w:r>
      <w:r>
        <w:rPr>
          <w:rFonts w:hint="eastAsia" w:eastAsia="Times New Roman"/>
          <w:kern w:val="2"/>
        </w:rPr>
        <w:t xml:space="preserve">At the corpus level, semantic filtering is performed on 122,982 alloy-related publications, identifying 3,245 copper-alloy-relevant publications distributed across 457 semantic clusters. At the topic level, the filtered literature is organized into </w:t>
      </w:r>
      <w:r>
        <w:rPr>
          <w:rFonts w:hint="default" w:eastAsia="Times New Roman"/>
          <w:kern w:val="2"/>
          <w:lang w:val="en-US"/>
        </w:rPr>
        <w:t>7</w:t>
      </w:r>
      <w:r>
        <w:rPr>
          <w:rFonts w:hint="eastAsia" w:eastAsia="Times New Roman"/>
          <w:kern w:val="2"/>
        </w:rPr>
        <w:t xml:space="preserve"> interpretable thematic knowledge modules, revealing the semantic structure and temporal evolution of copper alloy research. At the document level, textual, tabular, and graphical information are reconstructed into machine-readable CPSP records through coordinated multi-modal processing.</w:t>
      </w:r>
      <w:r>
        <w:rPr>
          <w:rFonts w:hint="eastAsia" w:eastAsia="Times New Roman"/>
          <w:kern w:val="2"/>
          <w:lang w:val="en-US"/>
        </w:rPr>
        <w:t xml:space="preserve"> </w:t>
      </w:r>
      <w:r>
        <w:rPr>
          <w:rFonts w:hint="eastAsia" w:eastAsia="Times New Roman"/>
          <w:kern w:val="2"/>
        </w:rPr>
        <w:t>Using this framework, 9,284 high-quality CPSP data chains were reconstructed from full-text literature, with the best-performing model achieving token-level F1-scores above 0.90.</w:t>
      </w:r>
      <w:r>
        <w:rPr>
          <w:rFonts w:hint="eastAsia" w:eastAsia="Times New Roman"/>
          <w:kern w:val="2"/>
          <w:lang w:val="en-US"/>
        </w:rPr>
        <w:t xml:space="preserve"> </w:t>
      </w:r>
      <w:r>
        <w:rPr>
          <w:rFonts w:hint="eastAsia" w:eastAsia="Times New Roman"/>
          <w:kern w:val="2"/>
        </w:rPr>
        <w:t xml:space="preserve">Experimental validation of </w:t>
      </w:r>
      <w:r>
        <w:rPr>
          <w:rFonts w:hint="eastAsia" w:eastAsia="Times New Roman"/>
          <w:kern w:val="2"/>
          <w:lang w:val="en-US"/>
        </w:rPr>
        <w:t xml:space="preserve">the </w:t>
      </w:r>
      <w:r>
        <w:rPr>
          <w:rFonts w:hint="eastAsia" w:eastAsia="Times New Roman"/>
          <w:kern w:val="2"/>
        </w:rPr>
        <w:t>optimized Cu–Ni–Si–Cr alloys achieved peak-aged properties of</w:t>
      </w:r>
      <w:r>
        <w:rPr>
          <w:rFonts w:hint="eastAsia" w:eastAsia="Times New Roman"/>
          <w:kern w:val="2"/>
          <w:lang w:val="en-US" w:eastAsia="zh-CN"/>
        </w:rPr>
        <w:t xml:space="preserve"> hardness</w:t>
      </w:r>
      <w:r>
        <w:rPr>
          <w:rFonts w:hint="eastAsia" w:eastAsia="Times New Roman"/>
          <w:kern w:val="2"/>
        </w:rPr>
        <w:t xml:space="preserve"> 375 HV, tensile strength</w:t>
      </w:r>
      <w:r>
        <w:rPr>
          <w:rFonts w:hint="eastAsia" w:eastAsia="Times New Roman"/>
          <w:kern w:val="2"/>
          <w:lang w:val="en-US" w:eastAsia="zh-CN"/>
        </w:rPr>
        <w:t xml:space="preserve"> </w:t>
      </w:r>
      <w:r>
        <w:rPr>
          <w:rFonts w:hint="eastAsia" w:eastAsia="Times New Roman"/>
          <w:kern w:val="2"/>
        </w:rPr>
        <w:t xml:space="preserve">1133 MPa , </w:t>
      </w:r>
      <w:r>
        <w:rPr>
          <w:rFonts w:hint="eastAsia" w:eastAsia="Times New Roman"/>
          <w:kern w:val="2"/>
          <w:lang w:val="en-US" w:eastAsia="zh-CN"/>
        </w:rPr>
        <w:t xml:space="preserve"> </w:t>
      </w:r>
      <w:r>
        <w:rPr>
          <w:rFonts w:hint="eastAsia" w:eastAsia="Times New Roman"/>
          <w:kern w:val="2"/>
        </w:rPr>
        <w:t xml:space="preserve">elongation ~8% </w:t>
      </w:r>
      <w:r>
        <w:rPr>
          <w:rFonts w:hint="eastAsia" w:eastAsia="Times New Roman"/>
          <w:kern w:val="2"/>
          <w:lang w:val="en-US" w:eastAsia="zh-CN"/>
        </w:rPr>
        <w:t xml:space="preserve">, </w:t>
      </w:r>
      <w:r>
        <w:rPr>
          <w:rFonts w:hint="eastAsia" w:eastAsia="Times New Roman"/>
          <w:kern w:val="2"/>
        </w:rPr>
        <w:t>and</w:t>
      </w:r>
      <w:r>
        <w:rPr>
          <w:rFonts w:hint="eastAsia" w:eastAsia="Times New Roman"/>
          <w:kern w:val="2"/>
          <w:lang w:val="en-US" w:eastAsia="zh-CN"/>
        </w:rPr>
        <w:t xml:space="preserve"> conductivity </w:t>
      </w:r>
      <w:r>
        <w:rPr>
          <w:rFonts w:hint="eastAsia" w:eastAsia="Times New Roman"/>
          <w:kern w:val="2"/>
        </w:rPr>
        <w:t>25.27 %IACS. Micro</w:t>
      </w:r>
      <w:r>
        <w:rPr>
          <w:rFonts w:hint="default" w:eastAsia="Times New Roman"/>
          <w:kern w:val="2"/>
          <w:lang w:val="en-US"/>
        </w:rPr>
        <w:t>-</w:t>
      </w:r>
      <w:r>
        <w:rPr>
          <w:rFonts w:hint="eastAsia" w:eastAsia="Times New Roman"/>
          <w:kern w:val="2"/>
        </w:rPr>
        <w:t xml:space="preserve">structural characterization </w:t>
      </w:r>
      <w:r>
        <w:rPr>
          <w:rFonts w:hint="default" w:eastAsia="Times New Roman"/>
          <w:kern w:val="2"/>
          <w:lang w:val="en-US"/>
        </w:rPr>
        <w:t xml:space="preserve">further </w:t>
      </w:r>
      <w:r>
        <w:rPr>
          <w:rFonts w:hint="eastAsia" w:eastAsia="Times New Roman"/>
          <w:kern w:val="2"/>
        </w:rPr>
        <w:t xml:space="preserve">confirmed </w:t>
      </w:r>
      <w:r>
        <w:rPr>
          <w:rFonts w:hint="default" w:eastAsia="Times New Roman"/>
          <w:kern w:val="2"/>
          <w:lang w:val="en-US"/>
        </w:rPr>
        <w:t xml:space="preserve">the </w:t>
      </w:r>
      <w:r>
        <w:rPr>
          <w:rFonts w:hint="eastAsia" w:eastAsia="Times New Roman"/>
          <w:kern w:val="2"/>
        </w:rPr>
        <w:t>deformation</w:t>
      </w:r>
      <w:r>
        <w:rPr>
          <w:rFonts w:hint="default" w:eastAsia="Times New Roman"/>
          <w:kern w:val="2"/>
          <w:lang w:val="en-US"/>
        </w:rPr>
        <w:t>-</w:t>
      </w:r>
      <w:r>
        <w:rPr>
          <w:rFonts w:hint="eastAsia" w:eastAsia="Times New Roman"/>
          <w:kern w:val="2"/>
        </w:rPr>
        <w:t>precipitation synergistic strengthening.</w:t>
      </w:r>
      <w:r>
        <w:rPr>
          <w:rFonts w:hint="eastAsia" w:eastAsia="Times New Roman"/>
          <w:kern w:val="2"/>
          <w:lang w:val="en-US"/>
        </w:rPr>
        <w:t xml:space="preserve"> T</w:t>
      </w:r>
      <w:r>
        <w:rPr>
          <w:rFonts w:hint="eastAsia" w:eastAsia="Times New Roman"/>
          <w:kern w:val="2"/>
        </w:rPr>
        <w:t xml:space="preserve">he proposed </w:t>
      </w:r>
      <w:r>
        <w:rPr>
          <w:rFonts w:hint="eastAsia" w:eastAsia="Times New Roman"/>
          <w:kern w:val="2"/>
          <w:lang w:val="en-US"/>
        </w:rPr>
        <w:t>f</w:t>
      </w:r>
      <w:r>
        <w:rPr>
          <w:rFonts w:hint="eastAsia" w:eastAsia="Times New Roman"/>
          <w:kern w:val="2"/>
        </w:rPr>
        <w:t>ramework establishes a hierarchical pathway from scientific literature to data-driven alloy discovery</w:t>
      </w:r>
      <w:r>
        <w:rPr>
          <w:rFonts w:hint="eastAsia" w:eastAsia="Times New Roman"/>
          <w:kern w:val="2"/>
          <w:lang w:val="en-US"/>
        </w:rPr>
        <w:t xml:space="preserve">  for artificial intelligence-enabled materials development.</w:t>
      </w:r>
    </w:p>
    <w:p w14:paraId="498177DC">
      <w:pPr>
        <w:pStyle w:val="14"/>
        <w:spacing w:before="181" w:beforeLines="50" w:beforeAutospacing="0" w:after="181" w:afterLines="50" w:afterAutospacing="0" w:line="360" w:lineRule="auto"/>
        <w:rPr>
          <w:rFonts w:hint="default" w:eastAsia="Times New Roman"/>
          <w:b w:val="0"/>
          <w:bCs w:val="0"/>
          <w:kern w:val="2"/>
          <w:sz w:val="24"/>
          <w:szCs w:val="24"/>
        </w:rPr>
      </w:pPr>
      <w:r>
        <w:rPr>
          <w:rFonts w:hint="eastAsia" w:eastAsia="Times New Roman"/>
          <w:b/>
          <w:bCs/>
          <w:sz w:val="28"/>
          <w:szCs w:val="28"/>
        </w:rPr>
        <w:t xml:space="preserve">Keywords: </w:t>
      </w:r>
      <w:r>
        <w:rPr>
          <w:rFonts w:hint="default" w:eastAsia="Times New Roman"/>
          <w:b w:val="0"/>
          <w:bCs w:val="0"/>
          <w:kern w:val="2"/>
          <w:sz w:val="24"/>
          <w:szCs w:val="24"/>
        </w:rPr>
        <w:t xml:space="preserve">Copper alloy informatics; Corpus–Topic–Document framework; Literature knowledge utilization; </w:t>
      </w:r>
      <w:r>
        <w:rPr>
          <w:rFonts w:hint="eastAsia" w:eastAsia="Times New Roman"/>
          <w:kern w:val="2"/>
        </w:rPr>
        <w:t>Composition</w:t>
      </w:r>
      <w:r>
        <w:rPr>
          <w:rFonts w:hint="default" w:eastAsia="Times New Roman"/>
          <w:kern w:val="2"/>
          <w:lang w:val="en-US"/>
        </w:rPr>
        <w:t>-</w:t>
      </w:r>
      <w:r>
        <w:rPr>
          <w:rFonts w:hint="eastAsia" w:eastAsia="Times New Roman"/>
          <w:kern w:val="2"/>
        </w:rPr>
        <w:t>Processing</w:t>
      </w:r>
      <w:r>
        <w:rPr>
          <w:rFonts w:hint="default" w:eastAsia="Times New Roman"/>
          <w:kern w:val="2"/>
          <w:lang w:val="en-US"/>
        </w:rPr>
        <w:t>-</w:t>
      </w:r>
      <w:r>
        <w:rPr>
          <w:rFonts w:hint="eastAsia" w:eastAsia="Times New Roman"/>
          <w:kern w:val="2"/>
        </w:rPr>
        <w:t>Structure</w:t>
      </w:r>
      <w:r>
        <w:rPr>
          <w:rFonts w:hint="default" w:eastAsia="Times New Roman"/>
          <w:kern w:val="2"/>
          <w:lang w:val="en-US"/>
        </w:rPr>
        <w:t>-</w:t>
      </w:r>
      <w:r>
        <w:rPr>
          <w:rFonts w:hint="eastAsia" w:eastAsia="Times New Roman"/>
          <w:kern w:val="2"/>
        </w:rPr>
        <w:t>P</w:t>
      </w:r>
      <w:r>
        <w:rPr>
          <w:rFonts w:hint="default" w:eastAsia="Times New Roman"/>
          <w:kern w:val="2"/>
          <w:lang w:val="en-US"/>
        </w:rPr>
        <w:t>erformance</w:t>
      </w:r>
      <w:r>
        <w:rPr>
          <w:rFonts w:hint="default" w:eastAsia="Times New Roman"/>
          <w:b w:val="0"/>
          <w:bCs w:val="0"/>
          <w:kern w:val="2"/>
          <w:sz w:val="24"/>
          <w:szCs w:val="24"/>
          <w:lang w:val="en-US"/>
        </w:rPr>
        <w:t xml:space="preserve"> chain </w:t>
      </w:r>
      <w:r>
        <w:rPr>
          <w:rFonts w:hint="default" w:eastAsia="Times New Roman"/>
          <w:b w:val="0"/>
          <w:bCs w:val="0"/>
          <w:kern w:val="2"/>
          <w:sz w:val="24"/>
          <w:szCs w:val="24"/>
        </w:rPr>
        <w:t>reconstruction; Large language models; Machine-learning-guided alloy design</w:t>
      </w:r>
    </w:p>
    <w:p w14:paraId="26F5AD2A">
      <w:pPr>
        <w:pStyle w:val="14"/>
        <w:spacing w:beforeAutospacing="0" w:afterAutospacing="0" w:line="360" w:lineRule="auto"/>
        <w:rPr>
          <w:rFonts w:eastAsia="Times New Roman"/>
          <w:b/>
          <w:bCs/>
          <w:sz w:val="28"/>
          <w:szCs w:val="28"/>
        </w:rPr>
      </w:pPr>
      <w:r>
        <w:rPr>
          <w:rFonts w:eastAsia="Times New Roman"/>
          <w:b/>
          <w:bCs/>
          <w:sz w:val="28"/>
          <w:szCs w:val="28"/>
        </w:rPr>
        <w:t>Introduction</w:t>
      </w:r>
      <w:r>
        <w:rPr>
          <w:rFonts w:hint="eastAsia" w:eastAsia="Times New Roman"/>
          <w:b/>
          <w:bCs/>
          <w:sz w:val="28"/>
          <w:szCs w:val="28"/>
        </w:rPr>
        <w:t xml:space="preserve">: </w:t>
      </w:r>
    </w:p>
    <w:p w14:paraId="72B5CE4B">
      <w:pPr>
        <w:widowControl/>
        <w:spacing w:line="360" w:lineRule="auto"/>
        <w:ind w:firstLine="480" w:firstLineChars="200"/>
        <w:rPr>
          <w:rFonts w:ascii="Times New Roman" w:hAnsi="Times New Roman" w:eastAsia="Times New Roman" w:cs="Times New Roman"/>
          <w:sz w:val="24"/>
        </w:rPr>
      </w:pPr>
      <w:r>
        <w:rPr>
          <w:rFonts w:ascii="Times New Roman" w:hAnsi="Times New Roman" w:eastAsia="Times New Roman" w:cs="Times New Roman"/>
          <w:sz w:val="24"/>
        </w:rPr>
        <w:t>In recent years, artificial intelligence-driven paradigms have profoundly transformed the research and development of metallic materials [1].</w:t>
      </w:r>
      <w:r>
        <w:rPr>
          <w:rFonts w:hint="eastAsia" w:ascii="Times New Roman" w:hAnsi="Times New Roman" w:eastAsia="Times New Roman" w:cs="Times New Roman"/>
          <w:sz w:val="24"/>
        </w:rPr>
        <w:t xml:space="preserve"> With the rapid advances in high-throughput computation, large language models (LLMs), and autonomous scientific discovery platforms, traditional trial-and-error-based materials development is gradually evolving toward data-driven and intelligent decision-making paradigms</w:t>
      </w:r>
      <w:r>
        <w:rPr>
          <w:rFonts w:ascii="Times New Roman" w:hAnsi="Times New Roman" w:eastAsia="Times New Roman" w:cs="Times New Roman"/>
          <w:sz w:val="24"/>
        </w:rPr>
        <w:t xml:space="preserve"> [2-4]</w:t>
      </w:r>
      <w:r>
        <w:rPr>
          <w:rFonts w:hint="eastAsia" w:ascii="Times New Roman" w:hAnsi="Times New Roman" w:eastAsia="Times New Roman" w:cs="Times New Roman"/>
          <w:sz w:val="24"/>
        </w:rPr>
        <w:t>. In this context, autonomous materials informatics systems capable of know</w:t>
      </w:r>
      <w:r>
        <w:rPr>
          <w:rFonts w:hint="default" w:ascii="Times New Roman" w:hAnsi="Times New Roman" w:eastAsia="Times New Roman" w:cs="Times New Roman"/>
          <w:sz w:val="24"/>
          <w:lang w:val="en-US"/>
        </w:rPr>
        <w:t>-</w:t>
      </w:r>
      <w:r>
        <w:rPr>
          <w:rFonts w:hint="eastAsia" w:ascii="Times New Roman" w:hAnsi="Times New Roman" w:eastAsia="Times New Roman" w:cs="Times New Roman"/>
          <w:sz w:val="24"/>
        </w:rPr>
        <w:t>ledge acquisition, experimental planning, and performance optimization have become an important direction in advanced materials research.</w:t>
      </w:r>
      <w:r>
        <w:rPr>
          <w:rFonts w:hint="default" w:ascii="Times New Roman" w:hAnsi="Times New Roman" w:eastAsia="Times New Roman" w:cs="Times New Roman"/>
          <w:sz w:val="24"/>
          <w:lang w:val="en-US"/>
        </w:rPr>
        <w:t xml:space="preserve"> </w:t>
      </w:r>
      <w:r>
        <w:rPr>
          <w:rFonts w:hint="eastAsia" w:ascii="Times New Roman" w:hAnsi="Times New Roman" w:eastAsia="Times New Roman" w:cs="Times New Roman"/>
          <w:sz w:val="24"/>
        </w:rPr>
        <w:t>Among various metallic systems, high-performance copper alloys are widely used in integrated circuit lead frames, high-speed connectors, power electronics, new-energy transportation, and advanced manufacturing owing to their excellent electrical and thermal conductivity, corrosion resistance, and mechanical reliability. However, modern copper alloys are often required to simultaneously achieve high strength, high electrical conductivity, thermal stability, and long-term service reliability under harsh operating environments</w:t>
      </w:r>
      <w:r>
        <w:rPr>
          <w:rFonts w:ascii="Times New Roman" w:hAnsi="Times New Roman" w:eastAsia="Times New Roman" w:cs="Times New Roman"/>
          <w:sz w:val="24"/>
        </w:rPr>
        <w:t xml:space="preserve"> [5-6]</w:t>
      </w:r>
      <w:r>
        <w:rPr>
          <w:rFonts w:hint="eastAsia" w:ascii="Times New Roman" w:hAnsi="Times New Roman" w:eastAsia="Times New Roman" w:cs="Times New Roman"/>
          <w:sz w:val="24"/>
        </w:rPr>
        <w:t>.</w:t>
      </w:r>
      <w:r>
        <w:rPr>
          <w:rFonts w:hint="default" w:ascii="Times New Roman" w:hAnsi="Times New Roman" w:eastAsia="Times New Roman" w:cs="Times New Roman"/>
          <w:sz w:val="24"/>
          <w:lang w:val="en-US"/>
        </w:rPr>
        <w:t xml:space="preserve"> </w:t>
      </w:r>
      <w:r>
        <w:rPr>
          <w:rFonts w:hint="eastAsia" w:ascii="Times New Roman" w:hAnsi="Times New Roman" w:eastAsia="Times New Roman" w:cs="Times New Roman"/>
          <w:sz w:val="24"/>
        </w:rPr>
        <w:t>In particular, the relationships among composition, processing, micro</w:t>
      </w:r>
      <w:r>
        <w:rPr>
          <w:rFonts w:hint="default" w:ascii="Times New Roman" w:hAnsi="Times New Roman" w:eastAsia="Times New Roman" w:cs="Times New Roman"/>
          <w:sz w:val="24"/>
          <w:lang w:val="en-US"/>
        </w:rPr>
        <w:t>-</w:t>
      </w:r>
      <w:r>
        <w:rPr>
          <w:rFonts w:hint="eastAsia" w:ascii="Times New Roman" w:hAnsi="Times New Roman" w:eastAsia="Times New Roman" w:cs="Times New Roman"/>
          <w:sz w:val="24"/>
        </w:rPr>
        <w:t>structural evolution, and performance in copper alloy systems are characterized by high dimensionality, strong nonlinearity, and complex Composition</w:t>
      </w:r>
      <w:r>
        <w:rPr>
          <w:rFonts w:hint="default" w:ascii="Times New Roman" w:hAnsi="Times New Roman" w:eastAsia="Times New Roman" w:cs="Times New Roman"/>
          <w:sz w:val="24"/>
          <w:lang w:val="en-US"/>
        </w:rPr>
        <w:t>-</w:t>
      </w:r>
      <w:r>
        <w:rPr>
          <w:rFonts w:hint="eastAsia" w:ascii="Times New Roman" w:hAnsi="Times New Roman" w:eastAsia="Times New Roman" w:cs="Times New Roman"/>
          <w:sz w:val="24"/>
        </w:rPr>
        <w:t>Processing</w:t>
      </w:r>
      <w:r>
        <w:rPr>
          <w:rFonts w:hint="default" w:ascii="Times New Roman" w:hAnsi="Times New Roman" w:eastAsia="Times New Roman" w:cs="Times New Roman"/>
          <w:sz w:val="24"/>
          <w:lang w:val="en-US"/>
        </w:rPr>
        <w:t>-</w:t>
      </w:r>
      <w:r>
        <w:rPr>
          <w:rFonts w:hint="eastAsia" w:ascii="Times New Roman" w:hAnsi="Times New Roman" w:eastAsia="Times New Roman" w:cs="Times New Roman"/>
          <w:sz w:val="24"/>
        </w:rPr>
        <w:t>Structure</w:t>
      </w:r>
      <w:r>
        <w:rPr>
          <w:rFonts w:hint="default" w:ascii="Times New Roman" w:hAnsi="Times New Roman" w:eastAsia="Times New Roman" w:cs="Times New Roman"/>
          <w:sz w:val="24"/>
          <w:lang w:val="en-US"/>
        </w:rPr>
        <w:t>-</w:t>
      </w:r>
      <w:r>
        <w:rPr>
          <w:rFonts w:hint="eastAsia" w:ascii="Times New Roman" w:hAnsi="Times New Roman" w:eastAsia="Times New Roman" w:cs="Times New Roman"/>
          <w:sz w:val="24"/>
        </w:rPr>
        <w:t>Performance (CPSP) coupling.</w:t>
      </w:r>
      <w:r>
        <w:rPr>
          <w:rFonts w:hint="default" w:ascii="Times New Roman" w:hAnsi="Times New Roman" w:eastAsia="Times New Roman" w:cs="Times New Roman"/>
          <w:sz w:val="24"/>
          <w:lang w:val="en-US"/>
        </w:rPr>
        <w:t xml:space="preserve"> </w:t>
      </w:r>
      <w:r>
        <w:rPr>
          <w:rFonts w:hint="eastAsia" w:ascii="Times New Roman" w:hAnsi="Times New Roman" w:eastAsia="Times New Roman" w:cs="Times New Roman"/>
          <w:sz w:val="24"/>
        </w:rPr>
        <w:t>Therefore, data-driven copper alloy discovery requires literature-derived knowledge infrastructures capable of systematically organizing and utiliz</w:t>
      </w:r>
      <w:r>
        <w:rPr>
          <w:rFonts w:hint="default" w:ascii="Times New Roman" w:hAnsi="Times New Roman" w:eastAsia="Times New Roman" w:cs="Times New Roman"/>
          <w:sz w:val="24"/>
          <w:lang w:val="en-US"/>
        </w:rPr>
        <w:t>-</w:t>
      </w:r>
      <w:r>
        <w:rPr>
          <w:rFonts w:hint="eastAsia" w:ascii="Times New Roman" w:hAnsi="Times New Roman" w:eastAsia="Times New Roman" w:cs="Times New Roman"/>
          <w:sz w:val="24"/>
        </w:rPr>
        <w:t>ing CPSP relationships across composition, processing, structure, and performance.</w:t>
      </w:r>
      <w:r>
        <w:rPr>
          <w:rFonts w:hint="default" w:ascii="Times New Roman" w:hAnsi="Times New Roman" w:eastAsia="Times New Roman" w:cs="Times New Roman"/>
          <w:sz w:val="24"/>
          <w:lang w:val="en-US"/>
        </w:rPr>
        <w:t xml:space="preserve"> </w:t>
      </w:r>
      <w:r>
        <w:rPr>
          <w:rFonts w:ascii="Times New Roman" w:hAnsi="Times New Roman" w:eastAsia="Times New Roman" w:cs="Times New Roman"/>
          <w:sz w:val="24"/>
        </w:rPr>
        <w:t>[7-8]</w:t>
      </w:r>
      <w:r>
        <w:rPr>
          <w:rFonts w:hint="eastAsia" w:ascii="Times New Roman" w:hAnsi="Times New Roman" w:eastAsia="Times New Roman" w:cs="Times New Roman"/>
          <w:sz w:val="24"/>
        </w:rPr>
        <w:t>.</w:t>
      </w:r>
      <w:r>
        <w:rPr>
          <w:rFonts w:ascii="Times New Roman" w:hAnsi="Times New Roman" w:eastAsia="Times New Roman" w:cs="Times New Roman"/>
          <w:sz w:val="24"/>
        </w:rPr>
        <w:t xml:space="preserve">         </w:t>
      </w:r>
    </w:p>
    <w:p w14:paraId="16ADC2F6">
      <w:pPr>
        <w:widowControl/>
        <w:spacing w:line="360" w:lineRule="auto"/>
        <w:ind w:firstLine="480" w:firstLineChars="200"/>
        <w:rPr>
          <w:rFonts w:ascii="Times New Roman" w:hAnsi="Times New Roman" w:eastAsia="Times New Roman" w:cs="Times New Roman"/>
          <w:sz w:val="24"/>
        </w:rPr>
      </w:pPr>
      <w:r>
        <w:rPr>
          <w:rFonts w:hint="eastAsia" w:ascii="Times New Roman" w:hAnsi="Times New Roman" w:eastAsia="Times New Roman" w:cs="Times New Roman"/>
          <w:sz w:val="24"/>
        </w:rPr>
        <w:t>However, extensive CPSP knowledge embedded in copper alloy literature is rarely available in unified, structured, and machine-readable forms</w:t>
      </w:r>
      <w:r>
        <w:rPr>
          <w:rFonts w:hint="default" w:ascii="Times New Roman" w:hAnsi="Times New Roman" w:eastAsia="Times New Roman" w:cs="Times New Roman"/>
          <w:sz w:val="24"/>
          <w:lang w:val="en-US"/>
        </w:rPr>
        <w:t xml:space="preserve"> </w:t>
      </w:r>
      <w:r>
        <w:rPr>
          <w:rFonts w:ascii="Times New Roman" w:hAnsi="Times New Roman" w:eastAsia="Times New Roman" w:cs="Times New Roman"/>
          <w:sz w:val="24"/>
        </w:rPr>
        <w:t>[9]</w:t>
      </w:r>
      <w:r>
        <w:rPr>
          <w:rFonts w:hint="eastAsia" w:ascii="Times New Roman" w:hAnsi="Times New Roman" w:eastAsia="Times New Roman" w:cs="Times New Roman"/>
          <w:sz w:val="24"/>
        </w:rPr>
        <w:t>. Instead, it is widely scattered across scientific literature as textual descriptions, experimental tables, and graphical information. Key information on alloy composition, heat treatment, deformation, microstructural evolution, strengthening mechanisms, and mechanical properties is often embedded in experimental procedures, result discussions, figure captions, and mechanism analyses through non-standardized and context-dependent expressions. Meanwhile, variations in table layouts, hierarchical headers, and annotation styles further hinder cross-literature data alignment and reconstruction</w:t>
      </w:r>
      <w:r>
        <w:rPr>
          <w:rFonts w:ascii="Times New Roman" w:hAnsi="Times New Roman" w:eastAsia="Times New Roman" w:cs="Times New Roman"/>
          <w:sz w:val="24"/>
        </w:rPr>
        <w:t xml:space="preserve"> [10]</w:t>
      </w:r>
      <w:r>
        <w:rPr>
          <w:rFonts w:hint="eastAsia" w:ascii="Times New Roman" w:hAnsi="Times New Roman" w:eastAsia="Times New Roman" w:cs="Times New Roman"/>
          <w:sz w:val="24"/>
        </w:rPr>
        <w:t>. Graphical information, including microstructural images, diffraction patterns, and performance curves, contains essential evidence of microstructural evolution, phase transformation, and property responses.</w:t>
      </w:r>
      <w:r>
        <w:rPr>
          <w:rFonts w:hint="default" w:ascii="Times New Roman" w:hAnsi="Times New Roman" w:eastAsia="Times New Roman" w:cs="Times New Roman"/>
          <w:sz w:val="24"/>
          <w:lang w:val="en-US"/>
        </w:rPr>
        <w:t xml:space="preserve"> </w:t>
      </w:r>
      <w:r>
        <w:rPr>
          <w:rFonts w:hint="eastAsia" w:ascii="Times New Roman" w:hAnsi="Times New Roman" w:eastAsia="Times New Roman" w:cs="Times New Roman"/>
          <w:sz w:val="24"/>
        </w:rPr>
        <w:t>However, extracting such visual knowledge requires joint interpretation of image features, captions, axes, legends, and contextual semantics.</w:t>
      </w:r>
      <w:r>
        <w:rPr>
          <w:rFonts w:hint="default" w:ascii="Times New Roman" w:hAnsi="Times New Roman" w:eastAsia="Times New Roman" w:cs="Times New Roman"/>
          <w:sz w:val="24"/>
          <w:lang w:val="en-US"/>
        </w:rPr>
        <w:t xml:space="preserve"> </w:t>
      </w:r>
      <w:r>
        <w:rPr>
          <w:rFonts w:hint="eastAsia" w:ascii="Times New Roman" w:hAnsi="Times New Roman" w:eastAsia="Times New Roman" w:cs="Times New Roman"/>
          <w:sz w:val="24"/>
        </w:rPr>
        <w:t>Consequently, the fragmented and cross-modal nature of CPSP knowledge makes its systematic organization, semantic alignment, and effective utilization a critical challenge for copper alloy informatics and</w:t>
      </w:r>
      <w:r>
        <w:rPr>
          <w:rFonts w:hint="default" w:ascii="Times New Roman" w:hAnsi="Times New Roman" w:eastAsia="Times New Roman" w:cs="Times New Roman"/>
          <w:sz w:val="24"/>
          <w:lang w:val="en-US"/>
        </w:rPr>
        <w:t xml:space="preserve"> intelligent materials design </w:t>
      </w:r>
      <w:r>
        <w:rPr>
          <w:rFonts w:ascii="Times New Roman" w:hAnsi="Times New Roman" w:eastAsia="Times New Roman" w:cs="Times New Roman"/>
          <w:sz w:val="24"/>
        </w:rPr>
        <w:t>[11-12]</w:t>
      </w:r>
      <w:r>
        <w:rPr>
          <w:rFonts w:hint="eastAsia" w:ascii="Times New Roman" w:hAnsi="Times New Roman" w:eastAsia="Times New Roman" w:cs="Times New Roman"/>
          <w:sz w:val="24"/>
        </w:rPr>
        <w:t>.</w:t>
      </w:r>
      <w:r>
        <w:rPr>
          <w:rFonts w:ascii="Times New Roman" w:hAnsi="Times New Roman" w:eastAsia="Times New Roman" w:cs="Times New Roman"/>
          <w:sz w:val="24"/>
        </w:rPr>
        <w:t xml:space="preserve"> </w:t>
      </w:r>
    </w:p>
    <w:p w14:paraId="30A689CE">
      <w:pPr>
        <w:widowControl/>
        <w:spacing w:line="360" w:lineRule="auto"/>
        <w:ind w:firstLine="480" w:firstLineChars="200"/>
        <w:rPr>
          <w:rFonts w:hint="eastAsia" w:ascii="Times New Roman" w:hAnsi="Times New Roman" w:eastAsia="Times New Roman" w:cs="Times New Roman"/>
          <w:sz w:val="24"/>
        </w:rPr>
      </w:pPr>
      <w:r>
        <w:rPr>
          <w:rFonts w:hint="eastAsia" w:ascii="Times New Roman" w:hAnsi="Times New Roman" w:eastAsia="Times New Roman" w:cs="Times New Roman"/>
          <w:sz w:val="24"/>
        </w:rPr>
        <w:t>From this perspective, scientific literature can be regarded as a hierarchical semantic knowledge space organized at the corpus, topic, and document levels</w:t>
      </w:r>
      <w:r>
        <w:rPr>
          <w:rFonts w:hint="eastAsia" w:ascii="Times New Roman" w:hAnsi="Times New Roman" w:eastAsia="Times New Roman" w:cs="Times New Roman"/>
          <w:sz w:val="24"/>
          <w:lang w:val="en-US"/>
        </w:rPr>
        <w:t xml:space="preserve"> </w:t>
      </w:r>
      <w:r>
        <w:rPr>
          <w:rFonts w:ascii="Times New Roman" w:hAnsi="Times New Roman" w:eastAsia="Times New Roman" w:cs="Times New Roman"/>
          <w:sz w:val="24"/>
        </w:rPr>
        <w:t>[13]</w:t>
      </w:r>
      <w:r>
        <w:rPr>
          <w:rFonts w:hint="eastAsia" w:ascii="Times New Roman" w:hAnsi="Times New Roman" w:eastAsia="Times New Roman" w:cs="Times New Roman"/>
          <w:sz w:val="24"/>
        </w:rPr>
        <w:t>. At the corpus level, large-scale alloy literature corpora constitute a global knowledge space spanning diverse alloy systems and research domains, enabling the identification of copper-alloy-relevant knowledge from the broader materials literature landscape</w:t>
      </w:r>
      <w:r>
        <w:rPr>
          <w:rFonts w:hint="default" w:ascii="Times New Roman" w:hAnsi="Times New Roman" w:eastAsia="Times New Roman" w:cs="Times New Roman"/>
          <w:sz w:val="24"/>
          <w:lang w:val="en-US"/>
        </w:rPr>
        <w:t xml:space="preserve"> [</w:t>
      </w:r>
      <w:r>
        <w:rPr>
          <w:rFonts w:hint="eastAsia" w:ascii="Times New Roman" w:hAnsi="Times New Roman" w:eastAsia="Times New Roman" w:cs="Times New Roman"/>
          <w:sz w:val="24"/>
        </w:rPr>
        <w:t>14</w:t>
      </w:r>
      <w:r>
        <w:rPr>
          <w:rFonts w:ascii="Times New Roman" w:hAnsi="Times New Roman" w:eastAsia="Times New Roman" w:cs="Times New Roman"/>
          <w:sz w:val="24"/>
        </w:rPr>
        <w:t>-</w:t>
      </w:r>
      <w:r>
        <w:rPr>
          <w:rFonts w:hint="eastAsia" w:ascii="Times New Roman" w:hAnsi="Times New Roman" w:eastAsia="Times New Roman" w:cs="Times New Roman"/>
          <w:sz w:val="24"/>
        </w:rPr>
        <w:t>16].</w:t>
      </w:r>
      <w:r>
        <w:rPr>
          <w:rFonts w:hint="eastAsia" w:ascii="Times New Roman" w:hAnsi="Times New Roman" w:eastAsia="SimSun" w:cs="Times New Roman"/>
          <w:sz w:val="24"/>
          <w:lang w:val="en-US" w:eastAsia="zh-CN"/>
        </w:rPr>
        <w:t xml:space="preserve"> </w:t>
      </w:r>
      <w:r>
        <w:rPr>
          <w:rFonts w:hint="eastAsia" w:ascii="Times New Roman" w:hAnsi="Times New Roman" w:eastAsia="Times New Roman" w:cs="Times New Roman"/>
          <w:sz w:val="24"/>
        </w:rPr>
        <w:t>At the topic level, the filtered copper alloy literature is organized into interpretable thematic knowledge modules, such as strengthening mechanisms, corrosion behavior, thermo-mechanical processing, and microstructural evolution,</w:t>
      </w:r>
      <w:r>
        <w:rPr>
          <w:rFonts w:hint="default" w:ascii="Times New Roman" w:hAnsi="Times New Roman" w:eastAsia="Times New Roman" w:cs="Times New Roman"/>
          <w:sz w:val="24"/>
          <w:lang w:val="en-US"/>
        </w:rPr>
        <w:t xml:space="preserve"> </w:t>
      </w:r>
      <w:r>
        <w:rPr>
          <w:rFonts w:hint="eastAsia" w:ascii="Times New Roman" w:hAnsi="Times New Roman" w:eastAsia="Times New Roman" w:cs="Times New Roman"/>
          <w:sz w:val="24"/>
        </w:rPr>
        <w:t>thereby revealing semantic organization and knowledge topology of copper alloy</w:t>
      </w:r>
      <w:r>
        <w:rPr>
          <w:rFonts w:hint="eastAsia" w:ascii="Times New Roman" w:hAnsi="Times New Roman" w:eastAsia="SimSun" w:cs="Times New Roman"/>
          <w:sz w:val="24"/>
          <w:lang w:val="en-US" w:eastAsia="zh-CN"/>
        </w:rPr>
        <w:t xml:space="preserve"> </w:t>
      </w:r>
      <w:r>
        <w:rPr>
          <w:rFonts w:ascii="Times New Roman" w:hAnsi="Times New Roman" w:eastAsia="Times New Roman" w:cs="Times New Roman"/>
          <w:sz w:val="24"/>
        </w:rPr>
        <w:t>[</w:t>
      </w:r>
      <w:r>
        <w:rPr>
          <w:rFonts w:hint="eastAsia" w:ascii="Times New Roman" w:hAnsi="Times New Roman" w:eastAsia="Times New Roman" w:cs="Times New Roman"/>
          <w:sz w:val="24"/>
        </w:rPr>
        <w:t>17</w:t>
      </w:r>
      <w:r>
        <w:rPr>
          <w:rFonts w:ascii="Times New Roman" w:hAnsi="Times New Roman" w:eastAsia="Times New Roman" w:cs="Times New Roman"/>
          <w:sz w:val="24"/>
        </w:rPr>
        <w:t>-</w:t>
      </w:r>
      <w:r>
        <w:rPr>
          <w:rFonts w:hint="eastAsia" w:ascii="Times New Roman" w:hAnsi="Times New Roman" w:eastAsia="Times New Roman" w:cs="Times New Roman"/>
          <w:sz w:val="24"/>
        </w:rPr>
        <w:t>20].</w:t>
      </w:r>
      <w:r>
        <w:rPr>
          <w:rFonts w:ascii="Times New Roman" w:hAnsi="Times New Roman" w:eastAsia="Times New Roman" w:cs="Times New Roman"/>
          <w:sz w:val="24"/>
        </w:rPr>
        <w:t xml:space="preserve"> At the document level, individual publications contain fine-grained CPSP knowledge distributed across text, tables, and graphical contents, requiring comprehensive reconstruction of CPSP relationships from heterogeneous multi-modal sources.</w:t>
      </w:r>
      <w:r>
        <w:rPr>
          <w:rFonts w:hint="eastAsia" w:ascii="Times New Roman" w:hAnsi="Times New Roman" w:eastAsia="SimSun" w:cs="Times New Roman"/>
          <w:sz w:val="24"/>
          <w:lang w:val="en-US" w:eastAsia="zh-CN"/>
        </w:rPr>
        <w:t xml:space="preserve"> </w:t>
      </w:r>
      <w:r>
        <w:rPr>
          <w:rFonts w:ascii="Times New Roman" w:hAnsi="Times New Roman" w:eastAsia="Times New Roman" w:cs="Times New Roman"/>
          <w:sz w:val="24"/>
        </w:rPr>
        <w:t>Such a hierarchical Corpus–Topic–Document framework provides a new paradigm for systematically reconstructing</w:t>
      </w:r>
      <w:r>
        <w:rPr>
          <w:rFonts w:hint="eastAsia" w:ascii="Times New Roman" w:hAnsi="Times New Roman" w:eastAsia="SimSun" w:cs="Times New Roman"/>
          <w:sz w:val="24"/>
          <w:lang w:val="en-US" w:eastAsia="zh-CN"/>
        </w:rPr>
        <w:t xml:space="preserve"> </w:t>
      </w:r>
      <w:r>
        <w:rPr>
          <w:rFonts w:ascii="Times New Roman" w:hAnsi="Times New Roman" w:eastAsia="Times New Roman" w:cs="Times New Roman"/>
          <w:sz w:val="24"/>
        </w:rPr>
        <w:t>and utilizing scientific literature knowledge, thereby bridging fragmented publications and data-driven alloy discovery</w:t>
      </w:r>
      <w:r>
        <w:rPr>
          <w:rFonts w:hint="eastAsia" w:ascii="Times New Roman" w:hAnsi="Times New Roman" w:eastAsia="SimSun" w:cs="Times New Roman"/>
          <w:sz w:val="24"/>
          <w:lang w:val="en-US" w:eastAsia="zh-CN"/>
        </w:rPr>
        <w:t xml:space="preserve"> </w:t>
      </w:r>
      <w:r>
        <w:rPr>
          <w:rFonts w:ascii="Times New Roman" w:hAnsi="Times New Roman" w:eastAsia="Times New Roman" w:cs="Times New Roman"/>
          <w:sz w:val="24"/>
        </w:rPr>
        <w:t>[21-22]</w:t>
      </w:r>
      <w:r>
        <w:rPr>
          <w:rFonts w:hint="eastAsia" w:ascii="Times New Roman" w:hAnsi="Times New Roman" w:eastAsia="Times New Roman" w:cs="Times New Roman"/>
          <w:sz w:val="24"/>
        </w:rPr>
        <w:t>.</w:t>
      </w:r>
    </w:p>
    <w:p w14:paraId="5CFB0B14">
      <w:pPr>
        <w:widowControl/>
        <w:spacing w:line="360" w:lineRule="auto"/>
        <w:ind w:firstLine="480" w:firstLineChars="200"/>
        <w:rPr>
          <w:rFonts w:hint="eastAsia" w:ascii="Times New Roman" w:hAnsi="Times New Roman" w:eastAsia="SimSun" w:cs="Times New Roman"/>
          <w:sz w:val="24"/>
        </w:rPr>
      </w:pPr>
      <w:r>
        <w:rPr>
          <w:rFonts w:hint="eastAsia" w:ascii="Times New Roman" w:hAnsi="Times New Roman" w:eastAsia="Times New Roman" w:cs="Times New Roman"/>
          <w:sz w:val="24"/>
        </w:rPr>
        <w:t>Building upon these challenges, this work proposes a Corpus–Topic–Document framework for literature-driven copper alloy informatics.</w:t>
      </w:r>
      <w:r>
        <w:rPr>
          <w:rFonts w:hint="eastAsia" w:ascii="Times New Roman" w:hAnsi="Times New Roman" w:eastAsia="SimSun" w:cs="Times New Roman"/>
          <w:sz w:val="24"/>
          <w:lang w:val="en-US" w:eastAsia="zh-CN"/>
        </w:rPr>
        <w:t xml:space="preserve"> The framework is established based on 122,982 alloy-related publications collected from major scientific publishers, including Elsevier, Springer Nature, and the Royal Society of Chemistry, and progressively transforms fragmented literature knowledge into actionable CPSP resources through corpus-level discovery, topic-level organization, and document-level reconstruction. </w:t>
      </w:r>
      <w:r>
        <w:rPr>
          <w:rFonts w:hint="eastAsia" w:ascii="Times New Roman" w:hAnsi="Times New Roman" w:eastAsia="Times New Roman" w:cs="Times New Roman"/>
          <w:sz w:val="24"/>
        </w:rPr>
        <w:t xml:space="preserve">At the corpus level, BERTopic integrated with UMAP is employed to perform global semantic filtering and identify copper-alloy-related semantic regions from the broader alloy literature landscape containing multiple metallic systems [10,15-16]. At the </w:t>
      </w:r>
      <w:r>
        <w:rPr>
          <w:rFonts w:hint="eastAsia" w:ascii="Times New Roman" w:hAnsi="Times New Roman" w:eastAsia="Times New Roman" w:cs="Times New Roman"/>
          <w:sz w:val="24"/>
          <w:lang w:val="en-US"/>
        </w:rPr>
        <w:t>topic level</w:t>
      </w:r>
      <w:r>
        <w:rPr>
          <w:rFonts w:hint="eastAsia" w:ascii="Times New Roman" w:hAnsi="Times New Roman" w:eastAsia="Times New Roman" w:cs="Times New Roman"/>
          <w:sz w:val="24"/>
        </w:rPr>
        <w:t xml:space="preserve">, 3,245 copper-alloy-related publications are further organized using Latent Dirichlet Allocation (LDA) to construct statistically coherent thematic structures and interpretable semantic knowledge modules [23]. At the </w:t>
      </w:r>
      <w:r>
        <w:rPr>
          <w:rFonts w:hint="eastAsia" w:ascii="Times New Roman" w:hAnsi="Times New Roman" w:eastAsia="Times New Roman" w:cs="Times New Roman"/>
          <w:sz w:val="24"/>
          <w:lang w:val="en-US"/>
        </w:rPr>
        <w:t>document level</w:t>
      </w:r>
      <w:r>
        <w:rPr>
          <w:rFonts w:hint="eastAsia" w:ascii="Times New Roman" w:hAnsi="Times New Roman" w:eastAsia="Times New Roman" w:cs="Times New Roman"/>
          <w:sz w:val="24"/>
        </w:rPr>
        <w:t>, fine-grained CPSP</w:t>
      </w:r>
      <w:r>
        <w:rPr>
          <w:rFonts w:hint="eastAsia" w:ascii="Times New Roman" w:hAnsi="Times New Roman" w:eastAsia="Times New Roman" w:cs="Times New Roman"/>
          <w:sz w:val="24"/>
          <w:lang w:val="en-US" w:eastAsia="zh-CN"/>
        </w:rPr>
        <w:t xml:space="preserve"> </w:t>
      </w:r>
      <w:r>
        <w:rPr>
          <w:rFonts w:hint="eastAsia" w:ascii="Times New Roman" w:hAnsi="Times New Roman" w:eastAsia="Times New Roman" w:cs="Times New Roman"/>
          <w:sz w:val="24"/>
        </w:rPr>
        <w:t>knowledge</w:t>
      </w:r>
      <w:r>
        <w:rPr>
          <w:rFonts w:hint="eastAsia" w:ascii="Times New Roman" w:hAnsi="Times New Roman" w:eastAsia="Times New Roman" w:cs="Times New Roman"/>
          <w:sz w:val="24"/>
          <w:lang w:val="en-US" w:eastAsia="zh-CN"/>
        </w:rPr>
        <w:t xml:space="preserve"> </w:t>
      </w:r>
      <w:r>
        <w:rPr>
          <w:rFonts w:hint="eastAsia" w:ascii="Times New Roman" w:hAnsi="Times New Roman" w:eastAsia="Times New Roman" w:cs="Times New Roman"/>
          <w:sz w:val="24"/>
        </w:rPr>
        <w:t>is reconstructed from semantically selected copper-alloy literature fragments through collaborative textual, tabular, and graphical extraction pipe</w:t>
      </w:r>
      <w:r>
        <w:rPr>
          <w:rFonts w:hint="eastAsia" w:ascii="Times New Roman" w:hAnsi="Times New Roman" w:eastAsia="SimSun" w:cs="Times New Roman"/>
          <w:sz w:val="24"/>
          <w:lang w:val="en-US" w:eastAsia="zh-CN"/>
        </w:rPr>
        <w:t>-</w:t>
      </w:r>
      <w:r>
        <w:rPr>
          <w:rFonts w:hint="eastAsia" w:ascii="Times New Roman" w:hAnsi="Times New Roman" w:eastAsia="Times New Roman" w:cs="Times New Roman"/>
          <w:sz w:val="24"/>
        </w:rPr>
        <w:t>lines.</w:t>
      </w:r>
      <w:r>
        <w:rPr>
          <w:rFonts w:hint="eastAsia" w:ascii="Times New Roman" w:hAnsi="Times New Roman" w:eastAsia="SimSun" w:cs="Times New Roman"/>
          <w:sz w:val="24"/>
          <w:lang w:val="en-US" w:eastAsia="zh-CN"/>
        </w:rPr>
        <w:t xml:space="preserve"> </w:t>
      </w:r>
      <w:r>
        <w:rPr>
          <w:rFonts w:hint="eastAsia" w:ascii="Times New Roman" w:hAnsi="Times New Roman" w:eastAsia="Times New Roman" w:cs="Times New Roman"/>
          <w:sz w:val="24"/>
        </w:rPr>
        <w:t>Specifically, large language models are used to extract implicit metallurgical knowledge from natural language</w:t>
      </w:r>
      <w:r>
        <w:rPr>
          <w:rFonts w:hint="eastAsia" w:ascii="Times New Roman" w:hAnsi="Times New Roman" w:eastAsia="SimSun" w:cs="Times New Roman"/>
          <w:sz w:val="24"/>
          <w:lang w:val="en-US" w:eastAsia="zh-CN"/>
        </w:rPr>
        <w:t xml:space="preserve"> </w:t>
      </w:r>
      <w:r>
        <w:rPr>
          <w:rFonts w:hint="eastAsia" w:ascii="Times New Roman" w:hAnsi="Times New Roman" w:eastAsia="Times New Roman" w:cs="Times New Roman"/>
          <w:sz w:val="24"/>
        </w:rPr>
        <w:t>[24-26], schema-constrained reconstruction is used for high-fidelity table parsing</w:t>
      </w:r>
      <w:r>
        <w:rPr>
          <w:rFonts w:hint="eastAsia" w:ascii="Times New Roman" w:hAnsi="Times New Roman" w:eastAsia="SimSun" w:cs="Times New Roman"/>
          <w:sz w:val="24"/>
          <w:lang w:val="en-US" w:eastAsia="zh-CN"/>
        </w:rPr>
        <w:t xml:space="preserve"> </w:t>
      </w:r>
      <w:r>
        <w:rPr>
          <w:rFonts w:hint="eastAsia" w:ascii="Times New Roman" w:hAnsi="Times New Roman" w:eastAsia="Times New Roman" w:cs="Times New Roman"/>
          <w:sz w:val="24"/>
        </w:rPr>
        <w:t>[27], and vision-language models are applied to categorize and interpret</w:t>
      </w:r>
      <w:r>
        <w:rPr>
          <w:rFonts w:hint="eastAsia" w:ascii="Times New Roman" w:hAnsi="Times New Roman" w:eastAsia="SimSun" w:cs="Times New Roman"/>
          <w:sz w:val="24"/>
          <w:lang w:val="en-US" w:eastAsia="zh-CN"/>
        </w:rPr>
        <w:t xml:space="preserve"> </w:t>
      </w:r>
      <w:r>
        <w:rPr>
          <w:rFonts w:hint="eastAsia" w:ascii="Times New Roman" w:hAnsi="Times New Roman" w:eastAsia="Times New Roman" w:cs="Times New Roman"/>
          <w:sz w:val="24"/>
        </w:rPr>
        <w:t>graphical information, including microstructural images, diffraction patterns, and performance curves</w:t>
      </w:r>
      <w:r>
        <w:rPr>
          <w:rFonts w:hint="eastAsia" w:ascii="Times New Roman" w:hAnsi="Times New Roman" w:eastAsia="SimSun" w:cs="Times New Roman"/>
          <w:sz w:val="24"/>
          <w:lang w:val="en-US" w:eastAsia="zh-CN"/>
        </w:rPr>
        <w:t xml:space="preserve"> </w:t>
      </w:r>
      <w:r>
        <w:rPr>
          <w:rFonts w:hint="eastAsia" w:ascii="Times New Roman" w:hAnsi="Times New Roman" w:eastAsia="Times New Roman" w:cs="Times New Roman"/>
          <w:sz w:val="24"/>
        </w:rPr>
        <w:t>[28-29].Through cross-modal semantic alignment and unified knowledge representation, the proposed framework progressively transforms fragmented scientific literature into ML-ready CPSP knowledge resources for machine-learning-guided copper alloy design</w:t>
      </w:r>
      <w:r>
        <w:rPr>
          <w:rFonts w:hint="eastAsia" w:ascii="Times New Roman" w:hAnsi="Times New Roman" w:eastAsia="Times New Roman" w:cs="Times New Roman"/>
          <w:sz w:val="24"/>
          <w:lang w:val="en-US" w:eastAsia="zh-CN"/>
        </w:rPr>
        <w:t xml:space="preserve"> </w:t>
      </w:r>
      <w:r>
        <w:rPr>
          <w:rFonts w:hint="eastAsia" w:ascii="Times New Roman" w:hAnsi="Times New Roman" w:eastAsia="Times New Roman" w:cs="Times New Roman"/>
          <w:sz w:val="24"/>
        </w:rPr>
        <w:t>[30-32].</w:t>
      </w:r>
      <w:r>
        <w:rPr>
          <w:rFonts w:hint="eastAsia" w:ascii="Times New Roman" w:hAnsi="Times New Roman" w:eastAsia="Times New Roman" w:cs="Times New Roman"/>
          <w:sz w:val="24"/>
          <w:lang w:val="en-US" w:eastAsia="zh-CN"/>
        </w:rPr>
        <w:t xml:space="preserve"> </w:t>
      </w:r>
      <w:r>
        <w:rPr>
          <w:rFonts w:hint="eastAsia" w:ascii="Times New Roman" w:hAnsi="Times New Roman" w:eastAsia="Times New Roman" w:cs="Times New Roman"/>
          <w:sz w:val="24"/>
        </w:rPr>
        <w:t>From reconstructed CPSP resources, 9,284 ML-ready high-quality data records were further selected for downstream validation, enabling multi-objective prediction and optimization of strength and electrical conductivity in representative Cu</w:t>
      </w:r>
      <w:r>
        <w:rPr>
          <w:rFonts w:hint="default" w:ascii="Times New Roman" w:hAnsi="Times New Roman" w:eastAsia="Times New Roman" w:cs="Times New Roman"/>
          <w:sz w:val="24"/>
          <w:lang w:val="en-US"/>
        </w:rPr>
        <w:t>-</w:t>
      </w:r>
      <w:r>
        <w:rPr>
          <w:rFonts w:hint="eastAsia" w:ascii="Times New Roman" w:hAnsi="Times New Roman" w:eastAsia="Times New Roman" w:cs="Times New Roman"/>
          <w:sz w:val="24"/>
        </w:rPr>
        <w:t>Ni</w:t>
      </w:r>
      <w:r>
        <w:rPr>
          <w:rFonts w:hint="default" w:ascii="Times New Roman" w:hAnsi="Times New Roman" w:eastAsia="Times New Roman" w:cs="Times New Roman"/>
          <w:sz w:val="24"/>
          <w:lang w:val="en-US"/>
        </w:rPr>
        <w:t>-</w:t>
      </w:r>
      <w:r>
        <w:rPr>
          <w:rFonts w:hint="eastAsia" w:ascii="Times New Roman" w:hAnsi="Times New Roman" w:eastAsia="Times New Roman" w:cs="Times New Roman"/>
          <w:sz w:val="24"/>
        </w:rPr>
        <w:t>Si-based and Cu</w:t>
      </w:r>
      <w:r>
        <w:rPr>
          <w:rFonts w:hint="default" w:ascii="Times New Roman" w:hAnsi="Times New Roman" w:eastAsia="Times New Roman" w:cs="Times New Roman"/>
          <w:sz w:val="24"/>
          <w:lang w:val="en-US"/>
        </w:rPr>
        <w:t>-</w:t>
      </w:r>
      <w:r>
        <w:rPr>
          <w:rFonts w:hint="eastAsia" w:ascii="Times New Roman" w:hAnsi="Times New Roman" w:eastAsia="Times New Roman" w:cs="Times New Roman"/>
          <w:sz w:val="24"/>
        </w:rPr>
        <w:t>Cr-based alloy systems.</w:t>
      </w:r>
      <w:r>
        <w:rPr>
          <w:rFonts w:hint="default" w:ascii="Times New Roman" w:hAnsi="Times New Roman" w:eastAsia="Times New Roman" w:cs="Times New Roman"/>
          <w:sz w:val="24"/>
          <w:lang w:val="en-US"/>
        </w:rPr>
        <w:t xml:space="preserve"> </w:t>
      </w:r>
      <w:r>
        <w:rPr>
          <w:rFonts w:hint="eastAsia" w:ascii="Times New Roman" w:hAnsi="Times New Roman" w:eastAsia="Times New Roman" w:cs="Times New Roman"/>
          <w:sz w:val="24"/>
        </w:rPr>
        <w:t>Experimental validation further demonstrated the rapid design capability of the proposed framework for high-strength and high-conductivity copper alloys based on 950,400</w:t>
      </w:r>
      <w:r>
        <w:rPr>
          <w:rFonts w:hint="default" w:ascii="Times New Roman" w:hAnsi="Times New Roman" w:eastAsia="Times New Roman" w:cs="Times New Roman"/>
          <w:sz w:val="24"/>
          <w:lang w:val="en-US"/>
        </w:rPr>
        <w:t xml:space="preserve"> </w:t>
      </w:r>
      <w:r>
        <w:rPr>
          <w:rFonts w:hint="eastAsia" w:ascii="Times New Roman" w:hAnsi="Times New Roman" w:eastAsia="SimSun" w:cs="Times New Roman"/>
          <w:sz w:val="24"/>
          <w:lang w:val="en-US" w:eastAsia="zh-CN"/>
        </w:rPr>
        <w:t>c</w:t>
      </w:r>
      <w:r>
        <w:rPr>
          <w:rFonts w:hint="eastAsia" w:ascii="Times New Roman" w:hAnsi="Times New Roman" w:eastAsia="Times New Roman" w:cs="Times New Roman"/>
          <w:sz w:val="24"/>
        </w:rPr>
        <w:t>omposition</w:t>
      </w:r>
      <w:r>
        <w:rPr>
          <w:rFonts w:hint="default" w:ascii="Times New Roman" w:hAnsi="Times New Roman" w:eastAsia="Times New Roman" w:cs="Times New Roman"/>
          <w:sz w:val="24"/>
          <w:lang w:val="en-US"/>
        </w:rPr>
        <w:t>-</w:t>
      </w:r>
      <w:r>
        <w:rPr>
          <w:rFonts w:hint="eastAsia" w:ascii="Times New Roman" w:hAnsi="Times New Roman" w:eastAsia="SimSun" w:cs="Times New Roman"/>
          <w:sz w:val="24"/>
          <w:lang w:val="en-US" w:eastAsia="zh-CN"/>
        </w:rPr>
        <w:t>p</w:t>
      </w:r>
      <w:r>
        <w:rPr>
          <w:rFonts w:hint="eastAsia" w:ascii="Times New Roman" w:hAnsi="Times New Roman" w:eastAsia="Times New Roman" w:cs="Times New Roman"/>
          <w:sz w:val="24"/>
        </w:rPr>
        <w:t>rocessing feature combinations, while microstructural characterization further revealed that the exceptional strength-conductivity synergy originated from the coupled interaction between retained deformation substructures and nano-scale Ni</w:t>
      </w:r>
      <w:r>
        <w:rPr>
          <w:rFonts w:hint="eastAsia" w:ascii="Times New Roman" w:hAnsi="Times New Roman" w:eastAsia="Times New Roman" w:cs="Times New Roman"/>
          <w:sz w:val="24"/>
          <w:vertAlign w:val="subscript"/>
        </w:rPr>
        <w:t>2</w:t>
      </w:r>
      <w:r>
        <w:rPr>
          <w:rFonts w:hint="eastAsia" w:ascii="Times New Roman" w:hAnsi="Times New Roman" w:eastAsia="Times New Roman" w:cs="Times New Roman"/>
          <w:sz w:val="24"/>
        </w:rPr>
        <w:t>Si precipitates.</w:t>
      </w:r>
      <w:r>
        <w:rPr>
          <w:rFonts w:hint="eastAsia" w:ascii="Times New Roman" w:hAnsi="Times New Roman" w:eastAsia="SimSun" w:cs="Times New Roman"/>
          <w:sz w:val="24"/>
          <w:lang w:val="en-US" w:eastAsia="zh-CN"/>
        </w:rPr>
        <w:t xml:space="preserve"> </w:t>
      </w:r>
      <w:r>
        <w:rPr>
          <w:rFonts w:hint="eastAsia" w:ascii="Times New Roman" w:hAnsi="Times New Roman" w:eastAsia="Times New Roman" w:cs="Times New Roman"/>
          <w:sz w:val="24"/>
        </w:rPr>
        <w:t>More importantly, this work demon</w:t>
      </w:r>
      <w:r>
        <w:rPr>
          <w:rFonts w:hint="default" w:ascii="Times New Roman" w:hAnsi="Times New Roman" w:eastAsia="Times New Roman" w:cs="Times New Roman"/>
          <w:sz w:val="24"/>
          <w:lang w:val="en-US"/>
        </w:rPr>
        <w:t>-</w:t>
      </w:r>
      <w:r>
        <w:rPr>
          <w:rFonts w:hint="eastAsia" w:ascii="Times New Roman" w:hAnsi="Times New Roman" w:eastAsia="Times New Roman" w:cs="Times New Roman"/>
          <w:sz w:val="24"/>
        </w:rPr>
        <w:t>strates a complete pathway from scientific literature to alloy discovery by integrating hierarchical literature knowledge organization, multi-modal CPSP reconstruction, machine learning, and experimental validation</w:t>
      </w:r>
      <w:r>
        <w:rPr>
          <w:rFonts w:hint="eastAsia" w:ascii="Times New Roman" w:hAnsi="Times New Roman" w:eastAsia="SimSun" w:cs="Times New Roman"/>
          <w:sz w:val="24"/>
        </w:rPr>
        <w:t xml:space="preserve"> [11, 25</w:t>
      </w:r>
      <w:r>
        <w:rPr>
          <w:rFonts w:hint="default" w:ascii="Times New Roman" w:hAnsi="Times New Roman" w:eastAsia="SimSun" w:cs="Times New Roman"/>
          <w:kern w:val="2"/>
          <w:sz w:val="24"/>
          <w:lang w:val="en-US"/>
        </w:rPr>
        <w:t>-33</w:t>
      </w:r>
      <w:r>
        <w:rPr>
          <w:rFonts w:hint="eastAsia" w:ascii="Times New Roman" w:hAnsi="Times New Roman" w:eastAsia="SimSun" w:cs="Times New Roman"/>
          <w:sz w:val="24"/>
        </w:rPr>
        <w:t>].</w:t>
      </w:r>
    </w:p>
    <w:p w14:paraId="176C4869">
      <w:pPr>
        <w:pStyle w:val="14"/>
        <w:spacing w:beforeAutospacing="0" w:afterAutospacing="0" w:line="360" w:lineRule="auto"/>
        <w:rPr>
          <w:rFonts w:eastAsia="Times New Roman"/>
          <w:b/>
          <w:bCs/>
          <w:sz w:val="28"/>
          <w:szCs w:val="28"/>
        </w:rPr>
      </w:pPr>
      <w:r>
        <w:rPr>
          <w:rFonts w:hint="eastAsia" w:eastAsia="Times New Roman"/>
          <w:b/>
          <w:bCs/>
          <w:sz w:val="28"/>
          <w:szCs w:val="28"/>
        </w:rPr>
        <w:t>Materials and Methods：</w:t>
      </w:r>
    </w:p>
    <w:p w14:paraId="30228F88">
      <w:pPr>
        <w:pStyle w:val="14"/>
        <w:numPr>
          <w:ilvl w:val="0"/>
          <w:numId w:val="1"/>
        </w:numPr>
        <w:spacing w:beforeAutospacing="0" w:afterAutospacing="0" w:line="360" w:lineRule="auto"/>
        <w:rPr>
          <w:rFonts w:eastAsia="Times New Roman"/>
          <w:b/>
          <w:bCs/>
          <w:sz w:val="28"/>
          <w:szCs w:val="28"/>
        </w:rPr>
      </w:pPr>
      <w:r>
        <w:rPr>
          <w:rFonts w:hint="eastAsia" w:eastAsia="Times New Roman"/>
          <w:b/>
          <w:bCs/>
          <w:sz w:val="28"/>
          <w:szCs w:val="28"/>
        </w:rPr>
        <w:t>Literature Corpus Construction</w:t>
      </w:r>
    </w:p>
    <w:p w14:paraId="13153288">
      <w:pPr>
        <w:pStyle w:val="17"/>
        <w:spacing w:line="360" w:lineRule="auto"/>
        <w:ind w:left="0" w:firstLine="480" w:firstLineChars="200"/>
        <w:rPr>
          <w:rFonts w:ascii="Times New Roman" w:hAnsi="Times New Roman" w:eastAsia="Times New Roman" w:cs="Times New Roman"/>
          <w:sz w:val="24"/>
        </w:rPr>
      </w:pPr>
      <w:r>
        <w:rPr>
          <w:rFonts w:hint="default" w:ascii="Times New Roman" w:hAnsi="Times New Roman" w:eastAsia="Times New Roman" w:cs="Times New Roman"/>
          <w:sz w:val="24"/>
        </w:rPr>
        <w:t>To support literature-driven copper alloy informatics, a large-scale alloy literature corpus was construc</w:t>
      </w:r>
      <w:r>
        <w:rPr>
          <w:rFonts w:hint="default" w:ascii="Times New Roman" w:hAnsi="Times New Roman" w:eastAsia="Times New Roman" w:cs="Times New Roman"/>
          <w:sz w:val="24"/>
          <w:lang w:val="en-US"/>
        </w:rPr>
        <w:t>-</w:t>
      </w:r>
      <w:r>
        <w:rPr>
          <w:rFonts w:hint="default" w:ascii="Times New Roman" w:hAnsi="Times New Roman" w:eastAsia="Times New Roman" w:cs="Times New Roman"/>
          <w:sz w:val="24"/>
        </w:rPr>
        <w:t>ted using the Web of Science advanced search platform with the retrieval keywords “Alloy”, “Cu”, and “Copper”</w:t>
      </w:r>
      <w:r>
        <w:rPr>
          <w:rFonts w:ascii="Times New Roman" w:hAnsi="Times New Roman" w:eastAsia="Times New Roman" w:cs="Times New Roman"/>
          <w:sz w:val="24"/>
        </w:rPr>
        <w:t>.</w:t>
      </w:r>
      <w:r>
        <w:rPr>
          <w:rFonts w:hint="eastAsia" w:ascii="Times New Roman" w:hAnsi="Times New Roman" w:eastAsia="SimSun" w:cs="Times New Roman"/>
          <w:sz w:val="24"/>
          <w:lang w:val="en-US" w:eastAsia="zh-CN"/>
        </w:rPr>
        <w:t xml:space="preserve"> </w:t>
      </w:r>
      <w:r>
        <w:rPr>
          <w:rFonts w:hint="default" w:ascii="Times New Roman" w:hAnsi="Times New Roman" w:eastAsia="Times New Roman" w:cs="Times New Roman"/>
          <w:sz w:val="24"/>
        </w:rPr>
        <w:t>Publications from 2000 to 2025 were systematically collected from major scientific publishers, including Elsevier, the Royal Society of Chemistry (RSC), and Springer Nature. Metadata, including titles, abstracts, keywords, and DOIs, were batch extracted, resulting in an initial corpus of 122,982 publications.</w:t>
      </w:r>
      <w:r>
        <w:rPr>
          <w:rFonts w:hint="eastAsia" w:ascii="Times New Roman" w:hAnsi="Times New Roman" w:eastAsia="SimSun" w:cs="Times New Roman"/>
          <w:sz w:val="24"/>
          <w:lang w:val="en-US" w:eastAsia="zh-CN"/>
        </w:rPr>
        <w:t xml:space="preserve"> </w:t>
      </w:r>
      <w:r>
        <w:rPr>
          <w:rFonts w:hint="default" w:ascii="Times New Roman" w:hAnsi="Times New Roman" w:eastAsia="Times New Roman" w:cs="Times New Roman"/>
          <w:sz w:val="24"/>
        </w:rPr>
        <w:t>The raw corpus was then subjected to standardized pre-processing procedures, including stopword removal, terminology normalization, lemmatization, and duplicate elimination, to facilitate subsequent semantic filtering and knowledge organization</w:t>
      </w:r>
      <w:r>
        <w:rPr>
          <w:rFonts w:hint="eastAsia" w:ascii="Times New Roman" w:hAnsi="Times New Roman" w:eastAsia="SimSun" w:cs="Times New Roman"/>
          <w:sz w:val="24"/>
          <w:lang w:val="en-US" w:eastAsia="zh-CN"/>
        </w:rPr>
        <w:t xml:space="preserve"> </w:t>
      </w:r>
      <w:r>
        <w:rPr>
          <w:rFonts w:ascii="Times New Roman" w:hAnsi="Times New Roman" w:eastAsia="Times New Roman" w:cs="Times New Roman"/>
          <w:sz w:val="24"/>
        </w:rPr>
        <w:t>[22,24]</w:t>
      </w:r>
      <w:r>
        <w:rPr>
          <w:rFonts w:hint="default" w:ascii="Times New Roman" w:hAnsi="Times New Roman" w:eastAsia="Times New Roman" w:cs="Times New Roman"/>
          <w:sz w:val="24"/>
        </w:rPr>
        <w:t>.</w:t>
      </w:r>
      <w:r>
        <w:rPr>
          <w:rFonts w:hint="eastAsia" w:ascii="Times New Roman" w:hAnsi="Times New Roman" w:eastAsia="SimSun" w:cs="Times New Roman"/>
          <w:sz w:val="24"/>
          <w:lang w:val="en-US" w:eastAsia="zh-CN"/>
        </w:rPr>
        <w:t xml:space="preserve"> </w:t>
      </w:r>
      <w:r>
        <w:rPr>
          <w:rFonts w:hint="default" w:ascii="Times New Roman" w:hAnsi="Times New Roman" w:eastAsia="Times New Roman" w:cs="Times New Roman"/>
          <w:sz w:val="24"/>
        </w:rPr>
        <w:t>Semantic filtering was then employed to identify copper-alloy-relevant studies while excluding semantically irrelevant publications, such as archaeology-related copper studies and non-engineering materials literature</w:t>
      </w:r>
      <w:r>
        <w:rPr>
          <w:rFonts w:hint="eastAsia" w:ascii="Times New Roman" w:hAnsi="Times New Roman" w:eastAsia="SimSun" w:cs="Times New Roman"/>
          <w:sz w:val="24"/>
          <w:lang w:val="en-US" w:eastAsia="zh-CN"/>
        </w:rPr>
        <w:t xml:space="preserve"> </w:t>
      </w:r>
      <w:r>
        <w:rPr>
          <w:rFonts w:ascii="Times New Roman" w:hAnsi="Times New Roman" w:eastAsia="Times New Roman" w:cs="Times New Roman"/>
          <w:sz w:val="24"/>
        </w:rPr>
        <w:t>[36].</w:t>
      </w:r>
    </w:p>
    <w:p w14:paraId="2F88D5F0">
      <w:pPr>
        <w:pStyle w:val="17"/>
        <w:numPr>
          <w:ilvl w:val="0"/>
          <w:numId w:val="1"/>
        </w:numPr>
        <w:spacing w:line="360" w:lineRule="auto"/>
        <w:ind w:left="0" w:firstLine="0" w:firstLineChars="0"/>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Corpus-Level Semantic Filtering Based on BERTopic-UMAP</w:t>
      </w:r>
    </w:p>
    <w:p w14:paraId="0C63C8EA">
      <w:pPr>
        <w:pStyle w:val="17"/>
        <w:spacing w:before="120" w:beforeLines="50" w:line="360" w:lineRule="auto"/>
        <w:ind w:left="0" w:firstLine="480" w:firstLineChars="200"/>
        <w:rPr>
          <w:rFonts w:ascii="Times New Roman" w:hAnsi="Times New Roman" w:cs="Times New Roman"/>
          <w:sz w:val="24"/>
        </w:rPr>
      </w:pPr>
      <w:r>
        <w:rPr>
          <w:rFonts w:hint="default" w:ascii="Times New Roman" w:hAnsi="Times New Roman" w:eastAsia="Times New Roman" w:cs="Times New Roman"/>
          <w:sz w:val="24"/>
        </w:rPr>
        <w:t xml:space="preserve">At the corpus level, the BERTopic-UMAP framework was employed </w:t>
      </w:r>
      <w:r>
        <w:rPr>
          <w:rFonts w:hint="default" w:ascii="Times New Roman" w:hAnsi="Times New Roman" w:eastAsia="Times New Roman" w:cs="Times New Roman"/>
          <w:sz w:val="24"/>
          <w:lang w:val="en-US"/>
        </w:rPr>
        <w:t xml:space="preserve">to </w:t>
      </w:r>
      <w:r>
        <w:rPr>
          <w:rFonts w:ascii="Times New Roman" w:hAnsi="Times New Roman" w:eastAsia="Times New Roman" w:cs="Times New Roman"/>
          <w:sz w:val="24"/>
        </w:rPr>
        <w:t>characteriz</w:t>
      </w:r>
      <w:r>
        <w:rPr>
          <w:rFonts w:hint="eastAsia" w:ascii="Times New Roman" w:hAnsi="Times New Roman" w:eastAsia="SimSun" w:cs="Times New Roman"/>
          <w:sz w:val="24"/>
          <w:lang w:val="en-US" w:eastAsia="zh-CN"/>
        </w:rPr>
        <w:t>e</w:t>
      </w:r>
      <w:r>
        <w:rPr>
          <w:rFonts w:ascii="Times New Roman" w:hAnsi="Times New Roman" w:eastAsia="Times New Roman" w:cs="Times New Roman"/>
          <w:sz w:val="24"/>
        </w:rPr>
        <w:t xml:space="preserve"> different research directions while preserving semantic neighborhood relationships across related topics to reduce information loss caused by overly rigid filtering [15]. </w:t>
      </w:r>
      <w:r>
        <w:rPr>
          <w:rFonts w:hint="default" w:ascii="Times New Roman" w:hAnsi="Times New Roman" w:eastAsia="Times New Roman" w:cs="Times New Roman"/>
          <w:sz w:val="24"/>
        </w:rPr>
        <w:t>By integrating pre-trained language models with topic modeling, BERTopic enables high-resolution semantic clustering and relevance identification within the literature embedding space.</w:t>
      </w:r>
      <w:r>
        <w:rPr>
          <w:rFonts w:hint="default" w:ascii="Times New Roman" w:hAnsi="Times New Roman" w:eastAsia="Times New Roman" w:cs="Times New Roman"/>
          <w:sz w:val="24"/>
          <w:lang w:val="en-US"/>
        </w:rPr>
        <w:t xml:space="preserve"> Specifically, each publication </w:t>
      </w:r>
      <w:r>
        <w:rPr>
          <w:rFonts w:ascii="Times New Roman" w:hAnsi="Times New Roman" w:eastAsia="Times New Roman" w:cs="Times New Roman"/>
          <w:sz w:val="24"/>
        </w:rPr>
        <w:t>d</w:t>
      </w:r>
      <w:r>
        <w:rPr>
          <w:rFonts w:ascii="Times New Roman" w:hAnsi="Times New Roman" w:eastAsia="Times New Roman" w:cs="Times New Roman"/>
          <w:sz w:val="24"/>
          <w:vertAlign w:val="subscript"/>
        </w:rPr>
        <w:t>i</w:t>
      </w:r>
      <w:r>
        <w:rPr>
          <w:rFonts w:ascii="Times New Roman" w:hAnsi="Times New Roman" w:eastAsia="Times New Roman" w:cs="Times New Roman"/>
          <w:sz w:val="24"/>
        </w:rPr>
        <w:t xml:space="preserve"> was first mapped into a high-dimensional semantic embedding vector e</w:t>
      </w:r>
      <w:r>
        <w:rPr>
          <w:rFonts w:ascii="Times New Roman" w:hAnsi="Times New Roman" w:eastAsia="Times New Roman" w:cs="Times New Roman"/>
          <w:sz w:val="24"/>
          <w:vertAlign w:val="subscript"/>
        </w:rPr>
        <w:t>i</w:t>
      </w:r>
      <w:r>
        <w:rPr>
          <w:rFonts w:ascii="Times New Roman" w:hAnsi="Times New Roman" w:eastAsia="Times New Roman" w:cs="Times New Roman"/>
          <w:sz w:val="24"/>
        </w:rPr>
        <w:t xml:space="preserve"> using a pre-trained language model (e.g., Sentence-BERT):</w:t>
      </w:r>
    </w:p>
    <w:p w14:paraId="371834A8">
      <w:pPr>
        <w:pStyle w:val="21"/>
        <w:jc w:val="right"/>
        <w:rPr>
          <w:rFonts w:ascii="Times New Roman Bold" w:hAnsi="Times New Roman Bold" w:cs="Times New Roman Bold"/>
          <w:b/>
          <w:bCs/>
          <w:sz w:val="24"/>
        </w:rPr>
      </w:pPr>
      <w:r>
        <w:rPr>
          <w:rFonts w:hint="default" w:hAnsi="DejaVu Math TeX Gyre" w:cs="Times New Roman"/>
          <w:i w:val="0"/>
          <w:lang w:val="en-US"/>
        </w:rPr>
        <w:t xml:space="preserve">  </w:t>
      </w:r>
      <m:oMath>
        <m:sSub>
          <m:sSubPr>
            <m:ctrlPr>
              <w:rPr>
                <w:rFonts w:ascii="DejaVu Math TeX Gyre" w:hAnsi="DejaVu Math TeX Gyre" w:cs="Times New Roman"/>
                <w:i/>
              </w:rPr>
            </m:ctrlPr>
          </m:sSubPr>
          <m:e>
            <m:r>
              <m:rPr/>
              <w:rPr>
                <w:rFonts w:ascii="DejaVu Math TeX Gyre" w:hAnsi="DejaVu Math TeX Gyre" w:eastAsia="Times New Roman" w:cs="Times New Roman"/>
              </w:rPr>
              <m:t>e</m:t>
            </m:r>
            <m:ctrlPr>
              <w:rPr>
                <w:rFonts w:ascii="DejaVu Math TeX Gyre" w:hAnsi="DejaVu Math TeX Gyre" w:cs="Times New Roman"/>
                <w:i/>
              </w:rPr>
            </m:ctrlPr>
          </m:e>
          <m:sub>
            <m:r>
              <m:rPr/>
              <w:rPr>
                <w:rFonts w:ascii="DejaVu Math TeX Gyre" w:hAnsi="DejaVu Math TeX Gyre" w:eastAsia="Times New Roman" w:cs="Times New Roman"/>
              </w:rPr>
              <m:t xml:space="preserve">i </m:t>
            </m:r>
            <m:ctrlPr>
              <w:rPr>
                <w:rFonts w:ascii="DejaVu Math TeX Gyre" w:hAnsi="DejaVu Math TeX Gyre" w:cs="Times New Roman"/>
                <w:i/>
              </w:rPr>
            </m:ctrlPr>
          </m:sub>
        </m:sSub>
        <m:r>
          <m:rPr/>
          <w:rPr>
            <w:rFonts w:ascii="DejaVu Math TeX Gyre" w:hAnsi="DejaVu Math TeX Gyre" w:eastAsia="Times New Roman" w:cs="Times New Roman"/>
          </w:rPr>
          <m:t xml:space="preserve">= </m:t>
        </m:r>
        <m:sSub>
          <m:sSubPr>
            <m:ctrlPr>
              <w:rPr>
                <w:rFonts w:ascii="DejaVu Math TeX Gyre" w:hAnsi="DejaVu Math TeX Gyre" w:cs="Times New Roman"/>
                <w:i/>
              </w:rPr>
            </m:ctrlPr>
          </m:sSubPr>
          <m:e>
            <m:r>
              <m:rPr/>
              <w:rPr>
                <w:rFonts w:ascii="DejaVu Math TeX Gyre" w:hAnsi="DejaVu Math TeX Gyre" w:eastAsia="Times New Roman" w:cs="Times New Roman"/>
              </w:rPr>
              <m:t>f</m:t>
            </m:r>
            <m:ctrlPr>
              <w:rPr>
                <w:rFonts w:ascii="DejaVu Math TeX Gyre" w:hAnsi="DejaVu Math TeX Gyre" w:cs="Times New Roman"/>
                <w:i/>
              </w:rPr>
            </m:ctrlPr>
          </m:e>
          <m:sub>
            <m:r>
              <m:rPr/>
              <w:rPr>
                <w:rFonts w:ascii="DejaVu Math TeX Gyre" w:hAnsi="DejaVu Math TeX Gyre" w:eastAsia="Times New Roman" w:cs="Times New Roman"/>
              </w:rPr>
              <m:t>embed</m:t>
            </m:r>
            <m:ctrlPr>
              <w:rPr>
                <w:rFonts w:ascii="DejaVu Math TeX Gyre" w:hAnsi="DejaVu Math TeX Gyre" w:cs="Times New Roman"/>
                <w:i/>
              </w:rPr>
            </m:ctrlPr>
          </m:sub>
        </m:sSub>
        <m:r>
          <m:rPr/>
          <w:rPr>
            <w:rFonts w:ascii="DejaVu Math TeX Gyre" w:hAnsi="DejaVu Math TeX Gyre" w:eastAsia="Times New Roman" w:cs="Times New Roman"/>
          </w:rPr>
          <m:t>(</m:t>
        </m:r>
        <m:sSub>
          <m:sSubPr>
            <m:ctrlPr>
              <w:rPr>
                <w:rFonts w:ascii="DejaVu Math TeX Gyre" w:hAnsi="DejaVu Math TeX Gyre" w:cs="Times New Roman"/>
                <w:i/>
              </w:rPr>
            </m:ctrlPr>
          </m:sSubPr>
          <m:e>
            <m:r>
              <m:rPr/>
              <w:rPr>
                <w:rFonts w:ascii="DejaVu Math TeX Gyre" w:hAnsi="DejaVu Math TeX Gyre" w:eastAsia="Times New Roman" w:cs="Times New Roman"/>
              </w:rPr>
              <m:t>d</m:t>
            </m:r>
            <m:ctrlPr>
              <w:rPr>
                <w:rFonts w:ascii="DejaVu Math TeX Gyre" w:hAnsi="DejaVu Math TeX Gyre" w:cs="Times New Roman"/>
                <w:i/>
              </w:rPr>
            </m:ctrlPr>
          </m:e>
          <m:sub>
            <m:r>
              <m:rPr/>
              <w:rPr>
                <w:rFonts w:ascii="DejaVu Math TeX Gyre" w:hAnsi="DejaVu Math TeX Gyre" w:eastAsia="Times New Roman" w:cs="Times New Roman"/>
              </w:rPr>
              <m:t>i</m:t>
            </m:r>
            <m:ctrlPr>
              <w:rPr>
                <w:rFonts w:ascii="DejaVu Math TeX Gyre" w:hAnsi="DejaVu Math TeX Gyre" w:cs="Times New Roman"/>
                <w:i/>
              </w:rPr>
            </m:ctrlPr>
          </m:sub>
        </m:sSub>
        <m:r>
          <m:rPr/>
          <w:rPr>
            <w:rFonts w:ascii="DejaVu Math TeX Gyre" w:hAnsi="DejaVu Math TeX Gyre" w:eastAsia="Times New Roman" w:cs="Times New Roman"/>
          </w:rPr>
          <m:t>)</m:t>
        </m:r>
      </m:oMath>
      <w:r>
        <w:rPr>
          <w:rFonts w:hAnsi="DejaVu Math TeX Gyre" w:eastAsia="Times New Roman" w:cs="Times New Roman"/>
        </w:rPr>
        <w:t xml:space="preserve"> </w:t>
      </w:r>
      <w:r>
        <w:rPr>
          <w:rFonts w:hint="default" w:hAnsi="DejaVu Math TeX Gyre" w:eastAsia="Times New Roman" w:cs="Times New Roman"/>
          <w:lang w:val="en-US"/>
        </w:rPr>
        <w:t xml:space="preserve">           </w:t>
      </w:r>
      <w:r>
        <w:rPr>
          <w:rFonts w:ascii="Times New Roman Regular" w:hAnsi="Times New Roman Regular" w:eastAsia="Times New Roman" w:cs="Times New Roman Regular"/>
          <w:position w:val="-14"/>
          <w:sz w:val="24"/>
        </w:rPr>
        <w:t xml:space="preserve"> </w:t>
      </w:r>
      <w:r>
        <w:rPr>
          <w:rFonts w:hAnsi="DejaVu Math TeX Gyre" w:eastAsia="Times New Roman" w:cs="Times New Roman"/>
        </w:rPr>
        <w:t xml:space="preserve"> </w:t>
      </w:r>
      <w:r>
        <w:rPr>
          <w:rFonts w:ascii="Times New Roman Regular" w:hAnsi="Times New Roman Regular" w:eastAsia="Times New Roman" w:cs="Times New Roman Regular"/>
          <w:position w:val="-14"/>
          <w:sz w:val="24"/>
        </w:rPr>
        <w:t xml:space="preserve">                                              </w:t>
      </w:r>
      <w:r>
        <w:rPr>
          <w:rFonts w:ascii="Times New Roman Regular" w:hAnsi="Times New Roman Regular" w:eastAsia="Times New Roman" w:cs="Times New Roman Regular"/>
          <w:sz w:val="24"/>
        </w:rPr>
        <w:t>(2.1)</w:t>
      </w:r>
    </w:p>
    <w:p w14:paraId="36A8DD4F">
      <w:pPr>
        <w:pStyle w:val="17"/>
        <w:spacing w:before="120" w:beforeLines="50" w:line="360" w:lineRule="auto"/>
        <w:ind w:left="0"/>
        <w:rPr>
          <w:rFonts w:ascii="Times New Roman" w:hAnsi="Times New Roman" w:cs="Times New Roman"/>
          <w:sz w:val="24"/>
        </w:rPr>
      </w:pPr>
      <w:r>
        <w:rPr>
          <w:rFonts w:hint="default" w:ascii="Times New Roman" w:hAnsi="Times New Roman" w:eastAsia="Times New Roman" w:cs="Times New Roman"/>
          <w:sz w:val="24"/>
        </w:rPr>
        <w:t>Subsequently, Uniform Manifold Approximation and Projection (UMAP) was applied for nonlinear dimensionality reduction of the high-dimensional embedding vectors, generating low-dimensional semantic representations</w:t>
      </w:r>
      <w:r>
        <w:rPr>
          <w:rFonts w:ascii="Times New Roman" w:hAnsi="Times New Roman" w:eastAsia="Times New Roman" w:cs="Times New Roman"/>
          <w:sz w:val="24"/>
        </w:rPr>
        <w:t xml:space="preserve"> u</w:t>
      </w:r>
      <w:r>
        <w:rPr>
          <w:rFonts w:ascii="Times New Roman" w:hAnsi="Times New Roman" w:eastAsia="Times New Roman" w:cs="Times New Roman"/>
          <w:sz w:val="24"/>
          <w:vertAlign w:val="subscript"/>
        </w:rPr>
        <w:t>i</w:t>
      </w:r>
      <w:r>
        <w:rPr>
          <w:rFonts w:ascii="Times New Roman" w:hAnsi="Times New Roman" w:eastAsia="Times New Roman" w:cs="Times New Roman"/>
          <w:sz w:val="24"/>
        </w:rPr>
        <w:t>:</w:t>
      </w:r>
    </w:p>
    <w:p w14:paraId="073EF618">
      <w:pPr>
        <w:pStyle w:val="21"/>
        <w:jc w:val="right"/>
        <w:rPr>
          <w:rFonts w:ascii="Times New Roman" w:hAnsi="Times New Roman" w:cs="Times New Roman"/>
          <w:sz w:val="24"/>
        </w:rPr>
      </w:pPr>
      <m:oMath>
        <m:sSub>
          <m:sSubPr>
            <m:ctrlPr>
              <w:rPr>
                <w:rFonts w:ascii="DejaVu Math TeX Gyre" w:hAnsi="DejaVu Math TeX Gyre" w:cs="Times New Roman"/>
                <w:i/>
              </w:rPr>
            </m:ctrlPr>
          </m:sSubPr>
          <m:e>
            <m:r>
              <m:rPr/>
              <w:rPr>
                <w:rFonts w:ascii="DejaVu Math TeX Gyre" w:hAnsi="DejaVu Math TeX Gyre" w:eastAsia="Times New Roman" w:cs="Times New Roman"/>
              </w:rPr>
              <m:t>u</m:t>
            </m:r>
            <m:ctrlPr>
              <w:rPr>
                <w:rFonts w:ascii="DejaVu Math TeX Gyre" w:hAnsi="DejaVu Math TeX Gyre" w:cs="Times New Roman"/>
                <w:i/>
              </w:rPr>
            </m:ctrlPr>
          </m:e>
          <m:sub>
            <m:r>
              <m:rPr/>
              <w:rPr>
                <w:rFonts w:ascii="DejaVu Math TeX Gyre" w:hAnsi="DejaVu Math TeX Gyre" w:eastAsia="Times New Roman" w:cs="Times New Roman"/>
              </w:rPr>
              <m:t xml:space="preserve">i </m:t>
            </m:r>
            <m:ctrlPr>
              <w:rPr>
                <w:rFonts w:ascii="DejaVu Math TeX Gyre" w:hAnsi="DejaVu Math TeX Gyre" w:cs="Times New Roman"/>
                <w:i/>
              </w:rPr>
            </m:ctrlPr>
          </m:sub>
        </m:sSub>
        <m:r>
          <m:rPr/>
          <w:rPr>
            <w:rFonts w:ascii="DejaVu Math TeX Gyre" w:hAnsi="DejaVu Math TeX Gyre" w:eastAsia="Times New Roman" w:cs="Times New Roman"/>
          </w:rPr>
          <m:t xml:space="preserve">= </m:t>
        </m:r>
        <m:sSub>
          <m:sSubPr>
            <m:ctrlPr>
              <w:rPr>
                <w:rFonts w:ascii="DejaVu Math TeX Gyre" w:hAnsi="DejaVu Math TeX Gyre" w:cs="Times New Roman"/>
                <w:i/>
              </w:rPr>
            </m:ctrlPr>
          </m:sSubPr>
          <m:e>
            <m:r>
              <m:rPr/>
              <w:rPr>
                <w:rFonts w:ascii="DejaVu Math TeX Gyre" w:hAnsi="DejaVu Math TeX Gyre" w:eastAsia="Times New Roman" w:cs="Times New Roman"/>
              </w:rPr>
              <m:t>f</m:t>
            </m:r>
            <m:ctrlPr>
              <w:rPr>
                <w:rFonts w:ascii="DejaVu Math TeX Gyre" w:hAnsi="DejaVu Math TeX Gyre" w:cs="Times New Roman"/>
                <w:i/>
              </w:rPr>
            </m:ctrlPr>
          </m:e>
          <m:sub>
            <m:r>
              <m:rPr/>
              <w:rPr>
                <w:rFonts w:ascii="DejaVu Math TeX Gyre" w:hAnsi="DejaVu Math TeX Gyre" w:eastAsia="Times New Roman" w:cs="Times New Roman"/>
              </w:rPr>
              <m:t>UMAP</m:t>
            </m:r>
            <m:ctrlPr>
              <w:rPr>
                <w:rFonts w:ascii="DejaVu Math TeX Gyre" w:hAnsi="DejaVu Math TeX Gyre" w:cs="Times New Roman"/>
                <w:i/>
              </w:rPr>
            </m:ctrlPr>
          </m:sub>
        </m:sSub>
        <m:r>
          <m:rPr/>
          <w:rPr>
            <w:rFonts w:ascii="DejaVu Math TeX Gyre" w:hAnsi="DejaVu Math TeX Gyre" w:eastAsia="Times New Roman" w:cs="Times New Roman"/>
          </w:rPr>
          <m:t>(</m:t>
        </m:r>
        <m:sSub>
          <m:sSubPr>
            <m:ctrlPr>
              <w:rPr>
                <w:rFonts w:ascii="DejaVu Math TeX Gyre" w:hAnsi="DejaVu Math TeX Gyre" w:cs="Times New Roman"/>
                <w:i/>
              </w:rPr>
            </m:ctrlPr>
          </m:sSubPr>
          <m:e>
            <m:r>
              <m:rPr/>
              <w:rPr>
                <w:rFonts w:ascii="DejaVu Math TeX Gyre" w:hAnsi="DejaVu Math TeX Gyre" w:eastAsia="Times New Roman" w:cs="Times New Roman"/>
              </w:rPr>
              <m:t>e</m:t>
            </m:r>
            <m:ctrlPr>
              <w:rPr>
                <w:rFonts w:ascii="DejaVu Math TeX Gyre" w:hAnsi="DejaVu Math TeX Gyre" w:cs="Times New Roman"/>
                <w:i/>
              </w:rPr>
            </m:ctrlPr>
          </m:e>
          <m:sub>
            <m:r>
              <m:rPr/>
              <w:rPr>
                <w:rFonts w:ascii="DejaVu Math TeX Gyre" w:hAnsi="DejaVu Math TeX Gyre" w:eastAsia="Times New Roman" w:cs="Times New Roman"/>
              </w:rPr>
              <m:t>i</m:t>
            </m:r>
            <m:ctrlPr>
              <w:rPr>
                <w:rFonts w:ascii="DejaVu Math TeX Gyre" w:hAnsi="DejaVu Math TeX Gyre" w:cs="Times New Roman"/>
                <w:i/>
              </w:rPr>
            </m:ctrlPr>
          </m:sub>
        </m:sSub>
        <m:r>
          <m:rPr/>
          <w:rPr>
            <w:rFonts w:ascii="DejaVu Math TeX Gyre" w:hAnsi="DejaVu Math TeX Gyre" w:eastAsia="Times New Roman" w:cs="Times New Roman"/>
          </w:rPr>
          <m:t>)</m:t>
        </m:r>
      </m:oMath>
      <w:r>
        <w:rPr>
          <w:rFonts w:hAnsi="DejaVu Math TeX Gyre" w:eastAsia="Times New Roman" w:cs="Times New Roman"/>
        </w:rPr>
        <w:t xml:space="preserve"> </w:t>
      </w:r>
      <w:r>
        <w:rPr>
          <w:rFonts w:hint="default" w:hAnsi="DejaVu Math TeX Gyre" w:eastAsia="Times New Roman" w:cs="Times New Roman"/>
          <w:lang w:val="en-US"/>
        </w:rPr>
        <w:t xml:space="preserve">             </w:t>
      </w:r>
      <w:r>
        <w:rPr>
          <w:rFonts w:ascii="Times New Roman Regular" w:hAnsi="Times New Roman Regular" w:eastAsia="Times New Roman" w:cs="Times New Roman Regular"/>
          <w:position w:val="-14"/>
          <w:sz w:val="24"/>
        </w:rPr>
        <w:t xml:space="preserve">                                              </w:t>
      </w:r>
      <w:r>
        <w:rPr>
          <w:rFonts w:ascii="Times New Roman Regular" w:hAnsi="Times New Roman Regular" w:eastAsia="Times New Roman" w:cs="Times New Roman Regular"/>
          <w:sz w:val="24"/>
        </w:rPr>
        <w:t>(2.2)</w:t>
      </w:r>
    </w:p>
    <w:p w14:paraId="76485C72">
      <w:pPr>
        <w:pStyle w:val="17"/>
        <w:spacing w:before="120" w:beforeLines="50" w:line="360" w:lineRule="auto"/>
        <w:ind w:left="0" w:firstLine="480" w:firstLineChars="200"/>
        <w:rPr>
          <w:rFonts w:ascii="Times New Roman" w:hAnsi="Times New Roman" w:eastAsia="Times New Roman" w:cs="Times New Roman"/>
          <w:sz w:val="24"/>
        </w:rPr>
      </w:pPr>
      <w:r>
        <w:rPr>
          <w:rFonts w:ascii="Times New Roman" w:hAnsi="Times New Roman" w:eastAsia="Times New Roman" w:cs="Times New Roman"/>
          <w:sz w:val="24"/>
        </w:rPr>
        <w:t xml:space="preserve">UMAP compresses the high-dimensional semantic space while preserving local neighborhood structures, thereby enabling the emergence of well-defined semantic clusters in low-dimensional space. </w:t>
      </w:r>
    </w:p>
    <w:p w14:paraId="1573BAC2">
      <w:pPr>
        <w:pStyle w:val="17"/>
        <w:spacing w:before="120" w:beforeLines="50" w:line="360" w:lineRule="auto"/>
        <w:ind w:left="0" w:firstLine="0" w:firstLineChars="0"/>
        <w:rPr>
          <w:rFonts w:ascii="Times New Roman" w:hAnsi="Times New Roman" w:cs="Times New Roman"/>
          <w:sz w:val="24"/>
        </w:rPr>
      </w:pPr>
      <w:r>
        <w:rPr>
          <w:rFonts w:hint="default" w:ascii="Times New Roman" w:hAnsi="Times New Roman" w:eastAsia="Times New Roman" w:cs="Times New Roman"/>
          <w:sz w:val="24"/>
        </w:rPr>
        <w:t>Based on these semantic embeddings, copper-alloy-relevant regions were identified from the broader alloy literature space, providing the corpus-level foundation for subsequent topic-level knowledge organization</w:t>
      </w:r>
      <w:r>
        <w:rPr>
          <w:rFonts w:hint="default" w:ascii="Times New Roman" w:hAnsi="Times New Roman" w:eastAsia="Times New Roman" w:cs="Times New Roman"/>
          <w:sz w:val="24"/>
          <w:lang w:val="en-US"/>
        </w:rPr>
        <w:t xml:space="preserve"> </w:t>
      </w:r>
      <w:r>
        <w:rPr>
          <w:rFonts w:ascii="Times New Roman" w:hAnsi="Times New Roman" w:eastAsia="Times New Roman" w:cs="Times New Roman"/>
          <w:sz w:val="24"/>
        </w:rPr>
        <w:t xml:space="preserve">[16]. </w:t>
      </w:r>
    </w:p>
    <w:p w14:paraId="13D05542">
      <w:pPr>
        <w:pStyle w:val="14"/>
        <w:numPr>
          <w:ilvl w:val="0"/>
          <w:numId w:val="1"/>
        </w:numPr>
        <w:spacing w:beforeAutospacing="0" w:afterAutospacing="0" w:line="360" w:lineRule="auto"/>
        <w:rPr>
          <w:rFonts w:eastAsia="Times New Roman"/>
          <w:b/>
          <w:bCs/>
          <w:sz w:val="28"/>
          <w:szCs w:val="28"/>
        </w:rPr>
      </w:pPr>
      <w:r>
        <w:rPr>
          <w:rFonts w:hint="default" w:eastAsia="Times New Roman"/>
          <w:b/>
          <w:bCs/>
          <w:sz w:val="28"/>
          <w:szCs w:val="28"/>
          <w:lang w:val="en-US"/>
        </w:rPr>
        <w:t xml:space="preserve"> Topic-Level Knowledge Organization Based on Latent Dirichlet Allocation </w:t>
      </w:r>
    </w:p>
    <w:p w14:paraId="77D42426">
      <w:pPr>
        <w:pStyle w:val="17"/>
        <w:spacing w:before="120" w:beforeLines="50" w:line="360" w:lineRule="auto"/>
        <w:ind w:left="0" w:firstLine="480" w:firstLineChars="200"/>
        <w:rPr>
          <w:rFonts w:ascii="Times New Roman" w:hAnsi="Times New Roman" w:cs="Times New Roman"/>
          <w:sz w:val="24"/>
        </w:rPr>
      </w:pPr>
      <w:r>
        <w:rPr>
          <w:rFonts w:ascii="Times New Roman" w:hAnsi="Times New Roman" w:cs="Times New Roman"/>
          <w:sz w:val="24"/>
        </w:rPr>
        <w:t>Latent Dirichlet Allocation (LDA) is a classical probabilistic generative topic model, assuming each publication</w:t>
      </w:r>
      <w:r>
        <w:rPr>
          <w:rFonts w:hint="default" w:ascii="Times New Roman" w:hAnsi="Times New Roman" w:cs="Times New Roman"/>
          <w:sz w:val="24"/>
          <w:lang w:val="en-US"/>
        </w:rPr>
        <w:t xml:space="preserve"> </w:t>
      </w:r>
      <w:r>
        <w:rPr>
          <w:rFonts w:ascii="Times New Roman" w:hAnsi="Times New Roman" w:cs="Times New Roman"/>
          <w:sz w:val="24"/>
        </w:rPr>
        <w:t>is generated from a mixture of multiple latent topics, while each topic corresponds to a probability distribution over vocabulary [23]. For a given document corpus, the joint probability distribution can be expressed as:</w:t>
      </w:r>
    </w:p>
    <w:p w14:paraId="167DDB64">
      <w:pPr>
        <w:pStyle w:val="21"/>
        <w:spacing w:line="360" w:lineRule="auto"/>
        <w:jc w:val="right"/>
        <w:rPr>
          <w:rFonts w:ascii="Times New Roman Regular" w:hAnsi="Times New Roman Regular" w:cs="Times New Roman Regular"/>
          <w:position w:val="-14"/>
          <w:sz w:val="24"/>
        </w:rPr>
      </w:pPr>
      <w:r>
        <w:rPr>
          <w:rFonts w:ascii="Times New Roman" w:hAnsi="Times New Roman" w:cs="Times New Roman"/>
          <w:b/>
          <w:sz w:val="24"/>
        </w:rPr>
        <w:pict>
          <v:shape id="_x0000_s1026" o:spid="_x0000_s1026" o:spt="75" type="#_x0000_t75" style="position:absolute;left:0pt;margin-left:97.9pt;margin-top:7.1pt;height:28.8pt;width:297pt;mso-wrap-distance-bottom:0pt;mso-wrap-distance-left:9pt;mso-wrap-distance-right:9pt;mso-wrap-distance-top:0pt;z-index:251663360;mso-width-relative:page;mso-height-relative:page;" o:ole="t" filled="f" o:preferrelative="t" stroked="f" coordsize="21600,21600">
            <v:path/>
            <v:fill on="f" focussize="0,0"/>
            <v:stroke on="f" joinstyle="miter"/>
            <v:imagedata r:id="rId5" o:title=""/>
            <o:lock v:ext="edit" aspectratio="t"/>
            <w10:wrap type="square"/>
          </v:shape>
          <o:OLEObject Type="Embed" ProgID="Equation.KSEE3" ShapeID="_x0000_s1026" DrawAspect="Content" ObjectID="_1468075725" r:id="rId4">
            <o:LockedField>false</o:LockedField>
          </o:OLEObject>
        </w:pict>
      </w:r>
      <w:r>
        <w:rPr>
          <w:rFonts w:hAnsi="DejaVu Math TeX Gyre" w:cs="Times New Roman"/>
        </w:rPr>
        <w:t xml:space="preserve"> </w:t>
      </w:r>
      <w:r>
        <w:rPr>
          <w:rFonts w:ascii="Times New Roman Regular" w:hAnsi="Times New Roman Regular" w:cs="Times New Roman Regular"/>
          <w:position w:val="-14"/>
          <w:sz w:val="24"/>
        </w:rPr>
        <w:t xml:space="preserve">  </w:t>
      </w:r>
      <w:r>
        <w:rPr>
          <w:rFonts w:ascii="DejaVu Math TeX Gyre" w:hAnsi="DejaVu Math TeX Gyre" w:cs="Times New Roman"/>
          <w:i/>
        </w:rPr>
        <w:t xml:space="preserve">                                         </w:t>
      </w:r>
      <w:r>
        <w:rPr>
          <w:rFonts w:ascii="Times New Roman Regular" w:hAnsi="Times New Roman Regular" w:cs="Times New Roman Regular"/>
          <w:position w:val="-14"/>
          <w:sz w:val="24"/>
        </w:rPr>
        <w:t>(2.3)</w:t>
      </w:r>
    </w:p>
    <w:p w14:paraId="75564C10">
      <w:pPr>
        <w:pStyle w:val="17"/>
        <w:spacing w:before="120" w:beforeLines="50" w:line="360" w:lineRule="auto"/>
        <w:ind w:left="0"/>
        <w:rPr>
          <w:rFonts w:ascii="Times New Roman" w:hAnsi="Times New Roman" w:cs="Times New Roman"/>
          <w:sz w:val="24"/>
        </w:rPr>
      </w:pPr>
    </w:p>
    <w:p w14:paraId="2672B469">
      <w:pPr>
        <w:pStyle w:val="17"/>
        <w:spacing w:before="120" w:beforeLines="50" w:line="360" w:lineRule="auto"/>
        <w:ind w:left="0" w:firstLine="0" w:firstLineChars="0"/>
        <w:rPr>
          <w:rFonts w:ascii="Times New Roman" w:hAnsi="Times New Roman" w:cs="Times New Roman"/>
          <w:sz w:val="24"/>
        </w:rPr>
      </w:pPr>
      <w:r>
        <w:rPr>
          <w:rFonts w:ascii="Times New Roman" w:hAnsi="Times New Roman" w:cs="Times New Roman"/>
          <w:sz w:val="24"/>
        </w:rPr>
        <w:t xml:space="preserve">where ω denotes the observed word set, z represents topic assignments, θ and ϕ correspond to the document-topic and topic-word distributions, respectively,  α and β are Dirichlet hyper-parameters. </w:t>
      </w:r>
    </w:p>
    <w:p w14:paraId="0C61FBD8">
      <w:pPr>
        <w:pStyle w:val="17"/>
        <w:spacing w:before="120" w:beforeLines="50" w:line="360" w:lineRule="auto"/>
        <w:ind w:left="0" w:firstLine="480" w:firstLineChars="200"/>
        <w:rPr>
          <w:rFonts w:ascii="Times New Roman" w:hAnsi="Times New Roman" w:cs="Times New Roman"/>
          <w:sz w:val="24"/>
        </w:rPr>
      </w:pPr>
      <w:r>
        <w:rPr>
          <w:rFonts w:hint="default" w:ascii="Times New Roman" w:hAnsi="Times New Roman" w:cs="Times New Roman"/>
          <w:sz w:val="24"/>
        </w:rPr>
        <w:t>In this study, LDA was employed to organize the filtered copper alloy literature into interpretable thematic knowledge modules.</w:t>
      </w:r>
      <w:r>
        <w:rPr>
          <w:rFonts w:hint="default" w:ascii="Times New Roman" w:hAnsi="Times New Roman" w:cs="Times New Roman"/>
          <w:sz w:val="24"/>
          <w:lang w:val="en-US"/>
        </w:rPr>
        <w:t xml:space="preserve"> </w:t>
      </w:r>
      <w:r>
        <w:rPr>
          <w:rFonts w:ascii="Times New Roman" w:hAnsi="Times New Roman" w:cs="Times New Roman"/>
          <w:sz w:val="24"/>
        </w:rPr>
        <w:t>The optimal number of topics was determined using the topic coherence score, enabling identification of the major research themes and their semantic relationships within the copper-alloy domain.</w:t>
      </w:r>
      <w:r>
        <w:rPr>
          <w:rFonts w:hint="default" w:ascii="Times New Roman" w:hAnsi="Times New Roman" w:cs="Times New Roman"/>
          <w:sz w:val="24"/>
          <w:lang w:val="en-US"/>
        </w:rPr>
        <w:t xml:space="preserve"> </w:t>
      </w:r>
      <w:r>
        <w:rPr>
          <w:rFonts w:hint="default" w:ascii="Times New Roman" w:hAnsi="Times New Roman" w:cs="Times New Roman"/>
          <w:sz w:val="24"/>
        </w:rPr>
        <w:t>This process reveals topic-level knowledge distribution of copper alloy research and provides an organized semantic structure for subsequent document-level CPSP reconstruction and downstream alloy design.</w:t>
      </w:r>
    </w:p>
    <w:p w14:paraId="056A3A01">
      <w:pPr>
        <w:pStyle w:val="14"/>
        <w:numPr>
          <w:ilvl w:val="0"/>
          <w:numId w:val="1"/>
        </w:numPr>
        <w:spacing w:beforeAutospacing="0" w:afterAutospacing="0" w:line="360" w:lineRule="auto"/>
        <w:rPr>
          <w:rFonts w:eastAsia="Times New Roman"/>
          <w:b/>
          <w:bCs/>
          <w:sz w:val="28"/>
          <w:szCs w:val="28"/>
        </w:rPr>
      </w:pPr>
      <w:r>
        <w:rPr>
          <w:rFonts w:eastAsia="Times New Roman"/>
          <w:b/>
          <w:bCs/>
          <w:sz w:val="28"/>
          <w:szCs w:val="28"/>
        </w:rPr>
        <w:t>Multi-modal CPSP Extraction Performance Evaluation</w:t>
      </w:r>
    </w:p>
    <w:p w14:paraId="21B2D324">
      <w:pPr>
        <w:pStyle w:val="14"/>
        <w:numPr>
          <w:ilvl w:val="-1"/>
          <w:numId w:val="0"/>
        </w:numPr>
        <w:spacing w:beforeAutospacing="0" w:afterAutospacing="0" w:line="360" w:lineRule="auto"/>
        <w:ind w:firstLine="480" w:firstLineChars="200"/>
        <w:jc w:val="both"/>
        <w:rPr>
          <w:rFonts w:eastAsiaTheme="minorEastAsia"/>
          <w:kern w:val="2"/>
        </w:rPr>
      </w:pPr>
      <w:r>
        <w:rPr>
          <w:rFonts w:hint="default" w:eastAsiaTheme="minorEastAsia"/>
          <w:kern w:val="2"/>
        </w:rPr>
        <w:t>To quantitatively evaluate the performance of multi-modal CPSP extraction, multiple metrics, includ</w:t>
      </w:r>
      <w:r>
        <w:rPr>
          <w:rFonts w:hint="default" w:eastAsiaTheme="minorEastAsia"/>
          <w:kern w:val="2"/>
          <w:lang w:val="en-US"/>
        </w:rPr>
        <w:t>-</w:t>
      </w:r>
      <w:r>
        <w:rPr>
          <w:rFonts w:hint="default" w:eastAsiaTheme="minorEastAsia"/>
          <w:kern w:val="2"/>
        </w:rPr>
        <w:t>ing accuracy, precision, recall, F1-score, and BLEU score, were employed</w:t>
      </w:r>
      <w:r>
        <w:rPr>
          <w:rFonts w:eastAsiaTheme="minorEastAsia"/>
          <w:kern w:val="2"/>
        </w:rPr>
        <w:t xml:space="preserve"> [37]. Accuracy, precision, recall, and F1-score are defined as follows:   </w:t>
      </w:r>
    </w:p>
    <w:p w14:paraId="6457F45B">
      <w:pPr>
        <w:spacing w:line="360" w:lineRule="auto"/>
        <w:jc w:val="right"/>
        <w:rPr>
          <w:rFonts w:ascii="Times New Roman Bold" w:hAnsi="Times New Roman Bold" w:cs="Times New Roman Bold"/>
          <w:b/>
          <w:bCs/>
          <w:sz w:val="22"/>
          <w:szCs w:val="22"/>
        </w:rPr>
      </w:pPr>
      <m:oMath>
        <m:r>
          <m:rPr>
            <m:sty m:val="p"/>
          </m:rPr>
          <w:rPr>
            <w:rFonts w:ascii="DejaVu Math TeX Gyre" w:hAnsi="DejaVu Math TeX Gyre" w:cs="Times New Roman"/>
            <w:sz w:val="22"/>
            <w:szCs w:val="22"/>
          </w:rPr>
          <m:t xml:space="preserve">Accuracy= </m:t>
        </m:r>
        <m:f>
          <m:fPr>
            <m:ctrlPr>
              <w:rPr>
                <w:rFonts w:ascii="DejaVu Math TeX Gyre" w:hAnsi="DejaVu Math TeX Gyre" w:cs="Times New Roman"/>
                <w:sz w:val="22"/>
                <w:szCs w:val="22"/>
              </w:rPr>
            </m:ctrlPr>
          </m:fPr>
          <m:num>
            <m:r>
              <m:rPr>
                <m:sty m:val="p"/>
              </m:rPr>
              <w:rPr>
                <w:rFonts w:ascii="DejaVu Math TeX Gyre" w:hAnsi="DejaVu Math TeX Gyre" w:cs="Times New Roman"/>
                <w:sz w:val="22"/>
                <w:szCs w:val="22"/>
              </w:rPr>
              <m:t>TP + TN</m:t>
            </m:r>
            <m:ctrlPr>
              <w:rPr>
                <w:rFonts w:ascii="DejaVu Math TeX Gyre" w:hAnsi="DejaVu Math TeX Gyre" w:cs="Times New Roman"/>
                <w:sz w:val="22"/>
                <w:szCs w:val="22"/>
              </w:rPr>
            </m:ctrlPr>
          </m:num>
          <m:den>
            <m:r>
              <m:rPr>
                <m:sty m:val="p"/>
              </m:rPr>
              <w:rPr>
                <w:rFonts w:ascii="DejaVu Math TeX Gyre" w:hAnsi="DejaVu Math TeX Gyre" w:cs="Times New Roman"/>
                <w:sz w:val="22"/>
                <w:szCs w:val="22"/>
              </w:rPr>
              <m:t>TP + TN + FP + FN</m:t>
            </m:r>
            <m:ctrlPr>
              <w:rPr>
                <w:rFonts w:ascii="DejaVu Math TeX Gyre" w:hAnsi="DejaVu Math TeX Gyre" w:cs="Times New Roman"/>
                <w:sz w:val="22"/>
                <w:szCs w:val="22"/>
              </w:rPr>
            </m:ctrlPr>
          </m:den>
        </m:f>
      </m:oMath>
      <w:r>
        <w:rPr>
          <w:rFonts w:hAnsi="DejaVu Math TeX Gyre" w:cs="Times New Roman"/>
          <w:sz w:val="22"/>
          <w:szCs w:val="22"/>
        </w:rPr>
        <w:t xml:space="preserve">  </w:t>
      </w:r>
      <w:r>
        <w:rPr>
          <w:rFonts w:hint="default" w:hAnsi="DejaVu Math TeX Gyre" w:cs="Times New Roman"/>
          <w:sz w:val="22"/>
          <w:szCs w:val="22"/>
          <w:lang w:val="en-US"/>
        </w:rPr>
        <w:t xml:space="preserve">                              </w:t>
      </w:r>
      <w:r>
        <w:rPr>
          <w:rFonts w:ascii="Times New Roman Regular" w:hAnsi="Times New Roman Regular" w:cs="Times New Roman Regular"/>
          <w:sz w:val="22"/>
          <w:szCs w:val="22"/>
        </w:rPr>
        <w:tab/>
      </w:r>
      <w:r>
        <w:rPr>
          <w:rFonts w:ascii="Times New Roman Regular" w:hAnsi="Times New Roman Regular" w:cs="Times New Roman Regular"/>
          <w:position w:val="-14"/>
          <w:sz w:val="22"/>
          <w:szCs w:val="22"/>
        </w:rPr>
        <w:t>(2.4)</w:t>
      </w:r>
    </w:p>
    <w:p w14:paraId="1D463D13">
      <w:pPr>
        <w:spacing w:line="360" w:lineRule="auto"/>
        <w:jc w:val="right"/>
        <w:rPr>
          <w:rFonts w:ascii="Times New Roman Regular" w:hAnsi="Times New Roman Regular" w:cs="Times New Roman Regular"/>
          <w:sz w:val="22"/>
          <w:szCs w:val="22"/>
        </w:rPr>
      </w:pPr>
      <m:oMath>
        <m:r>
          <m:rPr>
            <m:sty m:val="p"/>
          </m:rPr>
          <w:rPr>
            <w:rFonts w:ascii="DejaVu Math TeX Gyre" w:hAnsi="DejaVu Math TeX Gyre" w:cs="Times New Roman"/>
            <w:sz w:val="22"/>
            <w:szCs w:val="22"/>
          </w:rPr>
          <m:t xml:space="preserve">Precision= </m:t>
        </m:r>
        <m:f>
          <m:fPr>
            <m:ctrlPr>
              <w:rPr>
                <w:rFonts w:ascii="DejaVu Math TeX Gyre" w:hAnsi="DejaVu Math TeX Gyre" w:cs="Times New Roman"/>
                <w:sz w:val="22"/>
                <w:szCs w:val="22"/>
              </w:rPr>
            </m:ctrlPr>
          </m:fPr>
          <m:num>
            <m:r>
              <m:rPr>
                <m:sty m:val="p"/>
              </m:rPr>
              <w:rPr>
                <w:rFonts w:ascii="DejaVu Math TeX Gyre" w:hAnsi="DejaVu Math TeX Gyre" w:cs="Times New Roman"/>
                <w:sz w:val="22"/>
                <w:szCs w:val="22"/>
              </w:rPr>
              <m:t>TP</m:t>
            </m:r>
            <m:ctrlPr>
              <w:rPr>
                <w:rFonts w:ascii="DejaVu Math TeX Gyre" w:hAnsi="DejaVu Math TeX Gyre" w:cs="Times New Roman"/>
                <w:sz w:val="22"/>
                <w:szCs w:val="22"/>
              </w:rPr>
            </m:ctrlPr>
          </m:num>
          <m:den>
            <m:r>
              <m:rPr>
                <m:sty m:val="p"/>
              </m:rPr>
              <w:rPr>
                <w:rFonts w:ascii="DejaVu Math TeX Gyre" w:hAnsi="DejaVu Math TeX Gyre" w:cs="Times New Roman"/>
                <w:sz w:val="22"/>
                <w:szCs w:val="22"/>
              </w:rPr>
              <m:t>TP + FP</m:t>
            </m:r>
            <m:ctrlPr>
              <w:rPr>
                <w:rFonts w:ascii="DejaVu Math TeX Gyre" w:hAnsi="DejaVu Math TeX Gyre" w:cs="Times New Roman"/>
                <w:sz w:val="22"/>
                <w:szCs w:val="22"/>
              </w:rPr>
            </m:ctrlPr>
          </m:den>
        </m:f>
      </m:oMath>
      <w:r>
        <w:rPr>
          <w:rFonts w:hint="default" w:hAnsi="DejaVu Math TeX Gyre" w:cs="Times New Roman"/>
          <w:i w:val="0"/>
          <w:sz w:val="22"/>
          <w:szCs w:val="22"/>
          <w:lang w:val="en-US"/>
        </w:rPr>
        <w:t xml:space="preserve">   </w:t>
      </w:r>
      <w:r>
        <w:rPr>
          <w:rFonts w:ascii="DejaVu Math TeX Gyre" w:hAnsi="DejaVu Math TeX Gyre" w:cs="Times New Roman"/>
          <w:sz w:val="22"/>
          <w:szCs w:val="22"/>
        </w:rPr>
        <w:t xml:space="preserve"> </w:t>
      </w:r>
      <w:r>
        <w:rPr>
          <w:rFonts w:hAnsi="DejaVu Math TeX Gyre" w:cs="Times New Roman"/>
          <w:sz w:val="22"/>
          <w:szCs w:val="22"/>
        </w:rPr>
        <w:t xml:space="preserve">         </w:t>
      </w:r>
      <w:r>
        <w:rPr>
          <w:rFonts w:ascii="Times New Roman Regular" w:hAnsi="Times New Roman Regular" w:cs="Times New Roman Regular"/>
          <w:sz w:val="22"/>
          <w:szCs w:val="22"/>
        </w:rPr>
        <w:t xml:space="preserve">      </w:t>
      </w:r>
      <w:r>
        <w:rPr>
          <w:rFonts w:ascii="Times New Roman Regular" w:hAnsi="Times New Roman Regular" w:cs="Times New Roman Regular"/>
          <w:sz w:val="22"/>
          <w:szCs w:val="22"/>
        </w:rPr>
        <w:tab/>
      </w:r>
      <w:r>
        <w:rPr>
          <w:rFonts w:ascii="Times New Roman Regular" w:hAnsi="Times New Roman Regular" w:cs="Times New Roman Regular"/>
          <w:sz w:val="22"/>
          <w:szCs w:val="22"/>
        </w:rPr>
        <w:tab/>
      </w:r>
      <w:r>
        <w:rPr>
          <w:rFonts w:ascii="Times New Roman Regular" w:hAnsi="Times New Roman Regular" w:cs="Times New Roman Regular"/>
          <w:sz w:val="22"/>
          <w:szCs w:val="22"/>
        </w:rPr>
        <w:tab/>
      </w:r>
      <w:r>
        <w:rPr>
          <w:rFonts w:hint="default" w:ascii="Times New Roman Regular" w:hAnsi="Times New Roman Regular" w:cs="Times New Roman Regular"/>
          <w:sz w:val="22"/>
          <w:szCs w:val="22"/>
          <w:lang w:val="en-US"/>
        </w:rPr>
        <w:t xml:space="preserve"> </w:t>
      </w:r>
      <w:r>
        <w:rPr>
          <w:rFonts w:ascii="Times New Roman Regular" w:hAnsi="Times New Roman Regular" w:cs="Times New Roman Regular"/>
          <w:sz w:val="22"/>
          <w:szCs w:val="22"/>
        </w:rPr>
        <w:t>(2.5)</w:t>
      </w:r>
    </w:p>
    <w:p w14:paraId="2AA1B89A">
      <w:pPr>
        <w:spacing w:line="360" w:lineRule="auto"/>
        <w:jc w:val="right"/>
        <w:rPr>
          <w:rFonts w:ascii="Times New Roman" w:hAnsi="Times New Roman" w:cs="Times New Roman"/>
          <w:sz w:val="22"/>
          <w:szCs w:val="22"/>
        </w:rPr>
      </w:pPr>
      <m:oMath>
        <m:r>
          <m:rPr>
            <m:sty m:val="p"/>
          </m:rPr>
          <w:rPr>
            <w:rFonts w:ascii="DejaVu Math TeX Gyre" w:hAnsi="DejaVu Math TeX Gyre" w:cs="Times New Roman"/>
            <w:sz w:val="22"/>
            <w:szCs w:val="22"/>
          </w:rPr>
          <m:t xml:space="preserve">Recall= </m:t>
        </m:r>
        <m:f>
          <m:fPr>
            <m:ctrlPr>
              <w:rPr>
                <w:rFonts w:ascii="DejaVu Math TeX Gyre" w:hAnsi="DejaVu Math TeX Gyre" w:cs="Times New Roman"/>
                <w:sz w:val="22"/>
                <w:szCs w:val="22"/>
              </w:rPr>
            </m:ctrlPr>
          </m:fPr>
          <m:num>
            <m:r>
              <m:rPr>
                <m:sty m:val="p"/>
              </m:rPr>
              <w:rPr>
                <w:rFonts w:ascii="DejaVu Math TeX Gyre" w:hAnsi="DejaVu Math TeX Gyre" w:cs="Times New Roman"/>
                <w:sz w:val="22"/>
                <w:szCs w:val="22"/>
              </w:rPr>
              <m:t>TP</m:t>
            </m:r>
            <m:ctrlPr>
              <w:rPr>
                <w:rFonts w:ascii="DejaVu Math TeX Gyre" w:hAnsi="DejaVu Math TeX Gyre" w:cs="Times New Roman"/>
                <w:sz w:val="22"/>
                <w:szCs w:val="22"/>
              </w:rPr>
            </m:ctrlPr>
          </m:num>
          <m:den>
            <m:r>
              <m:rPr>
                <m:sty m:val="p"/>
              </m:rPr>
              <w:rPr>
                <w:rFonts w:ascii="DejaVu Math TeX Gyre" w:hAnsi="DejaVu Math TeX Gyre" w:cs="Times New Roman"/>
                <w:sz w:val="22"/>
                <w:szCs w:val="22"/>
              </w:rPr>
              <m:t xml:space="preserve">TP + </m:t>
            </m:r>
            <m:r>
              <m:rPr>
                <m:sty m:val="p"/>
              </m:rPr>
              <w:rPr>
                <w:rFonts w:hint="default" w:ascii="DejaVu Math TeX Gyre" w:hAnsi="DejaVu Math TeX Gyre" w:cs="Times New Roman"/>
                <w:sz w:val="22"/>
                <w:szCs w:val="22"/>
                <w:lang w:val="en-US"/>
              </w:rPr>
              <m:t>F</m:t>
            </m:r>
            <m:r>
              <m:rPr>
                <m:sty m:val="p"/>
              </m:rPr>
              <w:rPr>
                <w:rFonts w:ascii="DejaVu Math TeX Gyre" w:hAnsi="DejaVu Math TeX Gyre" w:cs="Times New Roman"/>
                <w:sz w:val="22"/>
                <w:szCs w:val="22"/>
              </w:rPr>
              <m:t>N</m:t>
            </m:r>
            <m:ctrlPr>
              <w:rPr>
                <w:rFonts w:ascii="DejaVu Math TeX Gyre" w:hAnsi="DejaVu Math TeX Gyre" w:cs="Times New Roman"/>
                <w:sz w:val="22"/>
                <w:szCs w:val="22"/>
              </w:rPr>
            </m:ctrlPr>
          </m:den>
        </m:f>
      </m:oMath>
      <w:r>
        <w:rPr>
          <w:rFonts w:hAnsi="DejaVu Math TeX Gyre" w:cs="Times New Roman"/>
          <w:sz w:val="22"/>
          <w:szCs w:val="22"/>
        </w:rPr>
        <w:t xml:space="preserve">   </w:t>
      </w:r>
      <w:r>
        <w:rPr>
          <w:rFonts w:ascii="DejaVu Math TeX Gyre" w:hAnsi="DejaVu Math TeX Gyre" w:cs="Times New Roman"/>
          <w:sz w:val="22"/>
          <w:szCs w:val="22"/>
        </w:rPr>
        <w:t xml:space="preserve">            </w:t>
      </w:r>
      <w:r>
        <w:rPr>
          <w:rFonts w:hAnsi="DejaVu Math TeX Gyre" w:cs="Times New Roman"/>
          <w:sz w:val="22"/>
          <w:szCs w:val="22"/>
        </w:rPr>
        <w:t xml:space="preserve">         </w:t>
      </w:r>
      <w:r>
        <w:rPr>
          <w:rFonts w:ascii="Times New Roman Regular" w:hAnsi="Times New Roman Regular" w:cs="Times New Roman Regular"/>
          <w:sz w:val="22"/>
          <w:szCs w:val="22"/>
        </w:rPr>
        <w:t xml:space="preserve">   </w:t>
      </w:r>
      <w:r>
        <w:rPr>
          <w:rFonts w:hint="default" w:ascii="Times New Roman Regular" w:hAnsi="Times New Roman Regular" w:cs="Times New Roman Regular"/>
          <w:sz w:val="22"/>
          <w:szCs w:val="22"/>
          <w:lang w:val="en-US"/>
        </w:rPr>
        <w:t xml:space="preserve">                             </w:t>
      </w:r>
      <w:r>
        <w:rPr>
          <w:rFonts w:ascii="Times New Roman Regular" w:hAnsi="Times New Roman Regular" w:cs="Times New Roman Regular"/>
          <w:sz w:val="22"/>
          <w:szCs w:val="22"/>
        </w:rPr>
        <w:t>(2.6)</w:t>
      </w:r>
    </w:p>
    <w:p w14:paraId="1933B65A">
      <w:pPr>
        <w:spacing w:line="360" w:lineRule="auto"/>
        <w:jc w:val="right"/>
        <w:rPr>
          <w:rFonts w:ascii="Times New Roman Regular" w:hAnsi="Times New Roman Regular" w:cs="Times New Roman Regular"/>
          <w:sz w:val="22"/>
          <w:szCs w:val="22"/>
        </w:rPr>
      </w:pPr>
      <w:r>
        <w:rPr>
          <w:rFonts w:hint="default" w:hAnsi="DejaVu Math TeX Gyre" w:cs="Times New Roman"/>
          <w:b w:val="0"/>
          <w:i w:val="0"/>
          <w:sz w:val="22"/>
          <w:szCs w:val="22"/>
          <w:lang w:val="en-US"/>
        </w:rPr>
        <w:t xml:space="preserve"> </w:t>
      </w:r>
      <m:oMath>
        <m:r>
          <m:rPr>
            <m:sty m:val="p"/>
          </m:rPr>
          <w:rPr>
            <w:rFonts w:ascii="DejaVu Math TeX Gyre" w:hAnsi="DejaVu Math TeX Gyre" w:cs="Times New Roman"/>
            <w:sz w:val="22"/>
            <w:szCs w:val="22"/>
          </w:rPr>
          <m:t xml:space="preserve">F1−score= </m:t>
        </m:r>
        <m:f>
          <m:fPr>
            <m:ctrlPr>
              <w:rPr>
                <w:rFonts w:ascii="DejaVu Math TeX Gyre" w:hAnsi="DejaVu Math TeX Gyre" w:cs="Times New Roman"/>
                <w:sz w:val="22"/>
                <w:szCs w:val="22"/>
              </w:rPr>
            </m:ctrlPr>
          </m:fPr>
          <m:num>
            <m:r>
              <m:rPr>
                <m:sty m:val="p"/>
              </m:rPr>
              <w:rPr>
                <w:rFonts w:ascii="DejaVu Math TeX Gyre" w:hAnsi="DejaVu Math TeX Gyre" w:cs="Times New Roman"/>
                <w:sz w:val="22"/>
                <w:szCs w:val="22"/>
              </w:rPr>
              <m:t>2 × Precision × Recall</m:t>
            </m:r>
            <m:ctrlPr>
              <w:rPr>
                <w:rFonts w:ascii="DejaVu Math TeX Gyre" w:hAnsi="DejaVu Math TeX Gyre" w:cs="Times New Roman"/>
                <w:sz w:val="22"/>
                <w:szCs w:val="22"/>
              </w:rPr>
            </m:ctrlPr>
          </m:num>
          <m:den>
            <m:r>
              <m:rPr>
                <m:sty m:val="p"/>
              </m:rPr>
              <w:rPr>
                <w:rFonts w:ascii="DejaVu Math TeX Gyre" w:hAnsi="DejaVu Math TeX Gyre" w:cs="Times New Roman"/>
                <w:sz w:val="22"/>
                <w:szCs w:val="22"/>
              </w:rPr>
              <m:t>Precision + Recall</m:t>
            </m:r>
            <m:ctrlPr>
              <w:rPr>
                <w:rFonts w:ascii="DejaVu Math TeX Gyre" w:hAnsi="DejaVu Math TeX Gyre" w:cs="Times New Roman"/>
                <w:sz w:val="22"/>
                <w:szCs w:val="22"/>
              </w:rPr>
            </m:ctrlPr>
          </m:den>
        </m:f>
      </m:oMath>
      <w:r>
        <w:rPr>
          <w:rFonts w:ascii="DejaVu Math TeX Gyre" w:hAnsi="DejaVu Math TeX Gyre" w:cs="Times New Roman"/>
          <w:sz w:val="22"/>
          <w:szCs w:val="22"/>
        </w:rPr>
        <w:t xml:space="preserve">          </w:t>
      </w:r>
      <w:r>
        <w:rPr>
          <w:rFonts w:hAnsi="DejaVu Math TeX Gyre" w:cs="Times New Roman"/>
          <w:sz w:val="22"/>
          <w:szCs w:val="22"/>
        </w:rPr>
        <w:t xml:space="preserve">     </w:t>
      </w:r>
      <w:r>
        <w:rPr>
          <w:rFonts w:ascii="Times New Roman Regular" w:hAnsi="Times New Roman Regular" w:cs="Times New Roman Regular"/>
          <w:sz w:val="22"/>
          <w:szCs w:val="22"/>
        </w:rPr>
        <w:tab/>
      </w:r>
      <w:r>
        <w:rPr>
          <w:rFonts w:hint="default" w:ascii="Times New Roman Regular" w:hAnsi="Times New Roman Regular" w:cs="Times New Roman Regular"/>
          <w:sz w:val="22"/>
          <w:szCs w:val="22"/>
          <w:lang w:val="en-US"/>
        </w:rPr>
        <w:t xml:space="preserve">  </w:t>
      </w:r>
      <w:r>
        <w:rPr>
          <w:rFonts w:ascii="Times New Roman Regular" w:hAnsi="Times New Roman Regular" w:cs="Times New Roman Regular"/>
          <w:sz w:val="22"/>
          <w:szCs w:val="22"/>
        </w:rPr>
        <w:t>(2.7)</w:t>
      </w:r>
    </w:p>
    <w:p w14:paraId="2D92D66B">
      <w:pPr>
        <w:pStyle w:val="14"/>
        <w:spacing w:beforeAutospacing="0" w:afterAutospacing="0" w:line="360" w:lineRule="auto"/>
        <w:ind w:firstLine="480" w:firstLineChars="200"/>
        <w:jc w:val="both"/>
        <w:rPr>
          <w:rFonts w:eastAsiaTheme="minorEastAsia"/>
          <w:kern w:val="2"/>
        </w:rPr>
      </w:pPr>
      <w:r>
        <w:rPr>
          <w:rFonts w:eastAsiaTheme="minorEastAsia"/>
          <w:kern w:val="2"/>
        </w:rPr>
        <w:t>Here, the ground truth refers to manually verified reference annotations established from expert-labeled expert-labeled CPSP records.</w:t>
      </w:r>
      <w:r>
        <w:rPr>
          <w:rFonts w:hint="default" w:eastAsiaTheme="minorEastAsia"/>
          <w:kern w:val="2"/>
          <w:lang w:val="en-US"/>
        </w:rPr>
        <w:t xml:space="preserve"> Here, the ground truth refers to manually verified reference annotations established from expert-labeled CPSP records. Specifically, a benchmark dataset contain-ing 453 records was manually annotated by 3 materials science researchers. All annotations were independently checked by 2 researchers and finally verified by a senior materials expert. The annotations covered composition, processing, structure, performance, and strengthening mechanisms. </w:t>
      </w:r>
      <w:r>
        <w:rPr>
          <w:rFonts w:eastAsiaTheme="minorEastAsia"/>
          <w:kern w:val="2"/>
        </w:rPr>
        <w:t>Based on the</w:t>
      </w:r>
      <w:r>
        <w:rPr>
          <w:rFonts w:hint="default" w:eastAsiaTheme="minorEastAsia"/>
          <w:kern w:val="2"/>
          <w:lang w:val="en-US"/>
        </w:rPr>
        <w:t xml:space="preserve"> </w:t>
      </w:r>
      <w:r>
        <w:rPr>
          <w:rFonts w:eastAsiaTheme="minorEastAsia"/>
          <w:kern w:val="2"/>
        </w:rPr>
        <w:t xml:space="preserve">comparison between model-generated outputs and </w:t>
      </w:r>
      <w:r>
        <w:rPr>
          <w:rFonts w:hint="default" w:eastAsiaTheme="minorEastAsia"/>
          <w:kern w:val="2"/>
          <w:lang w:val="en-US"/>
        </w:rPr>
        <w:t>the ground truth database</w:t>
      </w:r>
      <w:r>
        <w:rPr>
          <w:rFonts w:eastAsiaTheme="minorEastAsia"/>
          <w:kern w:val="2"/>
        </w:rPr>
        <w:t>,</w:t>
      </w:r>
      <w:r>
        <w:rPr>
          <w:rFonts w:hint="default" w:eastAsiaTheme="minorEastAsia"/>
          <w:kern w:val="2"/>
          <w:lang w:val="en-US"/>
        </w:rPr>
        <w:t xml:space="preserve"> </w:t>
      </w:r>
      <w:r>
        <w:rPr>
          <w:rFonts w:eastAsiaTheme="minorEastAsia"/>
          <w:kern w:val="2"/>
        </w:rPr>
        <w:t>TP denotes correctly identified target entities, TN represents correctly excluded non-target cases, FP corresponds to incorrectly generated or misidentified entities, and FN indicates relevant entities that were not successfully extracted.</w:t>
      </w:r>
      <w:r>
        <w:rPr>
          <w:rFonts w:hint="default" w:eastAsiaTheme="minorEastAsia"/>
          <w:kern w:val="2"/>
          <w:lang w:val="en-US"/>
        </w:rPr>
        <w:t xml:space="preserve"> </w:t>
      </w:r>
      <w:r>
        <w:rPr>
          <w:rFonts w:eastAsiaTheme="minorEastAsia"/>
          <w:kern w:val="2"/>
        </w:rPr>
        <w:t xml:space="preserve">Accuracy evaluates the overall agreement between predicted results and reference annotations, </w:t>
      </w:r>
      <w:r>
        <w:rPr>
          <w:rFonts w:hint="default" w:eastAsiaTheme="minorEastAsia"/>
          <w:kern w:val="2"/>
          <w:lang w:val="en-US"/>
        </w:rPr>
        <w:t>p</w:t>
      </w:r>
      <w:r>
        <w:rPr>
          <w:rFonts w:eastAsiaTheme="minorEastAsia"/>
          <w:kern w:val="2"/>
        </w:rPr>
        <w:t xml:space="preserve">recision reflects the reliability of extracted positive entities, </w:t>
      </w:r>
      <w:r>
        <w:rPr>
          <w:rFonts w:hint="default" w:eastAsiaTheme="minorEastAsia"/>
          <w:kern w:val="2"/>
          <w:lang w:val="en-US"/>
        </w:rPr>
        <w:t>r</w:t>
      </w:r>
      <w:r>
        <w:rPr>
          <w:rFonts w:eastAsiaTheme="minorEastAsia"/>
          <w:kern w:val="2"/>
        </w:rPr>
        <w:t xml:space="preserve">ecall measures the ability of the framework to capture relevant information, and F1-score provides a comprehensive evaluation by balancing </w:t>
      </w:r>
      <w:r>
        <w:rPr>
          <w:rFonts w:hint="default" w:eastAsiaTheme="minorEastAsia"/>
          <w:kern w:val="2"/>
          <w:lang w:val="en-US"/>
        </w:rPr>
        <w:t>p</w:t>
      </w:r>
      <w:r>
        <w:rPr>
          <w:rFonts w:eastAsiaTheme="minorEastAsia"/>
          <w:kern w:val="2"/>
        </w:rPr>
        <w:t xml:space="preserve">recision and </w:t>
      </w:r>
      <w:r>
        <w:rPr>
          <w:rFonts w:hint="default" w:eastAsiaTheme="minorEastAsia"/>
          <w:kern w:val="2"/>
          <w:lang w:val="en-US"/>
        </w:rPr>
        <w:t>r</w:t>
      </w:r>
      <w:r>
        <w:rPr>
          <w:rFonts w:eastAsiaTheme="minorEastAsia"/>
          <w:kern w:val="2"/>
        </w:rPr>
        <w:t xml:space="preserve">ecall. </w:t>
      </w:r>
      <w:r>
        <w:rPr>
          <w:rFonts w:hint="default" w:eastAsiaTheme="minorEastAsia"/>
          <w:kern w:val="2"/>
        </w:rPr>
        <w:t>For textual and tabular extraction, both character-level and token-level metrics were calculated, whereas image-based extraction was evaluated using classification-oriented accuracy, precision, recall, and F1-score.</w:t>
      </w:r>
      <w:r>
        <w:rPr>
          <w:rFonts w:hint="default" w:eastAsiaTheme="minorEastAsia"/>
          <w:kern w:val="2"/>
          <w:lang w:val="en-US"/>
        </w:rPr>
        <w:t xml:space="preserve"> </w:t>
      </w:r>
      <w:r>
        <w:rPr>
          <w:rFonts w:eastAsiaTheme="minorEastAsia"/>
          <w:kern w:val="2"/>
        </w:rPr>
        <w:t xml:space="preserve">In addition, the BLEU score was employed to assess sequence-level similarity between generated outputs and reference annotations, particularly for evaluating structural and semantic consistency in CPSP reconstruction tasks.  </w:t>
      </w:r>
    </w:p>
    <w:p w14:paraId="1B3D9D07">
      <w:pPr>
        <w:numPr>
          <w:ilvl w:val="-1"/>
          <w:numId w:val="0"/>
        </w:numPr>
        <w:spacing w:before="120" w:beforeLines="50" w:after="120" w:afterLines="50" w:line="360" w:lineRule="auto"/>
      </w:pPr>
      <w:r>
        <w:rPr>
          <w:rFonts w:hint="default" w:ascii="Times New Roman Bold" w:hAnsi="Times New Roman Bold" w:cs="Times New Roman Bold" w:eastAsiaTheme="minorEastAsia"/>
          <w:b/>
          <w:bCs/>
          <w:kern w:val="2"/>
          <w:lang w:val="en-US"/>
        </w:rPr>
        <w:t xml:space="preserve">5. </w:t>
      </w:r>
      <w:r>
        <w:rPr>
          <w:rFonts w:ascii="Times New Roman" w:hAnsi="Times New Roman" w:eastAsia="Times New Roman" w:cs="Times New Roman"/>
          <w:b/>
          <w:bCs/>
          <w:kern w:val="0"/>
          <w:sz w:val="28"/>
          <w:szCs w:val="28"/>
          <w:lang w:bidi="ar"/>
        </w:rPr>
        <w:t>Machine-Learning-Guided Alloy Design and Experimental Validation</w:t>
      </w:r>
    </w:p>
    <w:p w14:paraId="6CE3E010">
      <w:pPr>
        <w:numPr>
          <w:ilvl w:val="-1"/>
          <w:numId w:val="0"/>
        </w:numPr>
        <w:spacing w:before="0" w:beforeLines="0" w:after="0" w:afterLines="0" w:line="360" w:lineRule="auto"/>
        <w:ind w:firstLine="480" w:firstLineChars="200"/>
        <w:rPr>
          <w:rFonts w:ascii="Times New Roman" w:hAnsi="Times New Roman" w:cs="Times New Roman" w:eastAsiaTheme="minorEastAsia"/>
          <w:kern w:val="2"/>
          <w:sz w:val="24"/>
        </w:rPr>
      </w:pPr>
      <w:r>
        <w:rPr>
          <w:rFonts w:hint="default" w:ascii="Times New Roman" w:hAnsi="Times New Roman" w:cs="Times New Roman" w:eastAsiaTheme="minorEastAsia"/>
          <w:kern w:val="2"/>
          <w:sz w:val="24"/>
        </w:rPr>
        <w:t>To validate the practical applicability of the proposed Corpus–Topic–Document framework for alloy discovery, machine-learning-guided design and experimental investigations were conducted on Cu–Ni–Si–Cr alloys targeting synergistic optimization of strength and electrical conductivity.</w:t>
      </w:r>
      <w:r>
        <w:rPr>
          <w:rFonts w:hint="default" w:ascii="Times New Roman" w:hAnsi="Times New Roman" w:cs="Times New Roman"/>
          <w:kern w:val="2"/>
          <w:sz w:val="24"/>
          <w:lang w:val="en-US"/>
        </w:rPr>
        <w:t xml:space="preserve"> </w:t>
      </w:r>
      <w:r>
        <w:rPr>
          <w:rFonts w:ascii="Times New Roman" w:hAnsi="Times New Roman" w:cs="Times New Roman" w:eastAsiaTheme="minorEastAsia"/>
          <w:kern w:val="2"/>
          <w:sz w:val="24"/>
        </w:rPr>
        <w:t>A total of 950,400 composition–processing combinations</w:t>
      </w:r>
      <w:r>
        <w:rPr>
          <w:rFonts w:hint="default" w:ascii="Times New Roman" w:hAnsi="Times New Roman" w:cs="Times New Roman"/>
          <w:kern w:val="2"/>
          <w:sz w:val="24"/>
          <w:lang w:val="en-US"/>
        </w:rPr>
        <w:t xml:space="preserve"> were virtually screened using the trained machine learning models, rather than experimentally fabricated. These candidate combinations followed the processing route of </w:t>
      </w:r>
      <w:r>
        <w:rPr>
          <w:rFonts w:ascii="Times New Roman" w:hAnsi="Times New Roman" w:cs="Times New Roman" w:eastAsiaTheme="minorEastAsia"/>
          <w:kern w:val="2"/>
          <w:sz w:val="24"/>
        </w:rPr>
        <w:t>“Solution → Quenching → Deformation → Aging → Secondary Thermo-Mechanical Processing (TMP) → Secondary Aging”.</w:t>
      </w:r>
      <w:r>
        <w:rPr>
          <w:rFonts w:hint="default" w:ascii="Times New Roman" w:hAnsi="Times New Roman" w:cs="Times New Roman"/>
          <w:kern w:val="2"/>
          <w:sz w:val="24"/>
          <w:lang w:val="en-US"/>
        </w:rPr>
        <w:t xml:space="preserve"> The composition design space included Ni (4–6 wt%), Si (1–2.5 wt%), Cr (0.1–0.3 wt%), and optional microalloying additions of Al (0.3–0.5 wt%) and Mg (0.01–0.16 wt%). Although Al and Mg were included in the composition design space during virtual screening, machine-learning predictions indicated that the highest-ranked candidates were located within the Cu–Ni–Si–Cr compositional subspace. Therefore, experimental validation was conducted on the top-performing Cu–Ni–Si–Cr candidates. </w:t>
      </w:r>
      <w:r>
        <w:rPr>
          <w:rFonts w:hint="default" w:ascii="Times New Roman" w:hAnsi="Times New Roman" w:cs="Times New Roman" w:eastAsiaTheme="minorEastAsia"/>
          <w:kern w:val="2"/>
          <w:sz w:val="24"/>
        </w:rPr>
        <w:t>The processing parameter space included solution treatment at 900–1000 °C for 3–7</w:t>
      </w:r>
      <w:r>
        <w:rPr>
          <w:rFonts w:hint="default" w:ascii="Times New Roman" w:hAnsi="Times New Roman" w:cs="Times New Roman"/>
          <w:kern w:val="2"/>
          <w:sz w:val="24"/>
          <w:lang w:val="en-US"/>
        </w:rPr>
        <w:t xml:space="preserve"> </w:t>
      </w:r>
      <w:r>
        <w:rPr>
          <w:rFonts w:hint="default" w:ascii="Times New Roman" w:hAnsi="Times New Roman" w:cs="Times New Roman" w:eastAsiaTheme="minorEastAsia"/>
          <w:kern w:val="2"/>
          <w:sz w:val="24"/>
        </w:rPr>
        <w:t>h and aging treatment at 300–550 °C for 0.5–5 h.</w:t>
      </w:r>
      <w:r>
        <w:rPr>
          <w:rFonts w:hint="default" w:ascii="Times New Roman" w:hAnsi="Times New Roman" w:cs="Times New Roman"/>
          <w:kern w:val="2"/>
          <w:sz w:val="24"/>
          <w:lang w:val="en-US"/>
        </w:rPr>
        <w:t xml:space="preserve"> </w:t>
      </w:r>
      <w:r>
        <w:rPr>
          <w:rFonts w:hint="default" w:ascii="Times New Roman" w:hAnsi="Times New Roman" w:cs="Times New Roman" w:eastAsiaTheme="minorEastAsia"/>
          <w:kern w:val="2"/>
          <w:sz w:val="24"/>
        </w:rPr>
        <w:t>The optimal alloy candidates were identified using the normalized comprehensive performance index</w:t>
      </w:r>
      <w:r>
        <w:rPr>
          <w:rFonts w:hint="default" w:ascii="Times New Roman" w:hAnsi="Times New Roman" w:cs="Times New Roman"/>
          <w:kern w:val="2"/>
          <w:sz w:val="24"/>
          <w:lang w:val="en-US"/>
        </w:rPr>
        <w:t xml:space="preserve"> </w:t>
      </w:r>
      <w:r>
        <w:rPr>
          <w:rFonts w:hint="default" w:ascii="Times New Roman" w:hAnsi="Times New Roman" w:cs="Times New Roman" w:eastAsiaTheme="minorEastAsia"/>
          <w:kern w:val="2"/>
          <w:sz w:val="24"/>
        </w:rPr>
        <w:t>Q3-Euclidean, defined as:</w:t>
      </w:r>
    </w:p>
    <w:p w14:paraId="036E909C">
      <w:pPr>
        <w:numPr>
          <w:ilvl w:val="0"/>
          <w:numId w:val="0"/>
        </w:numPr>
        <w:spacing w:before="120" w:beforeLines="50" w:after="120" w:afterLines="50" w:line="360" w:lineRule="auto"/>
        <w:ind w:firstLine="480" w:firstLineChars="200"/>
        <w:jc w:val="both"/>
        <w:rPr>
          <w:rStyle w:val="8"/>
        </w:rPr>
      </w:pPr>
      <m:oMath>
        <m:r>
          <m:rPr>
            <m:sty m:val="p"/>
          </m:rPr>
          <w:rPr>
            <w:rFonts w:hint="default" w:ascii="Times New Roman" w:hAnsi="Times New Roman" w:cs="Times New Roman"/>
            <w:kern w:val="2"/>
            <w:sz w:val="24"/>
            <w:lang w:val="en-US"/>
          </w:rPr>
          <m:t xml:space="preserve">                    </m:t>
        </m:r>
        <m:r>
          <m:rPr>
            <m:sty m:val="p"/>
          </m:rPr>
          <w:rPr>
            <w:rFonts w:hAnsi="DejaVu Math TeX Gyre" w:cs="Times New Roman"/>
            <w:sz w:val="24"/>
          </w:rPr>
          <m:t xml:space="preserve">     </m:t>
        </m:r>
        <m:r>
          <m:rPr>
            <m:sty m:val="p"/>
          </m:rPr>
          <w:rPr>
            <w:rFonts w:hint="default" w:hAnsi="DejaVu Math TeX Gyre" w:cs="Times New Roman"/>
            <w:sz w:val="24"/>
            <w:lang w:val="en-US"/>
          </w:rPr>
          <m:t xml:space="preserve">  </m:t>
        </m:r>
        <m:r>
          <m:rPr>
            <m:sty m:val="p"/>
          </m:rPr>
          <w:rPr>
            <w:rFonts w:hAnsi="DejaVu Math TeX Gyre" w:cs="Times New Roman"/>
            <w:sz w:val="24"/>
          </w:rPr>
          <m:t xml:space="preserve">  </m:t>
        </m:r>
        <m:r>
          <m:rPr>
            <m:sty m:val="p"/>
          </m:rPr>
          <w:rPr>
            <w:rFonts w:hint="default" w:ascii="Times New Roman" w:hAnsi="Times New Roman" w:cs="Times New Roman"/>
            <w:kern w:val="2"/>
            <w:sz w:val="24"/>
            <w:lang w:val="en-US"/>
          </w:rPr>
          <m:t xml:space="preserve"> </m:t>
        </m:r>
        <m:r>
          <m:rPr>
            <m:sty m:val="p"/>
          </m:rPr>
          <w:rPr>
            <w:rFonts w:hint="default" w:ascii="Times New Roman" w:hAnsi="Times New Roman" w:cs="Times New Roman" w:eastAsiaTheme="minorEastAsia"/>
            <w:kern w:val="2"/>
            <w:sz w:val="24"/>
          </w:rPr>
          <m:t>Q3−Euclidean</m:t>
        </m:r>
        <m:r>
          <m:rPr>
            <m:sty m:val="p"/>
          </m:rPr>
          <w:rPr>
            <w:rFonts w:hint="default" w:ascii="Times New Roman" w:hAnsi="Times New Roman" w:cs="Times New Roman"/>
            <w:kern w:val="2"/>
            <w:sz w:val="24"/>
            <w:lang w:val="en-US"/>
          </w:rPr>
          <m:t>=</m:t>
        </m:r>
        <m:rad>
          <m:radPr>
            <m:degHide m:val="1"/>
            <m:ctrlPr>
              <w:rPr>
                <w:rFonts w:hint="default" w:ascii="Times New Roman" w:hAnsi="Times New Roman" w:cs="Times New Roman"/>
                <w:i w:val="0"/>
                <w:kern w:val="2"/>
                <w:sz w:val="24"/>
                <w:lang w:val="en-US"/>
              </w:rPr>
            </m:ctrlPr>
          </m:radPr>
          <m:deg>
            <m:ctrlPr>
              <w:rPr>
                <w:rFonts w:hint="default" w:ascii="Times New Roman" w:hAnsi="Times New Roman" w:cs="Times New Roman"/>
                <w:i w:val="0"/>
                <w:kern w:val="2"/>
                <w:sz w:val="24"/>
                <w:lang w:val="en-US"/>
              </w:rPr>
            </m:ctrlPr>
          </m:deg>
          <m:e>
            <m:r>
              <m:rPr>
                <m:nor/>
                <m:sty m:val="p"/>
              </m:rPr>
              <w:rPr>
                <w:rFonts w:hint="default" w:ascii="Times New Roman" w:hAnsi="Times New Roman" w:cs="Times New Roman"/>
                <w:b w:val="0"/>
                <w:i w:val="0"/>
                <w:kern w:val="2"/>
                <w:sz w:val="24"/>
                <w:lang w:val="en-US"/>
              </w:rPr>
              <m:t>(</m:t>
            </m:r>
            <m:f>
              <m:fPr>
                <m:ctrlPr>
                  <w:rPr>
                    <w:rFonts w:hint="default" w:ascii="Times New Roman" w:hAnsi="Times New Roman" w:cs="Times New Roman"/>
                    <w:i w:val="0"/>
                    <w:kern w:val="2"/>
                    <w:sz w:val="24"/>
                    <w:lang w:val="en-US"/>
                  </w:rPr>
                </m:ctrlPr>
              </m:fPr>
              <m:num>
                <m:sSup>
                  <m:sSupPr>
                    <m:ctrlPr>
                      <w:rPr>
                        <w:rFonts w:ascii="DejaVu Math TeX Gyre" w:hAnsi="DejaVu Math TeX Gyre" w:cs="Times New Roman"/>
                        <w:i/>
                        <w:sz w:val="24"/>
                      </w:rPr>
                    </m:ctrlPr>
                  </m:sSupPr>
                  <m:e>
                    <m:r>
                      <m:rPr/>
                      <w:rPr>
                        <w:rFonts w:ascii="DejaVu Math TeX Gyre" w:hAnsi="DejaVu Math TeX Gyre" w:cs="Times New Roman"/>
                        <w:sz w:val="24"/>
                      </w:rPr>
                      <m:t>HV−</m:t>
                    </m:r>
                    <m:sSub>
                      <m:sSubPr>
                        <m:ctrlPr>
                          <w:rPr>
                            <w:rFonts w:hint="default" w:ascii="Times New Roman" w:hAnsi="Times New Roman" w:cs="Times New Roman"/>
                            <w:i/>
                            <w:kern w:val="2"/>
                            <w:sz w:val="24"/>
                            <w:lang w:val="en-US"/>
                          </w:rPr>
                        </m:ctrlPr>
                      </m:sSubPr>
                      <m:e>
                        <m:r>
                          <m:rPr/>
                          <w:rPr>
                            <w:rFonts w:ascii="DejaVu Math TeX Gyre" w:hAnsi="DejaVu Math TeX Gyre" w:cs="Times New Roman"/>
                            <w:sz w:val="24"/>
                          </w:rPr>
                          <m:t>HV</m:t>
                        </m:r>
                        <m:ctrlPr>
                          <w:rPr>
                            <w:rFonts w:hint="default" w:ascii="Times New Roman" w:hAnsi="Times New Roman" w:cs="Times New Roman"/>
                            <w:i/>
                            <w:kern w:val="2"/>
                            <w:sz w:val="24"/>
                            <w:lang w:val="en-US"/>
                          </w:rPr>
                        </m:ctrlPr>
                      </m:e>
                      <m:sub>
                        <m:r>
                          <m:rPr>
                            <m:nor/>
                          </m:rPr>
                          <w:rPr>
                            <w:rFonts w:hint="default" w:ascii="Times New Roman" w:hAnsi="Times New Roman" w:cs="Times New Roman"/>
                            <w:i/>
                            <w:kern w:val="2"/>
                            <w:sz w:val="24"/>
                            <w:lang w:val="en-US"/>
                          </w:rPr>
                          <m:t>min</m:t>
                        </m:r>
                        <m:ctrlPr>
                          <w:rPr>
                            <w:rFonts w:hint="default" w:ascii="Times New Roman" w:hAnsi="Times New Roman" w:cs="Times New Roman"/>
                            <w:i/>
                            <w:kern w:val="2"/>
                            <w:sz w:val="24"/>
                            <w:lang w:val="en-US"/>
                          </w:rPr>
                        </m:ctrlPr>
                      </m:sub>
                    </m:sSub>
                    <m:ctrlPr>
                      <w:rPr>
                        <w:rFonts w:ascii="DejaVu Math TeX Gyre" w:hAnsi="DejaVu Math TeX Gyre" w:cs="Times New Roman"/>
                        <w:i/>
                        <w:sz w:val="24"/>
                      </w:rPr>
                    </m:ctrlPr>
                  </m:e>
                  <m:sup>
                    <m:r>
                      <m:rPr>
                        <m:sty m:val="p"/>
                      </m:rPr>
                      <w:rPr>
                        <w:rFonts w:hAnsi="DejaVu Math TeX Gyre" w:cs="Times New Roman"/>
                        <w:sz w:val="24"/>
                      </w:rPr>
                      <m:t xml:space="preserve"> </m:t>
                    </m:r>
                    <m:ctrlPr>
                      <w:rPr>
                        <w:rFonts w:ascii="DejaVu Math TeX Gyre" w:hAnsi="DejaVu Math TeX Gyre" w:cs="Times New Roman"/>
                        <w:i/>
                        <w:sz w:val="24"/>
                      </w:rPr>
                    </m:ctrlPr>
                  </m:sup>
                </m:sSup>
                <m:ctrlPr>
                  <w:rPr>
                    <w:rFonts w:hint="default" w:ascii="Times New Roman" w:hAnsi="Times New Roman" w:cs="Times New Roman"/>
                    <w:i w:val="0"/>
                    <w:kern w:val="2"/>
                    <w:sz w:val="24"/>
                    <w:lang w:val="en-US"/>
                  </w:rPr>
                </m:ctrlPr>
              </m:num>
              <m:den>
                <m:sSub>
                  <m:sSubPr>
                    <m:ctrlPr>
                      <w:rPr>
                        <w:rFonts w:hint="default" w:ascii="Times New Roman" w:hAnsi="Times New Roman" w:cs="Times New Roman"/>
                        <w:i/>
                        <w:kern w:val="2"/>
                        <w:sz w:val="24"/>
                        <w:lang w:val="en-US"/>
                      </w:rPr>
                    </m:ctrlPr>
                  </m:sSubPr>
                  <m:e>
                    <m:r>
                      <m:rPr/>
                      <w:rPr>
                        <w:rFonts w:ascii="DejaVu Math TeX Gyre" w:hAnsi="DejaVu Math TeX Gyre" w:cs="Times New Roman"/>
                        <w:sz w:val="24"/>
                      </w:rPr>
                      <m:t>HV</m:t>
                    </m:r>
                    <m:ctrlPr>
                      <w:rPr>
                        <w:rFonts w:hint="default" w:ascii="Times New Roman" w:hAnsi="Times New Roman" w:cs="Times New Roman"/>
                        <w:i/>
                        <w:kern w:val="2"/>
                        <w:sz w:val="24"/>
                        <w:lang w:val="en-US"/>
                      </w:rPr>
                    </m:ctrlPr>
                  </m:e>
                  <m:sub>
                    <m:r>
                      <m:rPr>
                        <m:nor/>
                      </m:rPr>
                      <w:rPr>
                        <w:rFonts w:hint="default" w:ascii="Times New Roman" w:hAnsi="Times New Roman" w:cs="Times New Roman"/>
                        <w:i/>
                        <w:kern w:val="2"/>
                        <w:sz w:val="24"/>
                        <w:lang w:val="en-US"/>
                      </w:rPr>
                      <m:t>max</m:t>
                    </m:r>
                    <m:ctrlPr>
                      <w:rPr>
                        <w:rFonts w:hint="default" w:ascii="Times New Roman" w:hAnsi="Times New Roman" w:cs="Times New Roman"/>
                        <w:i/>
                        <w:kern w:val="2"/>
                        <w:sz w:val="24"/>
                        <w:lang w:val="en-US"/>
                      </w:rPr>
                    </m:ctrlPr>
                  </m:sub>
                </m:sSub>
                <m:r>
                  <m:rPr/>
                  <w:rPr>
                    <w:rFonts w:ascii="DejaVu Math TeX Gyre" w:hAnsi="DejaVu Math TeX Gyre" w:cs="Times New Roman"/>
                    <w:sz w:val="24"/>
                  </w:rPr>
                  <m:t>−</m:t>
                </m:r>
                <m:sSub>
                  <m:sSubPr>
                    <m:ctrlPr>
                      <w:rPr>
                        <w:rFonts w:hint="default" w:ascii="Times New Roman" w:hAnsi="Times New Roman" w:cs="Times New Roman"/>
                        <w:i/>
                        <w:kern w:val="2"/>
                        <w:sz w:val="24"/>
                        <w:lang w:val="en-US"/>
                      </w:rPr>
                    </m:ctrlPr>
                  </m:sSubPr>
                  <m:e>
                    <m:r>
                      <m:rPr/>
                      <w:rPr>
                        <w:rFonts w:ascii="DejaVu Math TeX Gyre" w:hAnsi="DejaVu Math TeX Gyre" w:cs="Times New Roman"/>
                        <w:sz w:val="24"/>
                      </w:rPr>
                      <m:t>HV</m:t>
                    </m:r>
                    <m:ctrlPr>
                      <w:rPr>
                        <w:rFonts w:hint="default" w:ascii="Times New Roman" w:hAnsi="Times New Roman" w:cs="Times New Roman"/>
                        <w:i/>
                        <w:kern w:val="2"/>
                        <w:sz w:val="24"/>
                        <w:lang w:val="en-US"/>
                      </w:rPr>
                    </m:ctrlPr>
                  </m:e>
                  <m:sub>
                    <m:r>
                      <m:rPr>
                        <m:nor/>
                      </m:rPr>
                      <w:rPr>
                        <w:rFonts w:hint="default" w:ascii="Times New Roman" w:hAnsi="Times New Roman" w:cs="Times New Roman"/>
                        <w:i/>
                        <w:kern w:val="2"/>
                        <w:sz w:val="24"/>
                        <w:lang w:val="en-US"/>
                      </w:rPr>
                      <m:t>min</m:t>
                    </m:r>
                    <m:ctrlPr>
                      <w:rPr>
                        <w:rFonts w:hint="default" w:ascii="Times New Roman" w:hAnsi="Times New Roman" w:cs="Times New Roman"/>
                        <w:i/>
                        <w:kern w:val="2"/>
                        <w:sz w:val="24"/>
                        <w:lang w:val="en-US"/>
                      </w:rPr>
                    </m:ctrlPr>
                  </m:sub>
                </m:sSub>
                <m:ctrlPr>
                  <w:rPr>
                    <w:rFonts w:hint="default" w:ascii="Times New Roman" w:hAnsi="Times New Roman" w:cs="Times New Roman"/>
                    <w:i w:val="0"/>
                    <w:kern w:val="2"/>
                    <w:sz w:val="24"/>
                    <w:lang w:val="en-US"/>
                  </w:rPr>
                </m:ctrlPr>
              </m:den>
            </m:f>
            <m:sSup>
              <m:sSupPr>
                <m:ctrlPr>
                  <w:rPr>
                    <w:rFonts w:ascii="DejaVu Math TeX Gyre" w:hAnsi="DejaVu Math TeX Gyre" w:cs="Times New Roman"/>
                    <w:i/>
                    <w:sz w:val="24"/>
                  </w:rPr>
                </m:ctrlPr>
              </m:sSupPr>
              <m:e>
                <m:r>
                  <m:rPr/>
                  <w:rPr>
                    <w:rFonts w:hint="default" w:ascii="DejaVu Math TeX Gyre" w:hAnsi="DejaVu Math TeX Gyre" w:cs="Times New Roman"/>
                    <w:sz w:val="24"/>
                    <w:lang w:val="en-US"/>
                  </w:rPr>
                  <m:t>)</m:t>
                </m:r>
                <m:ctrlPr>
                  <w:rPr>
                    <w:rFonts w:ascii="DejaVu Math TeX Gyre" w:hAnsi="DejaVu Math TeX Gyre" w:cs="Times New Roman"/>
                    <w:i/>
                    <w:sz w:val="24"/>
                  </w:rPr>
                </m:ctrlPr>
              </m:e>
              <m:sup>
                <m:r>
                  <m:rPr/>
                  <w:rPr>
                    <w:rFonts w:hint="default" w:ascii="DejaVu Math TeX Gyre" w:hAnsi="DejaVu Math TeX Gyre" w:cs="Times New Roman"/>
                    <w:sz w:val="24"/>
                    <w:lang w:val="en-US"/>
                  </w:rPr>
                  <m:t>2</m:t>
                </m:r>
                <m:ctrlPr>
                  <w:rPr>
                    <w:rFonts w:ascii="DejaVu Math TeX Gyre" w:hAnsi="DejaVu Math TeX Gyre" w:cs="Times New Roman"/>
                    <w:i/>
                    <w:sz w:val="24"/>
                  </w:rPr>
                </m:ctrlPr>
              </m:sup>
            </m:sSup>
            <m:r>
              <m:rPr/>
              <w:rPr>
                <w:rFonts w:hint="default" w:ascii="DejaVu Math TeX Gyre" w:hAnsi="DejaVu Math TeX Gyre" w:cs="Times New Roman"/>
                <w:sz w:val="24"/>
                <w:lang w:val="en-US"/>
              </w:rPr>
              <m:t>+</m:t>
            </m:r>
            <m:sSup>
              <m:sSupPr>
                <m:ctrlPr>
                  <w:rPr>
                    <w:rFonts w:hint="default" w:ascii="DejaVu Math TeX Gyre" w:hAnsi="DejaVu Math TeX Gyre" w:cs="Times New Roman"/>
                    <w:i/>
                    <w:sz w:val="24"/>
                    <w:lang w:val="en-US"/>
                  </w:rPr>
                </m:ctrlPr>
              </m:sSupPr>
              <m:e>
                <m:r>
                  <m:rPr/>
                  <w:rPr>
                    <w:rFonts w:hint="default" w:ascii="DejaVu Math TeX Gyre" w:hAnsi="DejaVu Math TeX Gyre" w:cs="Times New Roman"/>
                    <w:sz w:val="24"/>
                    <w:lang w:val="en-US"/>
                  </w:rPr>
                  <m:t>(</m:t>
                </m:r>
                <m:f>
                  <m:fPr>
                    <m:ctrlPr>
                      <w:rPr>
                        <w:rFonts w:hint="default" w:ascii="Times New Roman" w:hAnsi="Times New Roman" w:cs="Times New Roman"/>
                        <w:i w:val="0"/>
                        <w:kern w:val="2"/>
                        <w:sz w:val="24"/>
                        <w:lang w:val="en-US"/>
                      </w:rPr>
                    </m:ctrlPr>
                  </m:fPr>
                  <m:num>
                    <m:sSup>
                      <m:sSupPr>
                        <m:ctrlPr>
                          <w:rPr>
                            <w:rFonts w:ascii="DejaVu Math TeX Gyre" w:hAnsi="DejaVu Math TeX Gyre" w:cs="Times New Roman"/>
                            <w:i/>
                            <w:sz w:val="24"/>
                          </w:rPr>
                        </m:ctrlPr>
                      </m:sSupPr>
                      <m:e>
                        <m:r>
                          <m:rPr/>
                          <w:rPr>
                            <w:rFonts w:hint="default" w:ascii="DejaVu Math TeX Gyre" w:hAnsi="DejaVu Math TeX Gyre" w:cs="Times New Roman"/>
                            <w:sz w:val="24"/>
                            <w:lang w:val="en-US"/>
                          </w:rPr>
                          <m:t>EC</m:t>
                        </m:r>
                        <m:r>
                          <m:rPr/>
                          <w:rPr>
                            <w:rFonts w:ascii="DejaVu Math TeX Gyre" w:hAnsi="DejaVu Math TeX Gyre" w:cs="Times New Roman"/>
                            <w:sz w:val="24"/>
                          </w:rPr>
                          <m:t>−</m:t>
                        </m:r>
                        <m:sSub>
                          <m:sSubPr>
                            <m:ctrlPr>
                              <w:rPr>
                                <w:rFonts w:hint="default" w:ascii="Times New Roman" w:hAnsi="Times New Roman" w:cs="Times New Roman"/>
                                <w:i/>
                                <w:kern w:val="2"/>
                                <w:sz w:val="24"/>
                                <w:lang w:val="en-US"/>
                              </w:rPr>
                            </m:ctrlPr>
                          </m:sSubPr>
                          <m:e>
                            <m:r>
                              <m:rPr/>
                              <w:rPr>
                                <w:rFonts w:hint="default" w:ascii="DejaVu Math TeX Gyre" w:hAnsi="DejaVu Math TeX Gyre" w:cs="Times New Roman"/>
                                <w:sz w:val="24"/>
                                <w:lang w:val="en-US"/>
                              </w:rPr>
                              <m:t>EC</m:t>
                            </m:r>
                            <m:ctrlPr>
                              <w:rPr>
                                <w:rFonts w:hint="default" w:ascii="Times New Roman" w:hAnsi="Times New Roman" w:cs="Times New Roman"/>
                                <w:i/>
                                <w:kern w:val="2"/>
                                <w:sz w:val="24"/>
                                <w:lang w:val="en-US"/>
                              </w:rPr>
                            </m:ctrlPr>
                          </m:e>
                          <m:sub>
                            <m:r>
                              <m:rPr>
                                <m:nor/>
                              </m:rPr>
                              <w:rPr>
                                <w:rFonts w:hint="default" w:ascii="Times New Roman" w:hAnsi="Times New Roman" w:cs="Times New Roman"/>
                                <w:i/>
                                <w:kern w:val="2"/>
                                <w:sz w:val="24"/>
                                <w:lang w:val="en-US"/>
                              </w:rPr>
                              <m:t>min</m:t>
                            </m:r>
                            <m:ctrlPr>
                              <w:rPr>
                                <w:rFonts w:hint="default" w:ascii="Times New Roman" w:hAnsi="Times New Roman" w:cs="Times New Roman"/>
                                <w:i/>
                                <w:kern w:val="2"/>
                                <w:sz w:val="24"/>
                                <w:lang w:val="en-US"/>
                              </w:rPr>
                            </m:ctrlPr>
                          </m:sub>
                        </m:sSub>
                        <m:ctrlPr>
                          <w:rPr>
                            <w:rFonts w:ascii="DejaVu Math TeX Gyre" w:hAnsi="DejaVu Math TeX Gyre" w:cs="Times New Roman"/>
                            <w:i/>
                            <w:sz w:val="24"/>
                          </w:rPr>
                        </m:ctrlPr>
                      </m:e>
                      <m:sup>
                        <m:r>
                          <m:rPr>
                            <m:sty m:val="p"/>
                          </m:rPr>
                          <w:rPr>
                            <w:rFonts w:hAnsi="DejaVu Math TeX Gyre" w:cs="Times New Roman"/>
                            <w:sz w:val="24"/>
                          </w:rPr>
                          <m:t xml:space="preserve"> </m:t>
                        </m:r>
                        <m:ctrlPr>
                          <w:rPr>
                            <w:rFonts w:ascii="DejaVu Math TeX Gyre" w:hAnsi="DejaVu Math TeX Gyre" w:cs="Times New Roman"/>
                            <w:i/>
                            <w:sz w:val="24"/>
                          </w:rPr>
                        </m:ctrlPr>
                      </m:sup>
                    </m:sSup>
                    <m:ctrlPr>
                      <w:rPr>
                        <w:rFonts w:hint="default" w:ascii="Times New Roman" w:hAnsi="Times New Roman" w:cs="Times New Roman"/>
                        <w:i w:val="0"/>
                        <w:kern w:val="2"/>
                        <w:sz w:val="24"/>
                        <w:lang w:val="en-US"/>
                      </w:rPr>
                    </m:ctrlPr>
                  </m:num>
                  <m:den>
                    <m:sSub>
                      <m:sSubPr>
                        <m:ctrlPr>
                          <w:rPr>
                            <w:rFonts w:hint="default" w:ascii="Times New Roman" w:hAnsi="Times New Roman" w:cs="Times New Roman"/>
                            <w:i/>
                            <w:kern w:val="2"/>
                            <w:sz w:val="24"/>
                            <w:lang w:val="en-US"/>
                          </w:rPr>
                        </m:ctrlPr>
                      </m:sSubPr>
                      <m:e>
                        <m:r>
                          <m:rPr/>
                          <w:rPr>
                            <w:rFonts w:hint="default" w:ascii="DejaVu Math TeX Gyre" w:hAnsi="DejaVu Math TeX Gyre" w:cs="Times New Roman"/>
                            <w:sz w:val="24"/>
                            <w:lang w:val="en-US"/>
                          </w:rPr>
                          <m:t>EC</m:t>
                        </m:r>
                        <m:ctrlPr>
                          <w:rPr>
                            <w:rFonts w:hint="default" w:ascii="Times New Roman" w:hAnsi="Times New Roman" w:cs="Times New Roman"/>
                            <w:i/>
                            <w:kern w:val="2"/>
                            <w:sz w:val="24"/>
                            <w:lang w:val="en-US"/>
                          </w:rPr>
                        </m:ctrlPr>
                      </m:e>
                      <m:sub>
                        <m:r>
                          <m:rPr>
                            <m:nor/>
                          </m:rPr>
                          <w:rPr>
                            <w:rFonts w:hint="default" w:ascii="Times New Roman" w:hAnsi="Times New Roman" w:cs="Times New Roman"/>
                            <w:i/>
                            <w:kern w:val="2"/>
                            <w:sz w:val="24"/>
                            <w:lang w:val="en-US"/>
                          </w:rPr>
                          <m:t>max</m:t>
                        </m:r>
                        <m:ctrlPr>
                          <w:rPr>
                            <w:rFonts w:hint="default" w:ascii="Times New Roman" w:hAnsi="Times New Roman" w:cs="Times New Roman"/>
                            <w:i/>
                            <w:kern w:val="2"/>
                            <w:sz w:val="24"/>
                            <w:lang w:val="en-US"/>
                          </w:rPr>
                        </m:ctrlPr>
                      </m:sub>
                    </m:sSub>
                    <m:r>
                      <m:rPr/>
                      <w:rPr>
                        <w:rFonts w:ascii="DejaVu Math TeX Gyre" w:hAnsi="DejaVu Math TeX Gyre" w:cs="Times New Roman"/>
                        <w:sz w:val="24"/>
                      </w:rPr>
                      <m:t>−</m:t>
                    </m:r>
                    <m:sSub>
                      <m:sSubPr>
                        <m:ctrlPr>
                          <w:rPr>
                            <w:rFonts w:hint="default" w:ascii="Times New Roman" w:hAnsi="Times New Roman" w:cs="Times New Roman"/>
                            <w:i/>
                            <w:kern w:val="2"/>
                            <w:sz w:val="24"/>
                            <w:lang w:val="en-US"/>
                          </w:rPr>
                        </m:ctrlPr>
                      </m:sSubPr>
                      <m:e>
                        <m:r>
                          <m:rPr/>
                          <w:rPr>
                            <w:rFonts w:hint="default" w:ascii="DejaVu Math TeX Gyre" w:hAnsi="DejaVu Math TeX Gyre" w:cs="Times New Roman"/>
                            <w:sz w:val="24"/>
                            <w:lang w:val="en-US"/>
                          </w:rPr>
                          <m:t>EC</m:t>
                        </m:r>
                        <m:ctrlPr>
                          <w:rPr>
                            <w:rFonts w:hint="default" w:ascii="Times New Roman" w:hAnsi="Times New Roman" w:cs="Times New Roman"/>
                            <w:i/>
                            <w:kern w:val="2"/>
                            <w:sz w:val="24"/>
                            <w:lang w:val="en-US"/>
                          </w:rPr>
                        </m:ctrlPr>
                      </m:e>
                      <m:sub>
                        <m:r>
                          <m:rPr>
                            <m:nor/>
                          </m:rPr>
                          <w:rPr>
                            <w:rFonts w:hint="default" w:ascii="Times New Roman" w:hAnsi="Times New Roman" w:cs="Times New Roman"/>
                            <w:i/>
                            <w:kern w:val="2"/>
                            <w:sz w:val="24"/>
                            <w:lang w:val="en-US"/>
                          </w:rPr>
                          <m:t>min</m:t>
                        </m:r>
                        <m:ctrlPr>
                          <w:rPr>
                            <w:rFonts w:hint="default" w:ascii="Times New Roman" w:hAnsi="Times New Roman" w:cs="Times New Roman"/>
                            <w:i/>
                            <w:kern w:val="2"/>
                            <w:sz w:val="24"/>
                            <w:lang w:val="en-US"/>
                          </w:rPr>
                        </m:ctrlPr>
                      </m:sub>
                    </m:sSub>
                    <m:ctrlPr>
                      <w:rPr>
                        <w:rFonts w:hint="default" w:ascii="Times New Roman" w:hAnsi="Times New Roman" w:cs="Times New Roman"/>
                        <w:i w:val="0"/>
                        <w:kern w:val="2"/>
                        <w:sz w:val="24"/>
                        <w:lang w:val="en-US"/>
                      </w:rPr>
                    </m:ctrlPr>
                  </m:den>
                </m:f>
                <m:r>
                  <m:rPr>
                    <m:nor/>
                    <m:sty m:val="p"/>
                  </m:rPr>
                  <w:rPr>
                    <w:rFonts w:hint="default" w:ascii="Times New Roman" w:hAnsi="Times New Roman" w:cs="Times New Roman"/>
                    <w:b w:val="0"/>
                    <w:i w:val="0"/>
                    <w:kern w:val="2"/>
                    <w:sz w:val="24"/>
                    <w:lang w:val="en-US"/>
                  </w:rPr>
                  <m:t>)</m:t>
                </m:r>
                <m:ctrlPr>
                  <w:rPr>
                    <w:rFonts w:hint="default" w:ascii="DejaVu Math TeX Gyre" w:hAnsi="DejaVu Math TeX Gyre" w:cs="Times New Roman"/>
                    <w:i/>
                    <w:sz w:val="24"/>
                    <w:lang w:val="en-US"/>
                  </w:rPr>
                </m:ctrlPr>
              </m:e>
              <m:sup>
                <m:r>
                  <m:rPr/>
                  <w:rPr>
                    <w:rFonts w:hint="default" w:ascii="DejaVu Math TeX Gyre" w:hAnsi="DejaVu Math TeX Gyre" w:cs="Times New Roman"/>
                    <w:sz w:val="24"/>
                    <w:lang w:val="en-US"/>
                  </w:rPr>
                  <m:t>2</m:t>
                </m:r>
                <m:ctrlPr>
                  <w:rPr>
                    <w:rFonts w:hint="default" w:ascii="DejaVu Math TeX Gyre" w:hAnsi="DejaVu Math TeX Gyre" w:cs="Times New Roman"/>
                    <w:i/>
                    <w:sz w:val="24"/>
                    <w:lang w:val="en-US"/>
                  </w:rPr>
                </m:ctrlPr>
              </m:sup>
            </m:sSup>
            <m:ctrlPr>
              <w:rPr>
                <w:rFonts w:hint="default" w:ascii="Times New Roman" w:hAnsi="Times New Roman" w:cs="Times New Roman"/>
                <w:i w:val="0"/>
                <w:kern w:val="2"/>
                <w:sz w:val="24"/>
                <w:lang w:val="en-US"/>
              </w:rPr>
            </m:ctrlPr>
          </m:e>
        </m:rad>
        <m:r>
          <m:rPr>
            <m:nor/>
            <m:sty m:val="p"/>
          </m:rPr>
          <w:rPr>
            <w:rFonts w:hint="default" w:ascii="Times New Roman" w:hAnsi="Times New Roman" w:cs="Times New Roman"/>
            <w:b w:val="0"/>
            <w:i w:val="0"/>
            <w:kern w:val="2"/>
            <w:sz w:val="24"/>
            <w:lang w:val="en-US"/>
          </w:rPr>
          <m:t xml:space="preserve">     </m:t>
        </m:r>
      </m:oMath>
      <w:r>
        <w:rPr>
          <w:rFonts w:hAnsi="DejaVu Math TeX Gyre" w:cs="Times New Roman"/>
          <w:sz w:val="24"/>
        </w:rPr>
        <w:t xml:space="preserve">      </w:t>
      </w:r>
      <m:oMath>
        <m:r>
          <m:rPr>
            <m:sty m:val="p"/>
          </m:rPr>
          <w:rPr>
            <w:rFonts w:hint="default" w:ascii="Times New Roman" w:hAnsi="Times New Roman" w:cs="Times New Roman"/>
            <w:kern w:val="2"/>
            <w:sz w:val="24"/>
            <w:lang w:val="en-US"/>
          </w:rPr>
          <m:t xml:space="preserve">                       </m:t>
        </m:r>
      </m:oMath>
      <w:r>
        <w:rPr>
          <w:rFonts w:hint="eastAsia" w:hAnsi="DejaVu Math TeX Gyre" w:cs="Times New Roman"/>
          <w:sz w:val="24"/>
          <w:lang w:val="en-US" w:eastAsia="zh-CN"/>
        </w:rPr>
        <w:t xml:space="preserve"> </w:t>
      </w:r>
      <w:r>
        <w:rPr>
          <w:rFonts w:hAnsi="DejaVu Math TeX Gyre" w:cs="Times New Roman"/>
          <w:sz w:val="24"/>
        </w:rPr>
        <w:t xml:space="preserve">  </w:t>
      </w:r>
      <w:r>
        <w:rPr>
          <w:rFonts w:ascii="Times New Roman Regular" w:hAnsi="Times New Roman Regular" w:cs="Times New Roman Regular"/>
          <w:sz w:val="22"/>
          <w:szCs w:val="22"/>
        </w:rPr>
        <w:t>(2.8)</w:t>
      </w:r>
    </w:p>
    <w:p w14:paraId="51AD66D1">
      <w:pPr>
        <w:pStyle w:val="14"/>
        <w:spacing w:beforeAutospacing="0" w:afterAutospacing="0" w:line="360" w:lineRule="auto"/>
        <w:ind w:firstLine="480" w:firstLineChars="200"/>
        <w:jc w:val="both"/>
        <w:rPr>
          <w:rFonts w:eastAsiaTheme="minorEastAsia"/>
          <w:kern w:val="2"/>
        </w:rPr>
      </w:pPr>
      <w:r>
        <w:rPr>
          <w:rFonts w:hint="default" w:eastAsiaTheme="minorEastAsia"/>
          <w:kern w:val="2"/>
        </w:rPr>
        <w:t>where HV and EC represent the hardness and electrical conductivity of a candidate alloy, respectively. HV</w:t>
      </w:r>
      <w:r>
        <w:rPr>
          <w:rFonts w:hint="default" w:eastAsiaTheme="minorEastAsia"/>
          <w:kern w:val="2"/>
          <w:vertAlign w:val="subscript"/>
        </w:rPr>
        <w:t>min</w:t>
      </w:r>
      <w:r>
        <w:rPr>
          <w:rFonts w:hint="default" w:eastAsiaTheme="minorEastAsia"/>
          <w:kern w:val="2"/>
        </w:rPr>
        <w:t>, HV</w:t>
      </w:r>
      <w:r>
        <w:rPr>
          <w:rFonts w:hint="default" w:eastAsiaTheme="minorEastAsia"/>
          <w:kern w:val="2"/>
          <w:vertAlign w:val="subscript"/>
        </w:rPr>
        <w:t>max</w:t>
      </w:r>
      <w:r>
        <w:rPr>
          <w:rFonts w:hint="default" w:eastAsiaTheme="minorEastAsia"/>
          <w:kern w:val="2"/>
        </w:rPr>
        <w:t>, EC</w:t>
      </w:r>
      <w:r>
        <w:rPr>
          <w:rFonts w:hint="default" w:eastAsiaTheme="minorEastAsia"/>
          <w:kern w:val="2"/>
          <w:vertAlign w:val="subscript"/>
        </w:rPr>
        <w:t>min</w:t>
      </w:r>
      <w:r>
        <w:rPr>
          <w:rFonts w:hint="default" w:eastAsiaTheme="minorEastAsia"/>
          <w:kern w:val="2"/>
        </w:rPr>
        <w:t>, and EC</w:t>
      </w:r>
      <w:r>
        <w:rPr>
          <w:rFonts w:hint="default" w:eastAsiaTheme="minorEastAsia"/>
          <w:kern w:val="2"/>
          <w:vertAlign w:val="subscript"/>
        </w:rPr>
        <w:t>max</w:t>
      </w:r>
      <w:r>
        <w:rPr>
          <w:rFonts w:hint="default" w:eastAsiaTheme="minorEastAsia"/>
          <w:kern w:val="2"/>
        </w:rPr>
        <w:t xml:space="preserve"> correspond to the minimum and maximum values </w:t>
      </w:r>
      <w:r>
        <w:t>of hardness and electrical conductivity</w:t>
      </w:r>
      <w:r>
        <w:rPr>
          <w:rFonts w:hint="default"/>
          <w:lang w:val="en-US"/>
        </w:rPr>
        <w:t xml:space="preserve"> </w:t>
      </w:r>
      <w:r>
        <w:rPr>
          <w:rFonts w:hint="default" w:eastAsiaTheme="minorEastAsia"/>
          <w:kern w:val="2"/>
        </w:rPr>
        <w:t>in the virtual screening database.Therefore, a larger Q3-Euclidean value indicates a greater simultaneous improvement in hardness and electrical conductivity relative to this low-performance reference state [38-39].</w:t>
      </w:r>
      <w:r>
        <w:rPr>
          <w:rFonts w:hint="default" w:eastAsiaTheme="minorEastAsia"/>
          <w:kern w:val="2"/>
          <w:lang w:val="en-US"/>
        </w:rPr>
        <w:t xml:space="preserve"> </w:t>
      </w:r>
      <w:r>
        <w:rPr>
          <w:rFonts w:eastAsiaTheme="minorEastAsia"/>
          <w:kern w:val="2"/>
        </w:rPr>
        <w:t>For hardness evaluation, Vickers hardness testing was conducted using an HV-1000 tester</w:t>
      </w:r>
      <w:r>
        <w:rPr>
          <w:rFonts w:hint="default" w:eastAsiaTheme="minorEastAsia"/>
          <w:kern w:val="2"/>
          <w:lang w:val="en-US"/>
        </w:rPr>
        <w:t xml:space="preserve"> </w:t>
      </w:r>
      <w:r>
        <w:t>under a load of 500 g with a dwell time of 15 s.</w:t>
      </w:r>
      <w:r>
        <w:rPr>
          <w:rFonts w:hint="default"/>
          <w:lang w:val="en-US"/>
        </w:rPr>
        <w:t xml:space="preserve"> </w:t>
      </w:r>
      <w:r>
        <w:rPr>
          <w:rFonts w:hint="default" w:eastAsiaTheme="minorEastAsia"/>
          <w:kern w:val="2"/>
        </w:rPr>
        <w:t>For electrical conductivity measurement, test</w:t>
      </w:r>
      <w:r>
        <w:rPr>
          <w:rFonts w:hint="default" w:eastAsiaTheme="minorEastAsia"/>
          <w:kern w:val="2"/>
          <w:lang w:val="en-US"/>
        </w:rPr>
        <w:t>ing</w:t>
      </w:r>
      <w:r>
        <w:rPr>
          <w:rFonts w:hint="default" w:eastAsiaTheme="minorEastAsia"/>
          <w:kern w:val="2"/>
        </w:rPr>
        <w:t xml:space="preserve"> were performed at 25 °C using a digital eddy-current conductivity meter, and the reported values represent the average of five measurements.</w:t>
      </w:r>
      <w:r>
        <w:rPr>
          <w:rFonts w:hint="default" w:eastAsiaTheme="minorEastAsia"/>
          <w:kern w:val="2"/>
          <w:lang w:val="en-US"/>
        </w:rPr>
        <w:t xml:space="preserve"> </w:t>
      </w:r>
      <w:r>
        <w:rPr>
          <w:rFonts w:eastAsiaTheme="minorEastAsia"/>
          <w:kern w:val="2"/>
        </w:rPr>
        <w:t>For mechanical property evaluation, tensile testing was conducted using a universal testing machine (AG-250KINS) with three repeated tests for each alloy condition.For microstructural characterization, field-emission transmiss</w:t>
      </w:r>
      <w:r>
        <w:rPr>
          <w:rFonts w:hint="default" w:eastAsiaTheme="minorEastAsia"/>
          <w:kern w:val="2"/>
          <w:lang w:val="en-US"/>
        </w:rPr>
        <w:t xml:space="preserve">- </w:t>
      </w:r>
      <w:r>
        <w:rPr>
          <w:rFonts w:eastAsiaTheme="minorEastAsia"/>
          <w:kern w:val="2"/>
        </w:rPr>
        <w:t xml:space="preserve">ion electron microscopy (TEM, G20) was employed to analyze the microstructural evolution </w:t>
      </w:r>
      <w:r>
        <w:rPr>
          <w:rFonts w:hint="default" w:eastAsiaTheme="minorEastAsia"/>
          <w:kern w:val="2"/>
          <w:lang w:val="en-US"/>
        </w:rPr>
        <w:t xml:space="preserve"> </w:t>
      </w:r>
      <w:r>
        <w:rPr>
          <w:rFonts w:eastAsiaTheme="minorEastAsia"/>
          <w:kern w:val="2"/>
        </w:rPr>
        <w:t>and precipitation behavior of the optimized alloys.</w:t>
      </w:r>
    </w:p>
    <w:p w14:paraId="1ABC1F1B">
      <w:pPr>
        <w:pStyle w:val="17"/>
        <w:spacing w:before="120" w:beforeLines="50" w:line="360" w:lineRule="auto"/>
        <w:ind w:left="0"/>
        <w:rPr>
          <w:rFonts w:ascii="Times New Roman" w:hAnsi="Times New Roman" w:eastAsia="Times New Roman" w:cs="Times New Roman"/>
          <w:b/>
          <w:bCs/>
          <w:kern w:val="0"/>
          <w:sz w:val="28"/>
          <w:szCs w:val="28"/>
          <w:lang w:bidi="ar"/>
        </w:rPr>
      </w:pPr>
      <w:r>
        <w:rPr>
          <w:rFonts w:ascii="Times New Roman" w:hAnsi="Times New Roman" w:eastAsia="Times New Roman" w:cs="Times New Roman"/>
          <w:b/>
          <w:bCs/>
          <w:kern w:val="0"/>
          <w:sz w:val="28"/>
          <w:szCs w:val="28"/>
          <w:lang w:bidi="ar"/>
        </w:rPr>
        <w:t>Results</w:t>
      </w:r>
    </w:p>
    <w:p w14:paraId="3E021863">
      <w:pPr>
        <w:pStyle w:val="17"/>
        <w:numPr>
          <w:ilvl w:val="-1"/>
          <w:numId w:val="0"/>
        </w:numPr>
        <w:spacing w:before="120" w:beforeLines="50" w:line="360" w:lineRule="auto"/>
        <w:ind w:left="0"/>
        <w:rPr>
          <w:rFonts w:hint="default" w:ascii="Times New Roman" w:hAnsi="Times New Roman" w:eastAsia="Times New Roman" w:cs="Times New Roman"/>
          <w:b/>
          <w:bCs/>
          <w:kern w:val="0"/>
          <w:sz w:val="28"/>
          <w:szCs w:val="28"/>
          <w:lang w:bidi="ar"/>
        </w:rPr>
      </w:pPr>
      <w:r>
        <w:rPr>
          <w:rFonts w:hint="default" w:ascii="Times New Roman" w:hAnsi="Times New Roman" w:eastAsia="Times New Roman" w:cs="Times New Roman"/>
          <w:b/>
          <w:bCs/>
          <w:kern w:val="0"/>
          <w:sz w:val="28"/>
          <w:szCs w:val="28"/>
          <w:lang w:bidi="ar"/>
        </w:rPr>
        <w:t>1. Overview of the Corpus–Topic–D</w:t>
      </w:r>
      <w:r>
        <w:rPr>
          <w:rFonts w:hint="default" w:ascii="Times New Roman Bold" w:hAnsi="Times New Roman Bold" w:eastAsia="Times New Roman" w:cs="Times New Roman Bold"/>
          <w:b/>
          <w:bCs/>
          <w:kern w:val="0"/>
          <w:sz w:val="28"/>
          <w:szCs w:val="28"/>
          <w:lang w:bidi="ar"/>
        </w:rPr>
        <w:t>ocument Framework for Copper Alloy Informatics</w:t>
      </w:r>
    </w:p>
    <w:p w14:paraId="416B8C7D">
      <w:pPr>
        <w:pStyle w:val="17"/>
        <w:numPr>
          <w:ilvl w:val="0"/>
          <w:numId w:val="0"/>
        </w:numPr>
        <w:spacing w:before="120" w:beforeLines="50" w:line="360" w:lineRule="auto"/>
        <w:ind w:left="0" w:firstLine="480" w:firstLineChars="200"/>
        <w:rPr>
          <w:rFonts w:ascii="Times New Roman" w:hAnsi="Times New Roman" w:eastAsia="Times New Roman" w:cs="Times New Roman"/>
          <w:sz w:val="24"/>
        </w:rPr>
      </w:pPr>
      <w:r>
        <w:rPr>
          <w:rFonts w:hint="default" w:ascii="Times New Roman" w:hAnsi="Times New Roman" w:cs="Times New Roman"/>
          <w:sz w:val="24"/>
        </w:rPr>
        <w:t>As illustrated in Fig.1a, the proposed Corpus–Topic–Document framework for copper alloy infor</w:t>
      </w:r>
      <w:r>
        <w:rPr>
          <w:rFonts w:hint="default" w:ascii="Times New Roman" w:hAnsi="Times New Roman" w:cs="Times New Roman"/>
          <w:sz w:val="24"/>
          <w:lang w:val="en-US"/>
        </w:rPr>
        <w:t>-</w:t>
      </w:r>
      <w:r>
        <w:rPr>
          <w:rFonts w:hint="default" w:ascii="Times New Roman" w:hAnsi="Times New Roman" w:cs="Times New Roman"/>
          <w:sz w:val="24"/>
        </w:rPr>
        <w:t>matics consists of five main stages: (i) multi-modal literature corpus construction, (ii) corpus-level semantic filtering and relevance identification, (iii) topic-level knowledge organization, (iv) document-level fine-grained CPSP reconstruction, and (v) ML-ready knowledge resource construction and downstream alloy design validation.</w:t>
      </w:r>
      <w:r>
        <w:rPr>
          <w:rFonts w:hint="default" w:ascii="Times New Roman" w:hAnsi="Times New Roman" w:cs="Times New Roman"/>
          <w:sz w:val="24"/>
          <w:lang w:val="en-US"/>
        </w:rPr>
        <w:t xml:space="preserve"> This workflow follows a hierarchical knowledge representation paradigm, progressively transforming heterogeneous scientific literature into structured and machine-readable CPSP knowledge resources for subsequent modeling, optimization, and alloy discovery. </w:t>
      </w:r>
      <w:r>
        <w:rPr>
          <w:rFonts w:ascii="Times New Roman" w:hAnsi="Times New Roman" w:eastAsia="Times New Roman" w:cs="Times New Roman"/>
          <w:sz w:val="24"/>
        </w:rPr>
        <w:t>At the initial stage, the framework starts from a large-scale corpus of 122</w:t>
      </w:r>
      <w:r>
        <w:rPr>
          <w:rFonts w:hint="default" w:ascii="Times New Roman" w:hAnsi="Times New Roman" w:eastAsia="Times New Roman" w:cs="Times New Roman"/>
          <w:sz w:val="24"/>
          <w:lang w:val="en-US"/>
        </w:rPr>
        <w:t>,</w:t>
      </w:r>
      <w:r>
        <w:rPr>
          <w:rFonts w:ascii="Times New Roman" w:hAnsi="Times New Roman" w:eastAsia="Times New Roman" w:cs="Times New Roman"/>
          <w:sz w:val="24"/>
        </w:rPr>
        <w:t xml:space="preserve">982 literature from the broader alloy materials domain, encompassing multiple alloy systems, including copper alloys, aluminum alloys, high-entropy alloys, and Ni-based alloys. </w:t>
      </w:r>
      <w:r>
        <w:rPr>
          <w:rFonts w:hint="default" w:ascii="Times New Roman" w:hAnsi="Times New Roman" w:eastAsia="Times New Roman" w:cs="Times New Roman"/>
          <w:sz w:val="24"/>
          <w:lang w:val="en-US"/>
        </w:rPr>
        <w:t xml:space="preserve"> It is noteworthy that, even when using “copper alloy” as the primary query in Web of Science and relateddatabases, keyword-based retrieval cannot strictly isolate copper-alloy-focused studies. Due to overlapping terminology and shared research contexts, the retrieved corpus inevitably contains semantically related but compositionally different material systems, where copper may appear as an alloying element, substrate, catalyst component, or corrosion-related species rather than the primary alloy system under investigation. </w:t>
      </w:r>
      <w:r>
        <w:rPr>
          <w:rFonts w:ascii="Times New Roman" w:hAnsi="Times New Roman" w:eastAsia="Times New Roman" w:cs="Times New Roman"/>
          <w:sz w:val="24"/>
        </w:rPr>
        <w:t>As a result, the initial corpus forms a generalized alloy semantic space rather than a strictly isolated copper alloy dataset</w:t>
      </w:r>
      <w:r>
        <w:rPr>
          <w:rFonts w:hint="default" w:ascii="Times New Roman" w:hAnsi="Times New Roman" w:eastAsia="Times New Roman" w:cs="Times New Roman"/>
          <w:sz w:val="24"/>
          <w:lang w:val="en-US"/>
        </w:rPr>
        <w:t xml:space="preserve">, </w:t>
      </w:r>
      <w:r>
        <w:rPr>
          <w:rFonts w:hint="default" w:ascii="Times New Roman" w:hAnsi="Times New Roman" w:eastAsia="Times New Roman" w:cs="Times New Roman"/>
          <w:sz w:val="24"/>
        </w:rPr>
        <w:t>requiring corpus-level semantic filtering before downstream knowledge organization.</w:t>
      </w:r>
      <w:r>
        <w:rPr>
          <w:rFonts w:hint="default" w:ascii="Times New Roman" w:hAnsi="Times New Roman" w:eastAsia="Times New Roman" w:cs="Times New Roman"/>
          <w:sz w:val="24"/>
          <w:lang w:val="en-US"/>
        </w:rPr>
        <w:t xml:space="preserve"> Within this literature space, multi-modal information, including text, tables, and images, serves as the primary raw information source for subsequent CPSP reconstruction.</w:t>
      </w:r>
      <w:r>
        <w:rPr>
          <w:rFonts w:hint="default" w:ascii="Times New Roman" w:hAnsi="Times New Roman" w:eastAsia="Times New Roman" w:cs="Times New Roman"/>
          <w:sz w:val="24"/>
        </w:rPr>
        <w:t>However, these heterogeneous inputs encode critical materials knowledge, such as processing conditions and structural evolution, in different formats and therefore cannot be directly used for data-driven modeling.</w:t>
      </w:r>
      <w:r>
        <w:rPr>
          <w:rFonts w:hint="default" w:ascii="Times New Roman" w:hAnsi="Times New Roman" w:eastAsia="Times New Roman" w:cs="Times New Roman"/>
          <w:sz w:val="24"/>
          <w:lang w:val="en-US"/>
        </w:rPr>
        <w:t xml:space="preserve"> </w:t>
      </w:r>
      <w:r>
        <w:rPr>
          <w:rFonts w:ascii="Times New Roman" w:hAnsi="Times New Roman" w:eastAsia="Times New Roman" w:cs="Times New Roman"/>
          <w:sz w:val="24"/>
        </w:rPr>
        <w:t xml:space="preserve">Therefore, </w:t>
      </w:r>
      <w:r>
        <w:rPr>
          <w:rFonts w:hint="default" w:ascii="Times New Roman" w:hAnsi="Times New Roman" w:eastAsia="Times New Roman" w:cs="Times New Roman"/>
          <w:sz w:val="24"/>
        </w:rPr>
        <w:t>corpus-level</w:t>
      </w:r>
      <w:r>
        <w:rPr>
          <w:rFonts w:ascii="Times New Roman" w:hAnsi="Times New Roman" w:eastAsia="Times New Roman" w:cs="Times New Roman"/>
          <w:sz w:val="24"/>
        </w:rPr>
        <w:t xml:space="preserve"> semantic modeling based on BERTopic with UMAP dimensionality reduction </w:t>
      </w:r>
      <w:r>
        <w:rPr>
          <w:rFonts w:hint="default" w:ascii="Times New Roman" w:hAnsi="Times New Roman" w:eastAsia="Times New Roman" w:cs="Times New Roman"/>
          <w:sz w:val="24"/>
          <w:lang w:val="en-US"/>
        </w:rPr>
        <w:t>was</w:t>
      </w:r>
      <w:r>
        <w:rPr>
          <w:rFonts w:ascii="Times New Roman" w:hAnsi="Times New Roman" w:eastAsia="Times New Roman" w:cs="Times New Roman"/>
          <w:sz w:val="24"/>
        </w:rPr>
        <w:t xml:space="preserve"> applied to identify </w:t>
      </w:r>
      <w:r>
        <w:rPr>
          <w:rFonts w:hint="default" w:ascii="Times New Roman" w:hAnsi="Times New Roman" w:eastAsia="Times New Roman" w:cs="Times New Roman"/>
          <w:sz w:val="24"/>
        </w:rPr>
        <w:t>copper-alloy-relevant regions within the broader alloy literature space, thereby mapping the generalized corpus into a copper-alloy-relevant subspace.</w:t>
      </w:r>
      <w:r>
        <w:rPr>
          <w:rFonts w:hint="default" w:ascii="Times New Roman" w:hAnsi="Times New Roman" w:eastAsia="Times New Roman" w:cs="Times New Roman"/>
          <w:sz w:val="24"/>
          <w:lang w:val="en-US"/>
        </w:rPr>
        <w:t xml:space="preserve"> </w:t>
      </w:r>
      <w:r>
        <w:rPr>
          <w:rFonts w:hint="default" w:ascii="Times New Roman" w:hAnsi="Times New Roman" w:eastAsia="Times New Roman" w:cs="Times New Roman"/>
          <w:sz w:val="24"/>
        </w:rPr>
        <w:t>In this framework, BERTopic-UMAP is used primarily for high-resolution corpus-level relevance identification rather than final thematic interpretation.</w:t>
      </w:r>
      <w:r>
        <w:rPr>
          <w:rFonts w:hint="default" w:ascii="Times New Roman" w:hAnsi="Times New Roman" w:eastAsia="Times New Roman" w:cs="Times New Roman"/>
          <w:sz w:val="24"/>
          <w:lang w:val="en-US"/>
        </w:rPr>
        <w:t xml:space="preserve"> </w:t>
      </w:r>
      <w:r>
        <w:rPr>
          <w:rFonts w:ascii="Times New Roman" w:hAnsi="Times New Roman" w:eastAsia="Times New Roman" w:cs="Times New Roman"/>
          <w:sz w:val="24"/>
          <w:lang w:val="en-US" w:eastAsia="zh-CN"/>
        </w:rPr>
        <w:t>After corpus-level filtering,</w:t>
      </w:r>
      <w:r>
        <w:rPr>
          <w:rFonts w:hint="default" w:ascii="Times New Roman" w:hAnsi="Times New Roman" w:eastAsia="Times New Roman" w:cs="Times New Roman"/>
          <w:sz w:val="24"/>
          <w:lang w:val="en-US" w:eastAsia="zh-CN"/>
        </w:rPr>
        <w:t xml:space="preserve"> </w:t>
      </w:r>
      <w:r>
        <w:rPr>
          <w:rFonts w:ascii="Times New Roman" w:hAnsi="Times New Roman" w:eastAsia="Times New Roman" w:cs="Times New Roman"/>
          <w:sz w:val="24"/>
          <w:lang w:val="en-US" w:eastAsia="zh-CN"/>
        </w:rPr>
        <w:t>LDA was introduced for topic-level knowledge organization of the copper-alloy-relevant corpus, providing a more interpretable representation of dominant research themes and their relative contributions within the copper alloy domain.</w:t>
      </w:r>
      <w:r>
        <w:rPr>
          <w:rFonts w:hint="default" w:ascii="Times New Roman" w:hAnsi="Times New Roman" w:eastAsia="Times New Roman" w:cs="Times New Roman"/>
          <w:sz w:val="24"/>
          <w:lang w:val="en-US" w:eastAsia="zh-CN"/>
        </w:rPr>
        <w:t xml:space="preserve"> </w:t>
      </w:r>
      <w:r>
        <w:rPr>
          <w:rFonts w:hint="default" w:ascii="Times New Roman" w:hAnsi="Times New Roman" w:eastAsia="Times New Roman" w:cs="Times New Roman"/>
          <w:sz w:val="24"/>
        </w:rPr>
        <w:t>Thus, BERTopic-UMAP and LDA operate at different semantic solutions: BERTopic-UMAP identifies fine-grained copper-alloy-relevant semantic neighborhoods from broad</w:t>
      </w:r>
      <w:r>
        <w:rPr>
          <w:rFonts w:hint="default" w:ascii="Times New Roman" w:hAnsi="Times New Roman" w:eastAsia="Times New Roman" w:cs="Times New Roman"/>
          <w:sz w:val="24"/>
          <w:lang w:val="en-US"/>
        </w:rPr>
        <w:t>er</w:t>
      </w:r>
      <w:r>
        <w:rPr>
          <w:rFonts w:hint="default" w:ascii="Times New Roman" w:hAnsi="Times New Roman" w:eastAsia="Times New Roman" w:cs="Times New Roman"/>
          <w:sz w:val="24"/>
        </w:rPr>
        <w:t xml:space="preserve"> WOS-derived alloy corpus, whereas LDA summarizes the filtered corpus into high-level thematic knowledge modules.</w:t>
      </w:r>
      <w:r>
        <w:rPr>
          <w:rFonts w:hint="default" w:ascii="Times New Roman" w:hAnsi="Times New Roman" w:eastAsia="Times New Roman" w:cs="Times New Roman"/>
          <w:sz w:val="24"/>
          <w:lang w:val="en-US"/>
        </w:rPr>
        <w:t xml:space="preserve"> </w:t>
      </w:r>
      <w:r>
        <w:rPr>
          <w:rFonts w:hint="default" w:ascii="Times New Roman" w:hAnsi="Times New Roman" w:eastAsia="Times New Roman" w:cs="Times New Roman"/>
          <w:sz w:val="24"/>
        </w:rPr>
        <w:t>This step transforms the filtered corpus into an organized topic-level knowledge space, where topics such as corrosion behavior, strengthening mechanisms, and microstructural evolution are represented as interpretable know</w:t>
      </w:r>
      <w:r>
        <w:rPr>
          <w:rFonts w:hint="default" w:ascii="Times New Roman" w:hAnsi="Times New Roman" w:eastAsia="Times New Roman" w:cs="Times New Roman"/>
          <w:sz w:val="24"/>
          <w:lang w:val="en-US"/>
        </w:rPr>
        <w:t>-</w:t>
      </w:r>
      <w:r>
        <w:rPr>
          <w:rFonts w:hint="default" w:ascii="Times New Roman" w:hAnsi="Times New Roman" w:eastAsia="Times New Roman" w:cs="Times New Roman"/>
          <w:sz w:val="24"/>
        </w:rPr>
        <w:t>ledge modules linking relevance identification with structured domain understanding.</w:t>
      </w:r>
      <w:r>
        <w:rPr>
          <w:rFonts w:hint="default" w:ascii="Times New Roman" w:hAnsi="Times New Roman" w:eastAsia="Times New Roman" w:cs="Times New Roman"/>
          <w:sz w:val="24"/>
          <w:lang w:val="en-US"/>
        </w:rPr>
        <w:t xml:space="preserve"> </w:t>
      </w:r>
      <w:r>
        <w:rPr>
          <w:rFonts w:hint="default" w:ascii="Times New Roman" w:hAnsi="Times New Roman" w:eastAsia="Times New Roman" w:cs="Times New Roman"/>
          <w:sz w:val="24"/>
        </w:rPr>
        <w:t>Subsequently, at the document level, the framework performs fine-grained CPSP reconstruction on a per-publication basis through a tri-track multi-modal extraction mechanism, including textual, tabular, and graphical pipelines.</w:t>
      </w:r>
      <w:r>
        <w:rPr>
          <w:rFonts w:hint="default" w:ascii="Times New Roman" w:hAnsi="Times New Roman" w:eastAsia="Times New Roman" w:cs="Times New Roman"/>
          <w:sz w:val="24"/>
          <w:lang w:val="en-US"/>
        </w:rPr>
        <w:t xml:space="preserve"> </w:t>
      </w:r>
      <w:r>
        <w:rPr>
          <w:rFonts w:hint="default" w:ascii="Times New Roman" w:hAnsi="Times New Roman" w:eastAsia="Times New Roman" w:cs="Times New Roman"/>
          <w:sz w:val="24"/>
        </w:rPr>
        <w:t>The textual pipeline leverages large language models to extract implicit metallurgical knowledge embedded in natural language fragments.</w:t>
      </w:r>
      <w:r>
        <w:rPr>
          <w:rFonts w:hint="default" w:ascii="Times New Roman" w:hAnsi="Times New Roman" w:eastAsia="Times New Roman" w:cs="Times New Roman"/>
          <w:sz w:val="24"/>
          <w:lang w:val="en-US"/>
        </w:rPr>
        <w:t xml:space="preserve"> </w:t>
      </w:r>
      <w:r>
        <w:rPr>
          <w:rFonts w:hint="default" w:ascii="Times New Roman" w:hAnsi="Times New Roman" w:eastAsia="Times New Roman" w:cs="Times New Roman"/>
          <w:sz w:val="24"/>
        </w:rPr>
        <w:t>The tabular pipeline applies rule-based parsing and schema-based mapping strategies to retrieve high-precision numerical data from heterogeneous tables.</w:t>
      </w:r>
      <w:r>
        <w:rPr>
          <w:rFonts w:hint="default" w:ascii="Times New Roman" w:hAnsi="Times New Roman" w:eastAsia="Times New Roman" w:cs="Times New Roman"/>
          <w:sz w:val="24"/>
          <w:lang w:val="en-US"/>
        </w:rPr>
        <w:t xml:space="preserve"> </w:t>
      </w:r>
      <w:r>
        <w:rPr>
          <w:rFonts w:hint="default" w:ascii="Times New Roman" w:hAnsi="Times New Roman" w:eastAsia="Times New Roman" w:cs="Times New Roman"/>
          <w:sz w:val="24"/>
        </w:rPr>
        <w:t>The graphical pipeline classifies and interprets microstructural images</w:t>
      </w:r>
      <w:r>
        <w:rPr>
          <w:rFonts w:hint="default" w:ascii="Times New Roman" w:hAnsi="Times New Roman" w:eastAsia="Times New Roman" w:cs="Times New Roman"/>
          <w:sz w:val="24"/>
          <w:lang w:val="en-US"/>
        </w:rPr>
        <w:t xml:space="preserve"> </w:t>
      </w:r>
      <w:r>
        <w:rPr>
          <w:rFonts w:ascii="Times New Roman" w:hAnsi="Times New Roman" w:eastAsia="Times New Roman" w:cs="Times New Roman"/>
          <w:sz w:val="24"/>
        </w:rPr>
        <w:t>(SEM, TEM, OM, and EBSD)</w:t>
      </w:r>
      <w:r>
        <w:rPr>
          <w:rFonts w:hint="default" w:ascii="Times New Roman" w:hAnsi="Times New Roman" w:eastAsia="Times New Roman" w:cs="Times New Roman"/>
          <w:sz w:val="24"/>
        </w:rPr>
        <w:t>, diffraction patterns</w:t>
      </w:r>
      <w:r>
        <w:rPr>
          <w:rFonts w:hint="default" w:ascii="Times New Roman" w:hAnsi="Times New Roman" w:eastAsia="Times New Roman" w:cs="Times New Roman"/>
          <w:sz w:val="24"/>
          <w:lang w:val="en-US"/>
        </w:rPr>
        <w:t xml:space="preserve"> </w:t>
      </w:r>
      <w:r>
        <w:rPr>
          <w:rFonts w:ascii="Times New Roman" w:hAnsi="Times New Roman" w:eastAsia="Times New Roman" w:cs="Times New Roman"/>
          <w:sz w:val="24"/>
        </w:rPr>
        <w:t>(XRD pattern, SAED)</w:t>
      </w:r>
      <w:r>
        <w:rPr>
          <w:rFonts w:hint="default" w:ascii="Times New Roman" w:hAnsi="Times New Roman" w:eastAsia="Times New Roman" w:cs="Times New Roman"/>
          <w:sz w:val="24"/>
        </w:rPr>
        <w:t>, performance curves</w:t>
      </w:r>
      <w:r>
        <w:rPr>
          <w:rFonts w:hint="default" w:ascii="Times New Roman" w:hAnsi="Times New Roman" w:eastAsia="Times New Roman" w:cs="Times New Roman"/>
          <w:sz w:val="24"/>
          <w:lang w:val="en-US"/>
        </w:rPr>
        <w:t xml:space="preserve"> </w:t>
      </w:r>
      <w:r>
        <w:rPr>
          <w:rFonts w:ascii="Times New Roman" w:hAnsi="Times New Roman" w:eastAsia="Times New Roman" w:cs="Times New Roman"/>
          <w:sz w:val="24"/>
        </w:rPr>
        <w:t>(line charts, stress-strain/ hardening curves)</w:t>
      </w:r>
      <w:r>
        <w:rPr>
          <w:rFonts w:hint="default" w:ascii="Times New Roman" w:hAnsi="Times New Roman" w:eastAsia="Times New Roman" w:cs="Times New Roman"/>
          <w:sz w:val="24"/>
        </w:rPr>
        <w:t xml:space="preserve">, and statistical plots </w:t>
      </w:r>
      <w:r>
        <w:rPr>
          <w:rFonts w:ascii="Times New Roman" w:hAnsi="Times New Roman" w:eastAsia="Times New Roman" w:cs="Times New Roman"/>
          <w:sz w:val="24"/>
        </w:rPr>
        <w:t>(histograms, bar charts, and scatter plots)</w:t>
      </w:r>
      <w:r>
        <w:rPr>
          <w:rFonts w:hint="default" w:ascii="Times New Roman" w:hAnsi="Times New Roman" w:eastAsia="Times New Roman" w:cs="Times New Roman"/>
          <w:sz w:val="24"/>
          <w:lang w:val="en-US"/>
        </w:rPr>
        <w:t xml:space="preserve"> </w:t>
      </w:r>
      <w:r>
        <w:rPr>
          <w:rFonts w:hint="default" w:ascii="Times New Roman" w:hAnsi="Times New Roman" w:eastAsia="Times New Roman" w:cs="Times New Roman"/>
          <w:sz w:val="24"/>
        </w:rPr>
        <w:t>to capture visual evidence of structural evolution and property responses.</w:t>
      </w:r>
      <w:r>
        <w:rPr>
          <w:rFonts w:hint="default" w:ascii="Times New Roman" w:hAnsi="Times New Roman" w:eastAsia="Times New Roman" w:cs="Times New Roman"/>
          <w:sz w:val="24"/>
          <w:lang w:val="en-US"/>
        </w:rPr>
        <w:t xml:space="preserve"> </w:t>
      </w:r>
      <w:r>
        <w:rPr>
          <w:rFonts w:ascii="Times New Roman" w:hAnsi="Times New Roman" w:eastAsia="Times New Roman" w:cs="Times New Roman"/>
          <w:sz w:val="24"/>
        </w:rPr>
        <w:t>By integrating these complementary modalities, the framework</w:t>
      </w:r>
      <w:r>
        <w:rPr>
          <w:rFonts w:hint="default" w:ascii="Times New Roman" w:hAnsi="Times New Roman" w:eastAsia="Times New Roman" w:cs="Times New Roman"/>
          <w:sz w:val="24"/>
          <w:lang w:val="en-US"/>
        </w:rPr>
        <w:t xml:space="preserve"> constructs structured CPSP data chains with unified representations. In the final step, the reconstructed CPSP data chains are integrated into ML-ready copper alloy knowledge resources, supporting downstream tasks such as property prediction, multi-objective optimization, and experimental validation, as shown in Fig. 1a. As illustrated in Fig. 1b, the workflow can be interpreted as a unified representation-space transformation from raw literature resources to ML-ready CPSP knowledge representations. </w:t>
      </w:r>
      <w:r>
        <w:rPr>
          <w:rFonts w:hint="default" w:ascii="Times New Roman" w:hAnsi="Times New Roman" w:eastAsia="Times New Roman" w:cs="Times New Roman"/>
          <w:sz w:val="24"/>
        </w:rPr>
        <w:t>Along the horizontal axis, information flows from the multi-modal literature space to corpus-level relevance selection, topic-level knowledge organization, document-level CPSP representation, and finally the predictive model space.</w:t>
      </w:r>
      <w:r>
        <w:rPr>
          <w:rFonts w:hint="default" w:ascii="Times New Roman" w:hAnsi="Times New Roman" w:eastAsia="Times New Roman" w:cs="Times New Roman"/>
          <w:sz w:val="24"/>
          <w:lang w:val="en-US"/>
        </w:rPr>
        <w:t xml:space="preserve"> </w:t>
      </w:r>
      <w:r>
        <w:rPr>
          <w:rFonts w:hint="default" w:ascii="Times New Roman" w:hAnsi="Times New Roman" w:eastAsia="Times New Roman" w:cs="Times New Roman"/>
          <w:sz w:val="24"/>
        </w:rPr>
        <w:t>Along the vertical axis, different categories of materials information, including composition, processing, structure, and properties, are systematically encoded into a unified attribute space, ensuring consistency across heterogeneous modalities.Within this two-dimensional representation, multi-modal inputs are first decomposed into semantic units, then organized through corpus- and topic-level semantic structures, and ultimately mapped into CPSP-aligned data chains.</w:t>
      </w:r>
    </w:p>
    <w:p w14:paraId="67D2D349">
      <w:pPr>
        <w:pStyle w:val="17"/>
        <w:spacing w:before="120" w:beforeLines="50" w:line="360" w:lineRule="auto"/>
        <w:ind w:left="0" w:firstLine="0" w:firstLineChars="0"/>
        <w:rPr>
          <w:rFonts w:ascii="Times New Roman" w:hAnsi="Times New Roman" w:cs="Times New Roman"/>
          <w:sz w:val="24"/>
        </w:rPr>
      </w:pPr>
      <w:r>
        <w:rPr>
          <w:rFonts w:ascii="Times New Roman" w:hAnsi="Times New Roman" w:cs="Times New Roman"/>
          <w:sz w:val="24"/>
        </w:rPr>
        <w:drawing>
          <wp:anchor distT="0" distB="0" distL="114300" distR="114300" simplePos="0" relativeHeight="251661312" behindDoc="0" locked="0" layoutInCell="1" allowOverlap="1">
            <wp:simplePos x="0" y="0"/>
            <wp:positionH relativeFrom="column">
              <wp:posOffset>27305</wp:posOffset>
            </wp:positionH>
            <wp:positionV relativeFrom="paragraph">
              <wp:posOffset>365760</wp:posOffset>
            </wp:positionV>
            <wp:extent cx="6645910" cy="2857500"/>
            <wp:effectExtent l="0" t="0" r="8890" b="12700"/>
            <wp:wrapTopAndBottom/>
            <wp:docPr id="4" name="Picture 4" descr="绘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绘图5"/>
                    <pic:cNvPicPr>
                      <a:picLocks noChangeAspect="1"/>
                    </pic:cNvPicPr>
                  </pic:nvPicPr>
                  <pic:blipFill>
                    <a:blip r:embed="rId6"/>
                    <a:stretch>
                      <a:fillRect/>
                    </a:stretch>
                  </pic:blipFill>
                  <pic:spPr>
                    <a:xfrm>
                      <a:off x="0" y="0"/>
                      <a:ext cx="6645910" cy="2857500"/>
                    </a:xfrm>
                    <a:prstGeom prst="rect">
                      <a:avLst/>
                    </a:prstGeom>
                  </pic:spPr>
                </pic:pic>
              </a:graphicData>
            </a:graphic>
          </wp:anchor>
        </w:drawing>
      </w:r>
    </w:p>
    <w:p w14:paraId="5C1CFA82">
      <w:pPr>
        <w:pStyle w:val="17"/>
        <w:spacing w:before="120" w:beforeLines="50" w:line="360" w:lineRule="auto"/>
        <w:ind w:left="0"/>
        <w:rPr>
          <w:rFonts w:hint="default" w:ascii="Times New Roman" w:hAnsi="Times New Roman" w:cs="Times New Roman"/>
          <w:b w:val="0"/>
          <w:bCs w:val="0"/>
          <w:sz w:val="24"/>
          <w:lang w:val="en-US"/>
        </w:rPr>
      </w:pPr>
      <w:r>
        <w:rPr>
          <w:rFonts w:ascii="Times New Roman Bold" w:hAnsi="Times New Roman Bold" w:cs="Times New Roman Bold"/>
          <w:b/>
          <w:bCs/>
          <w:sz w:val="24"/>
        </w:rPr>
        <w:t xml:space="preserve">Fig. 1. </w:t>
      </w:r>
      <w:r>
        <w:rPr>
          <w:rFonts w:hint="default" w:ascii="Times New Roman Bold" w:hAnsi="Times New Roman Bold" w:cs="Times New Roman Bold"/>
          <w:b/>
          <w:bCs/>
          <w:sz w:val="24"/>
        </w:rPr>
        <w:t>Overview of the proposed Corpus–Topic–Document framework for literature-driven copper alloy informatics.</w:t>
      </w:r>
      <w:r>
        <w:rPr>
          <w:rFonts w:hint="default" w:ascii="Times New Roman Bold" w:hAnsi="Times New Roman Bold" w:cs="Times New Roman Bold"/>
          <w:b/>
          <w:bCs/>
          <w:sz w:val="24"/>
          <w:lang w:val="en-US"/>
        </w:rPr>
        <w:t xml:space="preserve"> </w:t>
      </w:r>
      <w:r>
        <w:rPr>
          <w:rFonts w:hint="default" w:ascii="Times New Roman" w:hAnsi="Times New Roman" w:cs="Times New Roman"/>
          <w:b w:val="0"/>
          <w:bCs w:val="0"/>
          <w:sz w:val="24"/>
          <w:lang w:val="en-US"/>
        </w:rPr>
        <w:t>(A) Schematic illustration of the end-to-end workflow, consisting of multi-modal literature corpus construction, corpus-level semantic filtering and relevance identification, topic-level knowledge organization, document-level fine-grained CPSP reconstruction, and ML-ready knowledge resource construction for downstream performance prediction and alloy design. (B) Hierarchical representa-tion of information transformation within the CTD framework, where literature information is progressively organized from multi-modal data to structured CPSP resources along the horizontal axis, while composition, processing, structure, and property information are continuously aligned across different representation spaces along the vertical axis.</w:t>
      </w:r>
    </w:p>
    <w:p w14:paraId="46FD48CC">
      <w:pPr>
        <w:pStyle w:val="17"/>
        <w:spacing w:before="120" w:beforeLines="50" w:line="360" w:lineRule="auto"/>
        <w:ind w:left="0"/>
        <w:rPr>
          <w:rFonts w:ascii="Times New Roman" w:hAnsi="Times New Roman" w:cs="Times New Roman"/>
          <w:sz w:val="24"/>
        </w:rPr>
      </w:pPr>
    </w:p>
    <w:p w14:paraId="0DE5D933">
      <w:pPr>
        <w:pStyle w:val="17"/>
        <w:numPr>
          <w:ilvl w:val="0"/>
          <w:numId w:val="0"/>
        </w:numPr>
        <w:spacing w:before="120" w:beforeLines="50" w:after="120" w:afterLines="50" w:line="360" w:lineRule="auto"/>
        <w:ind w:left="0" w:firstLine="0" w:firstLineChars="0"/>
        <w:rPr>
          <w:rFonts w:ascii="Times New Roman" w:hAnsi="Times New Roman" w:cs="Times New Roman"/>
          <w:sz w:val="24"/>
        </w:rPr>
      </w:pPr>
      <w:r>
        <w:rPr>
          <w:rFonts w:hint="default" w:ascii="Times New Roman" w:hAnsi="Times New Roman" w:cs="Times New Roman"/>
          <w:b/>
          <w:sz w:val="24"/>
          <w:lang w:val="en-US"/>
        </w:rPr>
        <w:t>2. Corpus–Topic Semantic Organization: From Literature Filtering to Knowledge Structuring</w:t>
      </w:r>
    </w:p>
    <w:p w14:paraId="530CB569">
      <w:pPr>
        <w:pStyle w:val="17"/>
        <w:keepNext w:val="0"/>
        <w:keepLines w:val="0"/>
        <w:widowControl/>
        <w:suppressLineNumbers w:val="0"/>
        <w:spacing w:before="120" w:beforeLines="50" w:beforeAutospacing="1" w:after="0" w:afterAutospacing="1" w:line="360" w:lineRule="auto"/>
        <w:ind w:left="0" w:right="0" w:firstLine="0" w:firstLineChars="0"/>
        <w:rPr>
          <w:rFonts w:hint="default" w:ascii="Times New Roman" w:hAnsi="Times New Roman" w:cs="Times New Roman"/>
          <w:sz w:val="24"/>
        </w:rPr>
      </w:pPr>
      <w:r>
        <w:rPr>
          <w:rFonts w:hint="default" w:ascii="Times New Roman" w:hAnsi="Times New Roman" w:cs="Times New Roman"/>
          <w:sz w:val="24"/>
        </w:rPr>
        <w:t>To address ambiguous semantic boundaries in keyword-retrieved alloy literature, corpus-level semantic filtering was performed using BERTopic on the large-scale alloy literature corpus.</w:t>
      </w:r>
      <w:r>
        <w:rPr>
          <w:rFonts w:hint="default" w:ascii="Times New Roman" w:hAnsi="Times New Roman" w:cs="Times New Roman"/>
          <w:sz w:val="24"/>
          <w:lang w:val="en-US"/>
        </w:rPr>
        <w:t xml:space="preserve"> </w:t>
      </w:r>
      <w:r>
        <w:rPr>
          <w:rFonts w:hint="default" w:ascii="Times New Roman" w:hAnsi="Times New Roman" w:cs="Times New Roman"/>
          <w:sz w:val="24"/>
        </w:rPr>
        <w:t>The proposed approach constructs follows hierarchical pipeline “Corpus construction → Semantic embedding → Dimensionality reduction → Density-based clustering → Topic reconstruction → Visualization mapping”, enabling the systematic transformation of the unstructured literature into an interpretable semantic space capturing the organization of diverse alloy research themes.</w:t>
      </w:r>
      <w:r>
        <w:rPr>
          <w:rFonts w:hint="default" w:ascii="Times New Roman" w:hAnsi="Times New Roman" w:cs="Times New Roman"/>
          <w:sz w:val="24"/>
          <w:lang w:val="en-US"/>
        </w:rPr>
        <w:t xml:space="preserve"> </w:t>
      </w:r>
      <w:r>
        <w:rPr>
          <w:rFonts w:hint="default" w:ascii="Times New Roman" w:hAnsi="Times New Roman" w:cs="Times New Roman"/>
          <w:sz w:val="24"/>
        </w:rPr>
        <w:t>Specifically, publication-level representations were construct</w:t>
      </w:r>
      <w:r>
        <w:rPr>
          <w:rFonts w:hint="default" w:ascii="Times New Roman" w:hAnsi="Times New Roman" w:cs="Times New Roman"/>
          <w:sz w:val="24"/>
          <w:lang w:val="en-US"/>
        </w:rPr>
        <w:t>-</w:t>
      </w:r>
      <w:r>
        <w:rPr>
          <w:rFonts w:hint="default" w:ascii="Times New Roman" w:hAnsi="Times New Roman" w:cs="Times New Roman"/>
          <w:sz w:val="24"/>
        </w:rPr>
        <w:t>ed by integrating titles, abstracts, author keywords, and keywords plus.</w:t>
      </w:r>
      <w:r>
        <w:rPr>
          <w:rFonts w:hint="default" w:ascii="Times New Roman" w:hAnsi="Times New Roman" w:cs="Times New Roman"/>
          <w:sz w:val="24"/>
          <w:lang w:val="en-US"/>
        </w:rPr>
        <w:t xml:space="preserve"> </w:t>
      </w:r>
      <w:r>
        <w:rPr>
          <w:rFonts w:hint="default" w:ascii="Times New Roman" w:hAnsi="Times New Roman" w:cs="Times New Roman"/>
          <w:sz w:val="24"/>
        </w:rPr>
        <w:t>These texts were then mapped into a high-dimensional semantic embedding space using the pre-trained SentenceTransformer model all-mpnet-base-v2, with normalization applied to enhance semantic consistency.</w:t>
      </w:r>
      <w:r>
        <w:rPr>
          <w:rFonts w:hint="default" w:ascii="Times New Roman" w:hAnsi="Times New Roman" w:cs="Times New Roman"/>
          <w:sz w:val="24"/>
          <w:lang w:val="en-US"/>
        </w:rPr>
        <w:t xml:space="preserve"> </w:t>
      </w:r>
      <w:r>
        <w:rPr>
          <w:rFonts w:hint="default" w:ascii="Times New Roman" w:hAnsi="Times New Roman" w:cs="Times New Roman"/>
          <w:sz w:val="24"/>
        </w:rPr>
        <w:t>Subsequently, a decoupled clustering–visualization strategy was used, in which dimensionality reduction supported density-based clustering, while a separate two-dimensional UMAP projection</w:t>
      </w:r>
      <w:r>
        <w:rPr>
          <w:rFonts w:hint="default" w:ascii="Times New Roman" w:hAnsi="Times New Roman" w:cs="Times New Roman"/>
          <w:sz w:val="24"/>
          <w:lang w:val="en-US"/>
        </w:rPr>
        <w:t xml:space="preserve"> </w:t>
      </w:r>
      <w:r>
        <w:rPr>
          <w:rFonts w:ascii="Times New Roman" w:hAnsi="Times New Roman" w:cs="Times New Roman"/>
          <w:sz w:val="24"/>
        </w:rPr>
        <w:t xml:space="preserve">(UMAP-1: -7.899~11.883; UMAP-2: -7.382~10.856) </w:t>
      </w:r>
      <w:r>
        <w:rPr>
          <w:rFonts w:hint="default" w:ascii="Times New Roman" w:hAnsi="Times New Roman" w:cs="Times New Roman"/>
          <w:sz w:val="24"/>
        </w:rPr>
        <w:t>was used only for visualization.</w:t>
      </w:r>
      <w:r>
        <w:rPr>
          <w:rFonts w:hint="default" w:ascii="Times New Roman" w:hAnsi="Times New Roman" w:cs="Times New Roman"/>
          <w:sz w:val="24"/>
          <w:lang w:val="en-US"/>
        </w:rPr>
        <w:t xml:space="preserve"> </w:t>
      </w:r>
      <w:r>
        <w:rPr>
          <w:rFonts w:hint="default" w:ascii="Times New Roman" w:hAnsi="Times New Roman" w:cs="Times New Roman"/>
          <w:sz w:val="24"/>
        </w:rPr>
        <w:t>The two-dimensional projection was interpreted as a visualization of local semantic neighborhoods rather than as direct evidence of global semantic distances.</w:t>
      </w:r>
      <w:r>
        <w:rPr>
          <w:rFonts w:hint="default" w:ascii="Times New Roman" w:hAnsi="Times New Roman" w:cs="Times New Roman"/>
          <w:sz w:val="24"/>
          <w:lang w:val="en-US"/>
        </w:rPr>
        <w:t xml:space="preserve"> </w:t>
      </w:r>
      <w:r>
        <w:rPr>
          <w:rFonts w:hint="default" w:ascii="Times New Roman" w:hAnsi="Times New Roman" w:cs="Times New Roman"/>
          <w:sz w:val="24"/>
        </w:rPr>
        <w:t>For clustering, HDBSCAN was applied within BERTopic to identify semantically coherent publication clusters based on local density patterns in the embedding space.</w:t>
      </w:r>
      <w:r>
        <w:rPr>
          <w:rFonts w:hint="default" w:ascii="Times New Roman" w:hAnsi="Times New Roman" w:cs="Times New Roman"/>
          <w:sz w:val="24"/>
          <w:lang w:val="en-US"/>
        </w:rPr>
        <w:t xml:space="preserve"> </w:t>
      </w:r>
      <w:r>
        <w:rPr>
          <w:rFonts w:ascii="Times New Roman" w:hAnsi="Times New Roman" w:cs="Times New Roman"/>
          <w:sz w:val="24"/>
        </w:rPr>
        <w:t xml:space="preserve">Topic representations were then refined using BERTopic’s c-TF-IDF, yielding more representative and interpretable keywords for each cluster. </w:t>
      </w:r>
      <w:r>
        <w:rPr>
          <w:rFonts w:hint="default" w:ascii="Times New Roman" w:hAnsi="Times New Roman" w:cs="Times New Roman"/>
          <w:sz w:val="24"/>
        </w:rPr>
        <w:t>For visualization, an additional distance-based filtering step was applied to remove peripheral points far from central clusters, improving the compactness and visual clarity of the topic map.</w:t>
      </w:r>
    </w:p>
    <w:p w14:paraId="618FF8C6">
      <w:pPr>
        <w:pStyle w:val="17"/>
        <w:widowControl/>
        <w:spacing w:before="120" w:beforeLines="50" w:beforeAutospacing="1" w:afterAutospacing="1" w:line="360" w:lineRule="auto"/>
        <w:ind w:left="0" w:firstLine="600" w:firstLineChars="250"/>
        <w:rPr>
          <w:rFonts w:hint="default" w:ascii="Times New Roman" w:hAnsi="Times New Roman" w:cs="Times New Roman"/>
          <w:sz w:val="24"/>
          <w:lang w:val="en-US"/>
        </w:rPr>
      </w:pPr>
      <w:r>
        <w:rPr>
          <w:rFonts w:hint="eastAsia" w:ascii="Times New Roman" w:hAnsi="Times New Roman" w:cs="Times New Roman"/>
          <w:sz w:val="24"/>
        </w:rPr>
        <w:t>As shown in Fig. 2A, the BERTopic</w:t>
      </w:r>
      <w:r>
        <w:rPr>
          <w:rFonts w:ascii="Times New Roman" w:hAnsi="Times New Roman" w:cs="Times New Roman"/>
          <w:sz w:val="24"/>
        </w:rPr>
        <w:t>–</w:t>
      </w:r>
      <w:r>
        <w:rPr>
          <w:rFonts w:hint="eastAsia" w:ascii="Times New Roman" w:hAnsi="Times New Roman" w:cs="Times New Roman"/>
          <w:sz w:val="24"/>
        </w:rPr>
        <w:t>UMAP analysis reveals a heterogeneous yet structured corpus-level semantic distribution within 122,982 alloy-related publications.</w:t>
      </w:r>
      <w:r>
        <w:rPr>
          <w:rFonts w:hint="eastAsia" w:ascii="Times New Roman" w:hAnsi="Times New Roman" w:cs="Times New Roman"/>
          <w:sz w:val="24"/>
          <w:lang w:val="en-US"/>
        </w:rPr>
        <w:t xml:space="preserve"> </w:t>
      </w:r>
      <w:r>
        <w:rPr>
          <w:rFonts w:hint="eastAsia" w:ascii="Times New Roman" w:hAnsi="Times New Roman" w:cs="Times New Roman"/>
          <w:sz w:val="24"/>
        </w:rPr>
        <w:t>A total of 457 non-noise BERTopic clusters were identified, with the largest cluster accounting for only 2.57% (3,163 publications), while the remaining clusters exhibited a long-tail distribution.</w:t>
      </w:r>
      <w:r>
        <w:rPr>
          <w:rFonts w:hint="eastAsia" w:ascii="Times New Roman" w:hAnsi="Times New Roman" w:cs="Times New Roman"/>
          <w:sz w:val="24"/>
          <w:lang w:val="en-US"/>
        </w:rPr>
        <w:t xml:space="preserve"> </w:t>
      </w:r>
      <w:r>
        <w:rPr>
          <w:rFonts w:hint="eastAsia" w:ascii="Times New Roman" w:hAnsi="Times New Roman" w:cs="Times New Roman"/>
          <w:sz w:val="24"/>
        </w:rPr>
        <w:t>These clusters were used as fine-grained semantic neighborhoods for relevance identification rather than as final high-level research topics.</w:t>
      </w:r>
      <w:r>
        <w:rPr>
          <w:rFonts w:hint="eastAsia" w:ascii="Times New Roman" w:hAnsi="Times New Roman" w:cs="Times New Roman"/>
          <w:sz w:val="24"/>
          <w:lang w:val="en-US"/>
        </w:rPr>
        <w:t xml:space="preserve"> </w:t>
      </w:r>
      <w:r>
        <w:rPr>
          <w:rFonts w:hint="eastAsia" w:ascii="Times New Roman" w:hAnsi="Times New Roman" w:cs="Times New Roman"/>
          <w:sz w:val="24"/>
        </w:rPr>
        <w:t>Distinct semantic regions form dense local aggregations in the two-dimensional UMAP projection, suggesting locally coherent semantic neighborhoods.</w:t>
      </w:r>
      <w:r>
        <w:rPr>
          <w:rFonts w:hint="eastAsia" w:ascii="Times New Roman" w:hAnsi="Times New Roman" w:cs="Times New Roman"/>
          <w:sz w:val="24"/>
          <w:lang w:val="en-US"/>
        </w:rPr>
        <w:t xml:space="preserve"> </w:t>
      </w:r>
      <w:r>
        <w:rPr>
          <w:rFonts w:hint="eastAsia" w:ascii="Times New Roman" w:hAnsi="Times New Roman" w:cs="Times New Roman"/>
          <w:sz w:val="24"/>
        </w:rPr>
        <w:t>Because UMAP primarily preserves local neighborhood structures and may distort global distances, visual proximity in the projection was not used alone as evidence of semantic overlap.</w:t>
      </w:r>
      <w:r>
        <w:rPr>
          <w:rFonts w:hint="eastAsia" w:ascii="Times New Roman" w:hAnsi="Times New Roman" w:cs="Times New Roman"/>
          <w:sz w:val="24"/>
          <w:lang w:val="en-US"/>
        </w:rPr>
        <w:t xml:space="preserve"> </w:t>
      </w:r>
      <w:r>
        <w:rPr>
          <w:rFonts w:hint="eastAsia" w:ascii="Times New Roman" w:hAnsi="Times New Roman" w:cs="Times New Roman"/>
          <w:sz w:val="24"/>
        </w:rPr>
        <w:t>A closer look at the copper-related regions in Fig. 2B shows that copper-alloy-relevant studies are not confined to a single cluster but are distributed across multiple thematic domains, including Mechanics</w:t>
      </w:r>
      <w:r>
        <w:rPr>
          <w:rFonts w:ascii="Times New Roman" w:hAnsi="Times New Roman" w:cs="Times New Roman"/>
          <w:sz w:val="24"/>
        </w:rPr>
        <w:t xml:space="preserve"> (clustering 8)</w:t>
      </w:r>
      <w:r>
        <w:rPr>
          <w:rFonts w:hint="eastAsia" w:ascii="Times New Roman" w:hAnsi="Times New Roman" w:cs="Times New Roman"/>
          <w:sz w:val="24"/>
        </w:rPr>
        <w:t>, Corrosion</w:t>
      </w:r>
      <w:r>
        <w:rPr>
          <w:rFonts w:ascii="Times New Roman" w:hAnsi="Times New Roman" w:cs="Times New Roman"/>
          <w:sz w:val="24"/>
        </w:rPr>
        <w:t xml:space="preserve"> (clustering 6)</w:t>
      </w:r>
      <w:r>
        <w:rPr>
          <w:rFonts w:hint="eastAsia" w:ascii="Times New Roman" w:hAnsi="Times New Roman" w:cs="Times New Roman"/>
          <w:sz w:val="24"/>
        </w:rPr>
        <w:t>, High-Entropy Alloys</w:t>
      </w:r>
      <w:r>
        <w:rPr>
          <w:rFonts w:ascii="Times New Roman" w:hAnsi="Times New Roman" w:cs="Times New Roman"/>
          <w:sz w:val="24"/>
        </w:rPr>
        <w:t xml:space="preserve"> (clustering 18)</w:t>
      </w:r>
      <w:r>
        <w:rPr>
          <w:rFonts w:hint="eastAsia" w:ascii="Times New Roman" w:hAnsi="Times New Roman" w:cs="Times New Roman"/>
          <w:sz w:val="24"/>
        </w:rPr>
        <w:t>, Irradiation</w:t>
      </w:r>
      <w:r>
        <w:rPr>
          <w:rFonts w:ascii="Times New Roman" w:hAnsi="Times New Roman" w:cs="Times New Roman"/>
          <w:sz w:val="24"/>
        </w:rPr>
        <w:t xml:space="preserve"> (clustering 15)</w:t>
      </w:r>
      <w:r>
        <w:rPr>
          <w:rFonts w:hint="eastAsia" w:ascii="Times New Roman" w:hAnsi="Times New Roman" w:cs="Times New Roman"/>
          <w:sz w:val="24"/>
        </w:rPr>
        <w:t>, and Shape Memory Alloys</w:t>
      </w:r>
      <w:r>
        <w:rPr>
          <w:rFonts w:ascii="Times New Roman" w:hAnsi="Times New Roman" w:cs="Times New Roman"/>
          <w:sz w:val="24"/>
        </w:rPr>
        <w:t xml:space="preserve"> (clustering 2)</w:t>
      </w:r>
      <w:r>
        <w:rPr>
          <w:rFonts w:hint="eastAsia" w:ascii="Times New Roman" w:hAnsi="Times New Roman" w:cs="Times New Roman"/>
          <w:sz w:val="24"/>
        </w:rPr>
        <w:t>. Building upon the corpus-level semantic filtering, Fig. 2C</w:t>
      </w:r>
      <w:r>
        <w:rPr>
          <w:rFonts w:hint="eastAsia" w:ascii="Times New Roman" w:hAnsi="Times New Roman" w:cs="Times New Roman"/>
          <w:sz w:val="24"/>
          <w:lang w:val="en-US"/>
        </w:rPr>
        <w:t>-</w:t>
      </w:r>
      <w:r>
        <w:rPr>
          <w:rFonts w:hint="eastAsia" w:ascii="Times New Roman" w:hAnsi="Times New Roman" w:cs="Times New Roman"/>
          <w:sz w:val="24"/>
        </w:rPr>
        <w:t>D, Fig. 3A</w:t>
      </w:r>
      <w:r>
        <w:rPr>
          <w:rFonts w:hint="eastAsia" w:ascii="Times New Roman" w:hAnsi="Times New Roman" w:cs="Times New Roman"/>
          <w:sz w:val="24"/>
          <w:lang w:val="en-US"/>
        </w:rPr>
        <w:t>-</w:t>
      </w:r>
      <w:r>
        <w:rPr>
          <w:rFonts w:hint="eastAsia" w:ascii="Times New Roman" w:hAnsi="Times New Roman" w:cs="Times New Roman"/>
          <w:sz w:val="24"/>
        </w:rPr>
        <w:t>D, and Table 1 further characterize topic-level knowledge structure, statistical validity, and semantic composition of the copper-alloy-relevant corpus using LDA.</w:t>
      </w:r>
      <w:r>
        <w:rPr>
          <w:rFonts w:hint="eastAsia" w:ascii="Times New Roman" w:hAnsi="Times New Roman" w:cs="Times New Roman"/>
          <w:sz w:val="24"/>
          <w:lang w:val="en-US"/>
        </w:rPr>
        <w:t xml:space="preserve"> </w:t>
      </w:r>
      <w:r>
        <w:rPr>
          <w:rFonts w:hint="default" w:ascii="Times New Roman" w:hAnsi="Times New Roman" w:cs="Times New Roman" w:eastAsiaTheme="minorEastAsia"/>
          <w:kern w:val="2"/>
          <w:sz w:val="24"/>
        </w:rPr>
        <w:t>Fig. 2D further illustrates the temporal evolution of major research themes from 2020 to 2025. While structure</w:t>
      </w:r>
      <w:r>
        <w:rPr>
          <w:rFonts w:hint="eastAsia" w:ascii="Times New Roman" w:hAnsi="Times New Roman" w:cs="Times New Roman" w:eastAsiaTheme="minorEastAsia"/>
          <w:kern w:val="2"/>
          <w:sz w:val="24"/>
          <w:lang w:val="en-US"/>
        </w:rPr>
        <w:t>-</w:t>
      </w:r>
      <w:r>
        <w:rPr>
          <w:rFonts w:hint="default" w:ascii="Times New Roman" w:hAnsi="Times New Roman" w:cs="Times New Roman" w:eastAsiaTheme="minorEastAsia"/>
          <w:kern w:val="2"/>
          <w:sz w:val="24"/>
        </w:rPr>
        <w:t>property-related studies remained consistently dominant, topics such as corrosion, deposition, and interfacial reactions exhibited varying levels of growth and decline, indicating dynamic shifts in research priorities within the copper-alloy field. Detailed trend analyses of publishers, journals, institutions, keywords, and funding agencies are provided in Supplementary Figure 1</w:t>
      </w:r>
      <w:r>
        <w:rPr>
          <w:rFonts w:hint="default" w:ascii="Times New Roman" w:hAnsi="Times New Roman" w:cs="Times New Roman"/>
          <w:kern w:val="2"/>
          <w:sz w:val="24"/>
          <w:lang w:val="en-US"/>
        </w:rPr>
        <w:t xml:space="preserve">. </w:t>
      </w:r>
      <w:r>
        <w:rPr>
          <w:rFonts w:hint="eastAsia" w:ascii="Times New Roman" w:hAnsi="Times New Roman" w:cs="Times New Roman"/>
          <w:sz w:val="24"/>
        </w:rPr>
        <w:t>As shown in Fig. 3A, the coherence score reaches its maximum when the topic number is seven, indicating that seven topics provide the most semantically consistent representation of the filtered copper-alloy corpus</w:t>
      </w:r>
      <w:r>
        <w:rPr>
          <w:rFonts w:hint="default" w:ascii="Times New Roman" w:hAnsi="Times New Roman" w:cs="Times New Roman"/>
          <w:sz w:val="24"/>
          <w:lang w:val="en-US"/>
        </w:rPr>
        <w:t xml:space="preserve">. </w:t>
      </w:r>
      <w:r>
        <w:rPr>
          <w:rFonts w:hint="eastAsia" w:ascii="Times New Roman" w:hAnsi="Times New Roman" w:cs="Times New Roman"/>
          <w:sz w:val="24"/>
        </w:rPr>
        <w:t>Based on th</w:t>
      </w:r>
      <w:r>
        <w:rPr>
          <w:rFonts w:hint="default" w:ascii="Times New Roman" w:hAnsi="Times New Roman" w:cs="Times New Roman"/>
          <w:sz w:val="24"/>
          <w:lang w:val="en-US"/>
        </w:rPr>
        <w:t>at</w:t>
      </w:r>
      <w:r>
        <w:rPr>
          <w:rFonts w:hint="eastAsia" w:ascii="Times New Roman" w:hAnsi="Times New Roman" w:cs="Times New Roman"/>
          <w:sz w:val="24"/>
        </w:rPr>
        <w:t>, the topic distribution in Fig. 2C shows a structured yet non-uniform pattern, where dominant themes such as structure</w:t>
      </w:r>
      <w:r>
        <w:rPr>
          <w:rFonts w:hint="default" w:ascii="Times New Roman" w:hAnsi="Times New Roman" w:cs="Times New Roman"/>
          <w:sz w:val="24"/>
          <w:lang w:val="en-US"/>
        </w:rPr>
        <w:t>-</w:t>
      </w:r>
      <w:r>
        <w:rPr>
          <w:rFonts w:hint="eastAsia" w:ascii="Times New Roman" w:hAnsi="Times New Roman" w:cs="Times New Roman"/>
          <w:sz w:val="24"/>
        </w:rPr>
        <w:t>property relationships, corrosion, deposition, interfacial reactions, and amorphous/alloy systems</w:t>
      </w:r>
      <w:r>
        <w:rPr>
          <w:rFonts w:ascii="Times New Roman" w:hAnsi="Times New Roman" w:cs="Times New Roman"/>
          <w:sz w:val="24"/>
        </w:rPr>
        <w:t>, occupied</w:t>
      </w:r>
      <w:r>
        <w:rPr>
          <w:rFonts w:hint="eastAsia" w:ascii="Times New Roman" w:hAnsi="Times New Roman" w:cs="Times New Roman"/>
          <w:sz w:val="24"/>
        </w:rPr>
        <w:t xml:space="preserve"> c</w:t>
      </w:r>
      <w:r>
        <w:rPr>
          <w:rFonts w:ascii="Times New Roman" w:hAnsi="Times New Roman" w:cs="Times New Roman"/>
          <w:sz w:val="24"/>
        </w:rPr>
        <w:t>enter</w:t>
      </w:r>
      <w:r>
        <w:rPr>
          <w:rFonts w:hint="eastAsia" w:ascii="Times New Roman" w:hAnsi="Times New Roman" w:cs="Times New Roman"/>
          <w:sz w:val="24"/>
        </w:rPr>
        <w:t xml:space="preserve"> of </w:t>
      </w:r>
      <w:r>
        <w:rPr>
          <w:rFonts w:ascii="Times New Roman" w:hAnsi="Times New Roman" w:cs="Times New Roman"/>
          <w:sz w:val="24"/>
        </w:rPr>
        <w:t xml:space="preserve">the </w:t>
      </w:r>
      <w:r>
        <w:rPr>
          <w:rFonts w:hint="eastAsia" w:ascii="Times New Roman" w:hAnsi="Times New Roman" w:cs="Times New Roman"/>
          <w:sz w:val="24"/>
        </w:rPr>
        <w:t>knowledge landscape</w:t>
      </w:r>
      <w:r>
        <w:rPr>
          <w:rFonts w:hint="default" w:ascii="Times New Roman" w:hAnsi="Times New Roman" w:cs="Times New Roman"/>
          <w:sz w:val="24"/>
          <w:lang w:val="en-US"/>
        </w:rPr>
        <w:t>. This is consistent with the topic weight distribution in Fig. 3B, which shows uneven contributions, with several dominant topics accompanied by smaller but meaningful topics, forming a clear long-tail structure.</w:t>
      </w:r>
    </w:p>
    <w:p w14:paraId="55425D7F">
      <w:pPr>
        <w:pStyle w:val="17"/>
        <w:spacing w:before="120" w:beforeLines="50" w:line="360" w:lineRule="auto"/>
        <w:ind w:left="0" w:firstLine="0" w:firstLineChars="0"/>
        <w:rPr>
          <w:rFonts w:hint="default" w:ascii="Times New Roman" w:hAnsi="Times New Roman" w:cs="Times New Roman"/>
          <w:sz w:val="24"/>
          <w:lang w:val="en-US"/>
        </w:rPr>
      </w:pPr>
      <w:r>
        <w:rPr>
          <w:rFonts w:ascii="Times New Roman Bold" w:hAnsi="Times New Roman Bold" w:cs="Times New Roman Bold"/>
          <w:b/>
          <w:bCs/>
        </w:rPr>
        <w:drawing>
          <wp:anchor distT="0" distB="0" distL="114300" distR="114300" simplePos="0" relativeHeight="251659264" behindDoc="0" locked="0" layoutInCell="1" allowOverlap="1">
            <wp:simplePos x="0" y="0"/>
            <wp:positionH relativeFrom="column">
              <wp:posOffset>-28575</wp:posOffset>
            </wp:positionH>
            <wp:positionV relativeFrom="paragraph">
              <wp:posOffset>287020</wp:posOffset>
            </wp:positionV>
            <wp:extent cx="6721475" cy="5189855"/>
            <wp:effectExtent l="0" t="0" r="9525" b="17145"/>
            <wp:wrapTopAndBottom/>
            <wp:docPr id="2" name="Picture 2" descr="绘图17_backup_0116a5_backup_101431_backup_1112d3_backup_131037_backup_140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绘图17_backup_0116a5_backup_101431_backup_1112d3_backup_131037_backup_14006b"/>
                    <pic:cNvPicPr>
                      <a:picLocks noChangeAspect="1"/>
                    </pic:cNvPicPr>
                  </pic:nvPicPr>
                  <pic:blipFill>
                    <a:blip r:embed="rId7"/>
                    <a:stretch>
                      <a:fillRect/>
                    </a:stretch>
                  </pic:blipFill>
                  <pic:spPr>
                    <a:xfrm>
                      <a:off x="0" y="0"/>
                      <a:ext cx="6721475" cy="5189855"/>
                    </a:xfrm>
                    <a:prstGeom prst="rect">
                      <a:avLst/>
                    </a:prstGeom>
                  </pic:spPr>
                </pic:pic>
              </a:graphicData>
            </a:graphic>
          </wp:anchor>
        </w:drawing>
      </w:r>
    </w:p>
    <w:p w14:paraId="5A7283D8">
      <w:pPr>
        <w:pStyle w:val="17"/>
        <w:spacing w:before="120" w:beforeLines="50" w:line="360" w:lineRule="auto"/>
        <w:ind w:left="0"/>
        <w:rPr>
          <w:rFonts w:ascii="Times New Roman" w:hAnsi="Times New Roman" w:cs="Times New Roman"/>
          <w:sz w:val="24"/>
        </w:rPr>
      </w:pPr>
      <w:r>
        <w:rPr>
          <w:rFonts w:hint="default" w:ascii="Times New Roman Bold" w:hAnsi="Times New Roman Bold" w:cs="Times New Roman Bold"/>
          <w:b/>
          <w:bCs/>
          <w:sz w:val="24"/>
        </w:rPr>
        <w:t>Fig. 2. Corpus–Topic semantic organization of alloy literature using BERTopic-UMAP and LDA</w:t>
      </w:r>
      <w:r>
        <w:rPr>
          <w:rFonts w:ascii="Times New Roman Bold" w:hAnsi="Times New Roman Bold" w:cs="Times New Roman Bold"/>
          <w:b/>
          <w:bCs/>
          <w:sz w:val="24"/>
        </w:rPr>
        <w:t xml:space="preserve">. </w:t>
      </w:r>
      <w:r>
        <w:rPr>
          <w:rFonts w:hint="default" w:ascii="Times New Roman" w:hAnsi="Times New Roman" w:cs="Times New Roman"/>
          <w:b w:val="0"/>
          <w:bCs w:val="0"/>
          <w:sz w:val="24"/>
        </w:rPr>
        <w:t>(A) UMAP visualization of the corpus-level alloy semantic space constructed from 122,982 publications, where each point represents a publication and colors indicate BERTopic-derived semantic clusters.</w:t>
      </w:r>
      <w:r>
        <w:rPr>
          <w:rFonts w:hint="default" w:ascii="Times New Roman" w:hAnsi="Times New Roman" w:cs="Times New Roman"/>
          <w:b w:val="0"/>
          <w:bCs w:val="0"/>
          <w:sz w:val="24"/>
          <w:lang w:val="en-US"/>
        </w:rPr>
        <w:t xml:space="preserve"> </w:t>
      </w:r>
      <w:r>
        <w:rPr>
          <w:rFonts w:hint="default" w:ascii="Times New Roman" w:hAnsi="Times New Roman" w:cs="Times New Roman"/>
          <w:sz w:val="24"/>
        </w:rPr>
        <w:t>(B) Enlarged view of representative corpus-level semantic regions, highlighting the distribution of copper-related studies across multiple domains.</w:t>
      </w:r>
      <w:r>
        <w:rPr>
          <w:rFonts w:hint="default" w:ascii="Times New Roman" w:hAnsi="Times New Roman" w:cs="Times New Roman"/>
          <w:sz w:val="24"/>
          <w:lang w:val="en-US"/>
        </w:rPr>
        <w:t xml:space="preserve"> </w:t>
      </w:r>
      <w:r>
        <w:rPr>
          <w:rFonts w:ascii="Times New Roman" w:hAnsi="Times New Roman" w:cs="Times New Roman"/>
          <w:sz w:val="24"/>
        </w:rPr>
        <w:t xml:space="preserve">(C) LDA-based topic distribution, illustrating the hierarchical organization of major research themes and their relative proportions within the corpus. </w:t>
      </w:r>
      <w:r>
        <w:rPr>
          <w:rFonts w:hint="default" w:ascii="Times New Roman" w:hAnsi="Times New Roman" w:cs="Times New Roman"/>
          <w:sz w:val="24"/>
        </w:rPr>
        <w:t>(D) Temporal evolution of topic distributions over 2020–2025, illustrating changes in research focus across major copper-alloy-related themes.</w:t>
      </w:r>
    </w:p>
    <w:p w14:paraId="4113DDEE">
      <w:pPr>
        <w:pStyle w:val="17"/>
        <w:spacing w:before="120" w:beforeLines="50" w:line="360" w:lineRule="auto"/>
        <w:ind w:left="0"/>
        <w:rPr>
          <w:rFonts w:ascii="Times New Roman" w:hAnsi="Times New Roman" w:cs="Times New Roman"/>
          <w:sz w:val="24"/>
        </w:rPr>
      </w:pPr>
    </w:p>
    <w:p w14:paraId="75C75B7E">
      <w:pPr>
        <w:pStyle w:val="17"/>
        <w:spacing w:before="120" w:beforeLines="50" w:line="360" w:lineRule="auto"/>
        <w:ind w:left="0" w:firstLine="480" w:firstLineChars="200"/>
        <w:rPr>
          <w:rFonts w:hint="default" w:ascii="Times New Roman" w:hAnsi="Times New Roman" w:cs="Times New Roman"/>
          <w:sz w:val="24"/>
        </w:rPr>
      </w:pPr>
      <w:r>
        <w:rPr>
          <w:rFonts w:hint="default" w:ascii="Times New Roman" w:hAnsi="Times New Roman" w:cs="Times New Roman"/>
          <w:sz w:val="24"/>
        </w:rPr>
        <w:t>Furthermore, Fig. 2D and Fig. 3D reveal the temporal evolution of research focus and its underlying keyword-level semantic basis.</w:t>
      </w:r>
      <w:r>
        <w:rPr>
          <w:rFonts w:hint="default" w:ascii="Times New Roman" w:hAnsi="Times New Roman" w:cs="Times New Roman"/>
          <w:sz w:val="24"/>
          <w:lang w:val="en-US"/>
        </w:rPr>
        <w:t xml:space="preserve"> </w:t>
      </w:r>
      <w:r>
        <w:rPr>
          <w:rFonts w:hint="default" w:ascii="Times New Roman" w:hAnsi="Times New Roman" w:cs="Times New Roman"/>
          <w:sz w:val="24"/>
        </w:rPr>
        <w:t>Structure-related studies consistently maintain a high proportion, under</w:t>
      </w:r>
      <w:r>
        <w:rPr>
          <w:rFonts w:hint="default" w:ascii="Times New Roman" w:hAnsi="Times New Roman" w:cs="Times New Roman"/>
          <w:sz w:val="24"/>
          <w:lang w:val="en-US"/>
        </w:rPr>
        <w:t>-</w:t>
      </w:r>
      <w:r>
        <w:rPr>
          <w:rFonts w:hint="default" w:ascii="Times New Roman" w:hAnsi="Times New Roman" w:cs="Times New Roman"/>
          <w:sz w:val="24"/>
        </w:rPr>
        <w:t>scoring their central role in copper alloy research, while topics such as corrosion, surface reactions, electrodeposition, molecular dynamics, and interfacial phenomena exhibit noticeable temporal variations.</w:t>
      </w:r>
      <w:r>
        <w:rPr>
          <w:rFonts w:hint="default" w:ascii="Times New Roman" w:hAnsi="Times New Roman" w:cs="Times New Roman"/>
          <w:sz w:val="24"/>
          <w:lang w:val="en-US"/>
        </w:rPr>
        <w:t xml:space="preserve"> </w:t>
      </w:r>
      <w:r>
        <w:rPr>
          <w:rFonts w:hint="default" w:ascii="Times New Roman" w:hAnsi="Times New Roman" w:cs="Times New Roman"/>
          <w:sz w:val="24"/>
        </w:rPr>
        <w:t>This trend is further supported by the keyword distribution in Fig. 3D, where terms such as microstructure, mechanical properties, corrosion, precipitation, and strength define the core semantic regions.</w:t>
      </w:r>
      <w:r>
        <w:rPr>
          <w:rFonts w:hint="default" w:ascii="Times New Roman" w:hAnsi="Times New Roman" w:cs="Times New Roman"/>
          <w:sz w:val="24"/>
          <w:lang w:val="en-US"/>
        </w:rPr>
        <w:t xml:space="preserve"> </w:t>
      </w:r>
      <w:r>
        <w:rPr>
          <w:rFonts w:hint="default" w:ascii="Times New Roman" w:hAnsi="Times New Roman" w:cs="Times New Roman"/>
          <w:sz w:val="24"/>
        </w:rPr>
        <w:t>Overall, these results suggest that copper alloy research is increasingly organized around coupled structure–property relationships, multi-mechanism strengthening, and multi-scale investigations.</w:t>
      </w:r>
      <w:r>
        <w:rPr>
          <w:rFonts w:hint="default" w:ascii="Times New Roman" w:hAnsi="Times New Roman" w:cs="Times New Roman"/>
          <w:sz w:val="24"/>
          <w:lang w:val="en-US"/>
        </w:rPr>
        <w:t xml:space="preserve"> </w:t>
      </w:r>
      <w:r>
        <w:rPr>
          <w:rFonts w:hint="default" w:ascii="Times New Roman" w:hAnsi="Times New Roman" w:cs="Times New Roman"/>
          <w:sz w:val="24"/>
        </w:rPr>
        <w:t>The inter-topic similarity heatmap in Fig. 3C indicates low-to-moderate correlations, suggesting that the LDA topics are generally distinguishable while maintaining limited semantic connections.</w:t>
      </w:r>
      <w:r>
        <w:rPr>
          <w:rFonts w:hint="default" w:ascii="Times New Roman" w:hAnsi="Times New Roman" w:cs="Times New Roman"/>
          <w:sz w:val="24"/>
          <w:lang w:val="en-US"/>
        </w:rPr>
        <w:t xml:space="preserve"> </w:t>
      </w:r>
      <w:r>
        <w:rPr>
          <w:rFonts w:hint="default" w:ascii="Times New Roman" w:hAnsi="Times New Roman" w:cs="Times New Roman"/>
          <w:sz w:val="24"/>
        </w:rPr>
        <w:t>Overall, these results show that LDA organizes the filtered corpus into interpretable topic-level knowledge modules while capturing the statistical and temporal dynamics of copper alloy research, thereby linking corpus-level semantic filtering with subsequent document-level CPSP reconstruction.</w:t>
      </w:r>
    </w:p>
    <w:p w14:paraId="437DE11F">
      <w:pPr>
        <w:pStyle w:val="17"/>
        <w:spacing w:before="120" w:beforeLines="50" w:line="360" w:lineRule="auto"/>
        <w:ind w:left="0" w:firstLine="0" w:firstLineChars="0"/>
        <w:rPr>
          <w:rFonts w:hint="default" w:ascii="Times New Roman" w:hAnsi="Times New Roman" w:cs="Times New Roman"/>
          <w:sz w:val="24"/>
        </w:rPr>
      </w:pPr>
    </w:p>
    <w:p w14:paraId="6FA5C960">
      <w:pPr>
        <w:pStyle w:val="17"/>
        <w:spacing w:before="120" w:beforeLines="50" w:line="360" w:lineRule="auto"/>
        <w:ind w:left="0"/>
        <w:rPr>
          <w:rFonts w:hint="default" w:ascii="Times New Roman" w:hAnsi="Times New Roman" w:cs="Times New Roman"/>
          <w:sz w:val="24"/>
        </w:rPr>
      </w:pPr>
      <w:r>
        <w:rPr>
          <w:rFonts w:ascii="Times New Roman Bold" w:hAnsi="Times New Roman Bold" w:eastAsia="SimSun" w:cs="Times New Roman Bold"/>
          <w:b/>
          <w:bCs/>
          <w:szCs w:val="21"/>
        </w:rPr>
        <w:drawing>
          <wp:anchor distT="0" distB="0" distL="114300" distR="114300" simplePos="0" relativeHeight="251660288" behindDoc="0" locked="0" layoutInCell="1" allowOverlap="1">
            <wp:simplePos x="0" y="0"/>
            <wp:positionH relativeFrom="column">
              <wp:posOffset>-52070</wp:posOffset>
            </wp:positionH>
            <wp:positionV relativeFrom="paragraph">
              <wp:posOffset>1905</wp:posOffset>
            </wp:positionV>
            <wp:extent cx="6743700" cy="4632325"/>
            <wp:effectExtent l="0" t="0" r="12700" b="15875"/>
            <wp:wrapTopAndBottom/>
            <wp:docPr id="1" name="Picture 1" descr="绘图17_backup_0116a5_backup_101431_backup_1112d3_backup_131037_backup_140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绘图17_backup_0116a5_backup_101431_backup_1112d3_backup_131037_backup_14006b"/>
                    <pic:cNvPicPr>
                      <a:picLocks noChangeAspect="1"/>
                    </pic:cNvPicPr>
                  </pic:nvPicPr>
                  <pic:blipFill>
                    <a:blip r:embed="rId8"/>
                    <a:stretch>
                      <a:fillRect/>
                    </a:stretch>
                  </pic:blipFill>
                  <pic:spPr>
                    <a:xfrm>
                      <a:off x="0" y="0"/>
                      <a:ext cx="6743700" cy="4632325"/>
                    </a:xfrm>
                    <a:prstGeom prst="rect">
                      <a:avLst/>
                    </a:prstGeom>
                  </pic:spPr>
                </pic:pic>
              </a:graphicData>
            </a:graphic>
          </wp:anchor>
        </w:drawing>
      </w:r>
      <w:r>
        <w:rPr>
          <w:rFonts w:hint="default" w:ascii="Times New Roman Bold" w:hAnsi="Times New Roman Bold" w:cs="Times New Roman Bold"/>
          <w:b/>
          <w:bCs/>
          <w:sz w:val="24"/>
        </w:rPr>
        <w:t>Fig. 3. Topic-level knowledge organization and statistical characteristics of the copper-alloy-relevant literature corpus</w:t>
      </w:r>
      <w:r>
        <w:rPr>
          <w:rFonts w:hint="eastAsia" w:ascii="Times New Roman" w:hAnsi="Times New Roman" w:cs="Times New Roman"/>
          <w:sz w:val="24"/>
        </w:rPr>
        <w:t>.</w:t>
      </w:r>
      <w:r>
        <w:rPr>
          <w:rFonts w:hint="default" w:ascii="Times New Roman" w:hAnsi="Times New Roman" w:cs="Times New Roman"/>
          <w:sz w:val="24"/>
          <w:lang w:val="en-US"/>
        </w:rPr>
        <w:t xml:space="preserve"> </w:t>
      </w:r>
      <w:r>
        <w:rPr>
          <w:rFonts w:hint="eastAsia" w:ascii="Times New Roman" w:hAnsi="Times New Roman" w:cs="Times New Roman"/>
          <w:sz w:val="24"/>
        </w:rPr>
        <w:t>(A) Variation of coherence score with the number of topics, indicating an optimal topic number of 7.</w:t>
      </w:r>
      <w:r>
        <w:rPr>
          <w:rFonts w:ascii="Times New Roman" w:hAnsi="Times New Roman" w:cs="Times New Roman"/>
          <w:sz w:val="24"/>
        </w:rPr>
        <w:t xml:space="preserve"> </w:t>
      </w:r>
      <w:r>
        <w:rPr>
          <w:rFonts w:hint="default" w:ascii="Times New Roman" w:hAnsi="Times New Roman" w:cs="Times New Roman"/>
          <w:sz w:val="24"/>
          <w:lang w:val="en-US"/>
        </w:rPr>
        <w:t xml:space="preserve">(B) </w:t>
      </w:r>
      <w:r>
        <w:rPr>
          <w:rFonts w:hint="eastAsia" w:ascii="Times New Roman" w:hAnsi="Times New Roman" w:cs="Times New Roman"/>
          <w:sz w:val="24"/>
        </w:rPr>
        <w:t>Topic weight distribution, reflecting the relative contributions of different topics within the corpus.</w:t>
      </w:r>
      <w:r>
        <w:rPr>
          <w:rFonts w:hint="default" w:ascii="Times New Roman" w:hAnsi="Times New Roman" w:cs="Times New Roman"/>
          <w:sz w:val="24"/>
          <w:lang w:val="en-US"/>
        </w:rPr>
        <w:t xml:space="preserve"> </w:t>
      </w:r>
      <w:r>
        <w:rPr>
          <w:rFonts w:hint="eastAsia" w:ascii="Times New Roman" w:hAnsi="Times New Roman" w:cs="Times New Roman"/>
          <w:sz w:val="24"/>
        </w:rPr>
        <w:t xml:space="preserve">(C) Topic correlation matrix, illustrating the semantic relationships among topics. </w:t>
      </w:r>
      <w:r>
        <w:rPr>
          <w:rFonts w:hint="default" w:ascii="Times New Roman" w:hAnsi="Times New Roman" w:cs="Times New Roman"/>
          <w:sz w:val="24"/>
        </w:rPr>
        <w:t>(D) Keyword frequency distribution and two-dimensional projection of topics in the principal component space, where circle size represents the proportion of each topic in the corpus.</w:t>
      </w:r>
    </w:p>
    <w:p w14:paraId="5A555398">
      <w:pPr>
        <w:pStyle w:val="17"/>
        <w:spacing w:before="120" w:beforeLines="50" w:line="360" w:lineRule="auto"/>
        <w:ind w:left="0"/>
        <w:rPr>
          <w:rFonts w:hint="default" w:ascii="Times New Roman" w:hAnsi="Times New Roman" w:cs="Times New Roman"/>
          <w:sz w:val="24"/>
        </w:rPr>
      </w:pPr>
    </w:p>
    <w:p w14:paraId="5D739A82">
      <w:pPr>
        <w:pStyle w:val="17"/>
        <w:spacing w:before="120" w:beforeLines="50" w:line="360" w:lineRule="auto"/>
        <w:ind w:left="0"/>
        <w:rPr>
          <w:rFonts w:hint="default" w:ascii="Times New Roman" w:hAnsi="Times New Roman" w:cs="Times New Roman"/>
          <w:sz w:val="24"/>
        </w:rPr>
      </w:pPr>
    </w:p>
    <w:p w14:paraId="27CC404D">
      <w:pPr>
        <w:pStyle w:val="17"/>
        <w:spacing w:before="120" w:beforeLines="50" w:line="360" w:lineRule="auto"/>
        <w:ind w:left="0"/>
        <w:rPr>
          <w:rFonts w:hint="default" w:ascii="Times New Roman" w:hAnsi="Times New Roman" w:cs="Times New Roman"/>
          <w:sz w:val="24"/>
        </w:rPr>
      </w:pPr>
    </w:p>
    <w:p w14:paraId="3D116A2F">
      <w:pPr>
        <w:pStyle w:val="17"/>
        <w:spacing w:before="120" w:beforeLines="50" w:line="360" w:lineRule="auto"/>
        <w:ind w:left="0"/>
        <w:rPr>
          <w:rFonts w:ascii="Times New Roman" w:hAnsi="Times New Roman" w:cs="Times New Roman"/>
          <w:sz w:val="24"/>
        </w:rPr>
      </w:pPr>
    </w:p>
    <w:p w14:paraId="462B6980">
      <w:pPr>
        <w:pStyle w:val="14"/>
        <w:spacing w:beforeAutospacing="0" w:afterAutospacing="0"/>
        <w:jc w:val="center"/>
      </w:pPr>
      <w:r>
        <w:rPr>
          <w:rFonts w:hint="eastAsia"/>
        </w:rPr>
        <w:t xml:space="preserve"> </w:t>
      </w:r>
      <w:r>
        <w:rPr>
          <w:rFonts w:ascii="Times New Roman Bold" w:hAnsi="Times New Roman Bold" w:cs="Times New Roman Bold"/>
          <w:b/>
          <w:bCs/>
        </w:rPr>
        <w:t>Table 1. LDA topic probability distribution of the copper alloy literature corpus</w:t>
      </w:r>
    </w:p>
    <w:tbl>
      <w:tblPr>
        <w:tblStyle w:val="20"/>
        <w:tblpPr w:leftFromText="180" w:rightFromText="180" w:vertAnchor="text" w:horzAnchor="page" w:tblpX="999" w:tblpY="67"/>
        <w:tblOverlap w:val="never"/>
        <w:tblW w:w="9894" w:type="dxa"/>
        <w:jc w:val="center"/>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97"/>
        <w:gridCol w:w="7393"/>
        <w:gridCol w:w="1304"/>
      </w:tblGrid>
      <w:tr w14:paraId="28669DC8">
        <w:trPr>
          <w:trHeight w:val="413" w:hRule="atLeast"/>
          <w:jc w:val="center"/>
        </w:trPr>
        <w:tc>
          <w:tcPr>
            <w:tcW w:w="1197" w:type="dxa"/>
            <w:tcBorders>
              <w:top w:val="single" w:color="auto" w:sz="8" w:space="0"/>
              <w:left w:val="nil"/>
              <w:bottom w:val="single" w:color="auto" w:sz="4" w:space="0"/>
              <w:right w:val="nil"/>
              <w:insideH w:val="single" w:sz="4" w:space="0"/>
              <w:insideV w:val="nil"/>
              <w:tl2br w:val="nil"/>
              <w:tr2bl w:val="nil"/>
            </w:tcBorders>
            <w:vAlign w:val="center"/>
          </w:tcPr>
          <w:p w14:paraId="6165E657">
            <w:pPr>
              <w:pStyle w:val="19"/>
              <w:wordWrap/>
              <w:spacing w:beforeLines="0" w:beforeAutospacing="0" w:afterLines="0" w:afterAutospacing="0" w:line="240" w:lineRule="auto"/>
              <w:ind w:left="0" w:leftChars="0" w:right="0" w:rightChars="0" w:firstLine="0" w:firstLineChars="0"/>
              <w:contextualSpacing w:val="0"/>
              <w:jc w:val="center"/>
              <w:outlineLvl w:val="9"/>
              <w:rPr>
                <w:rFonts w:ascii="Times New Roman" w:hAnsi="Times New Roman" w:eastAsia="SimSun" w:cs="Times New Roman"/>
                <w:b/>
                <w:i w:val="0"/>
                <w:sz w:val="24"/>
                <w:szCs w:val="24"/>
                <w:lang w:val="de-DE" w:eastAsia="zh-CN"/>
              </w:rPr>
            </w:pPr>
            <w:r>
              <w:rPr>
                <w:rFonts w:ascii="Times New Roman" w:hAnsi="Times New Roman" w:eastAsia="SimSun" w:cs="Times New Roman"/>
                <w:b/>
                <w:i w:val="0"/>
                <w:sz w:val="24"/>
                <w:szCs w:val="24"/>
                <w:lang w:val="de-DE" w:eastAsia="zh-CN"/>
              </w:rPr>
              <w:t>Topic</w:t>
            </w:r>
          </w:p>
        </w:tc>
        <w:tc>
          <w:tcPr>
            <w:tcW w:w="7393" w:type="dxa"/>
            <w:tcBorders>
              <w:top w:val="single" w:color="auto" w:sz="8" w:space="0"/>
              <w:bottom w:val="single" w:color="auto" w:sz="4" w:space="0"/>
              <w:right w:val="nil"/>
              <w:insideH w:val="single" w:sz="4" w:space="0"/>
              <w:insideV w:val="nil"/>
              <w:tl2br w:val="nil"/>
              <w:tr2bl w:val="nil"/>
            </w:tcBorders>
            <w:vAlign w:val="center"/>
          </w:tcPr>
          <w:p w14:paraId="6AEE5504">
            <w:pPr>
              <w:pStyle w:val="19"/>
              <w:wordWrap/>
              <w:spacing w:beforeLines="0" w:beforeAutospacing="0" w:afterLines="0" w:afterAutospacing="0" w:line="240" w:lineRule="auto"/>
              <w:ind w:left="0" w:leftChars="0" w:right="0" w:rightChars="0" w:firstLine="0" w:firstLineChars="0"/>
              <w:contextualSpacing w:val="0"/>
              <w:jc w:val="center"/>
              <w:outlineLvl w:val="9"/>
              <w:rPr>
                <w:rFonts w:ascii="Times New Roman" w:hAnsi="Times New Roman" w:cs="Times New Roman" w:eastAsiaTheme="minorEastAsia"/>
                <w:b/>
                <w:i w:val="0"/>
                <w:sz w:val="24"/>
                <w:szCs w:val="24"/>
                <w:lang w:val="de-DE" w:eastAsia="zh-CN"/>
              </w:rPr>
            </w:pPr>
            <w:r>
              <w:rPr>
                <w:rFonts w:ascii="Times New Roman" w:hAnsi="Times New Roman" w:cs="Times New Roman" w:eastAsiaTheme="minorEastAsia"/>
                <w:b/>
                <w:i w:val="0"/>
                <w:sz w:val="24"/>
                <w:szCs w:val="24"/>
                <w:lang w:val="de-DE" w:eastAsia="zh-CN"/>
              </w:rPr>
              <w:t>Topic Contents</w:t>
            </w:r>
          </w:p>
        </w:tc>
        <w:tc>
          <w:tcPr>
            <w:tcW w:w="1304" w:type="dxa"/>
            <w:tcBorders>
              <w:top w:val="single" w:color="auto" w:sz="8" w:space="0"/>
              <w:bottom w:val="single" w:color="auto" w:sz="4" w:space="0"/>
              <w:right w:val="nil"/>
              <w:insideH w:val="single" w:sz="4" w:space="0"/>
              <w:insideV w:val="nil"/>
              <w:tl2br w:val="nil"/>
              <w:tr2bl w:val="nil"/>
            </w:tcBorders>
            <w:vAlign w:val="center"/>
          </w:tcPr>
          <w:p w14:paraId="7F470336">
            <w:pPr>
              <w:pStyle w:val="19"/>
              <w:wordWrap/>
              <w:spacing w:beforeLines="0" w:beforeAutospacing="0" w:afterLines="0" w:afterAutospacing="0" w:line="240" w:lineRule="auto"/>
              <w:ind w:left="0" w:leftChars="0" w:right="0" w:rightChars="0" w:firstLine="0" w:firstLineChars="0"/>
              <w:contextualSpacing w:val="0"/>
              <w:jc w:val="center"/>
              <w:outlineLvl w:val="9"/>
              <w:rPr>
                <w:rFonts w:ascii="Times New Roman" w:hAnsi="Times New Roman" w:cs="Times New Roman" w:eastAsiaTheme="minorEastAsia"/>
                <w:b w:val="0"/>
                <w:i w:val="0"/>
                <w:sz w:val="24"/>
                <w:szCs w:val="24"/>
                <w:lang w:val="de-DE" w:eastAsia="zh-CN"/>
              </w:rPr>
            </w:pPr>
            <w:r>
              <w:rPr>
                <w:rFonts w:hint="eastAsia" w:ascii="Times New Roman" w:hAnsi="Times New Roman" w:cs="Times New Roman" w:eastAsiaTheme="minorEastAsia"/>
                <w:b w:val="0"/>
                <w:i w:val="0"/>
                <w:snapToGrid w:val="0"/>
                <w:sz w:val="24"/>
                <w:szCs w:val="24"/>
                <w:lang w:val="de-DE" w:eastAsia="zh-CN"/>
              </w:rPr>
              <w:t>Probability</w:t>
            </w:r>
          </w:p>
        </w:tc>
      </w:tr>
      <w:tr w14:paraId="51223B74">
        <w:trPr>
          <w:trHeight w:val="403" w:hRule="atLeast"/>
          <w:jc w:val="center"/>
        </w:trPr>
        <w:tc>
          <w:tcPr>
            <w:tcW w:w="1197" w:type="dxa"/>
            <w:tcBorders>
              <w:bottom w:val="single" w:color="auto" w:sz="4" w:space="0"/>
            </w:tcBorders>
            <w:vAlign w:val="center"/>
          </w:tcPr>
          <w:p w14:paraId="635D745C">
            <w:pPr>
              <w:pStyle w:val="19"/>
              <w:spacing w:line="240" w:lineRule="auto"/>
              <w:jc w:val="center"/>
              <w:rPr>
                <w:rFonts w:ascii="Times New Roman" w:hAnsi="Times New Roman" w:eastAsia="SimSun" w:cs="Times New Roman"/>
                <w:sz w:val="24"/>
                <w:szCs w:val="24"/>
                <w:lang w:val="de-DE" w:eastAsia="zh-CN"/>
              </w:rPr>
            </w:pPr>
            <w:r>
              <w:rPr>
                <w:rFonts w:hint="eastAsia" w:ascii="Times New Roman" w:hAnsi="Times New Roman" w:eastAsia="SimSun" w:cs="Times New Roman"/>
                <w:sz w:val="24"/>
                <w:szCs w:val="24"/>
                <w:lang w:val="de-DE" w:eastAsia="zh-CN"/>
              </w:rPr>
              <w:t>Topic 1</w:t>
            </w:r>
          </w:p>
        </w:tc>
        <w:tc>
          <w:tcPr>
            <w:tcW w:w="7393" w:type="dxa"/>
            <w:tcBorders>
              <w:bottom w:val="single" w:color="auto" w:sz="4" w:space="0"/>
            </w:tcBorders>
            <w:vAlign w:val="center"/>
          </w:tcPr>
          <w:p w14:paraId="7DCBF7F3">
            <w:pPr>
              <w:pStyle w:val="19"/>
              <w:spacing w:line="240" w:lineRule="auto"/>
              <w:jc w:val="center"/>
              <w:rPr>
                <w:rFonts w:ascii="Times New Roman" w:hAnsi="Times New Roman" w:cs="Times New Roman" w:eastAsiaTheme="minorEastAsia"/>
                <w:sz w:val="24"/>
                <w:szCs w:val="24"/>
                <w:lang w:val="de-DE" w:eastAsia="zh-CN"/>
              </w:rPr>
            </w:pPr>
            <w:r>
              <w:rPr>
                <w:rFonts w:ascii="Times New Roman" w:hAnsi="Times New Roman" w:cs="Times New Roman" w:eastAsiaTheme="minorEastAsia"/>
                <w:sz w:val="24"/>
                <w:szCs w:val="24"/>
                <w:lang w:val="de-DE" w:eastAsia="zh-CN"/>
              </w:rPr>
              <w:t>0.041*"</w:t>
            </w:r>
            <w:r>
              <w:rPr>
                <w:rFonts w:hint="eastAsia" w:ascii="Times New Roman" w:hAnsi="Times New Roman" w:cs="Times New Roman" w:eastAsiaTheme="minorEastAsia"/>
                <w:sz w:val="24"/>
                <w:szCs w:val="24"/>
                <w:lang w:val="de-DE" w:eastAsia="zh-CN"/>
              </w:rPr>
              <w:t>T</w:t>
            </w:r>
            <w:r>
              <w:rPr>
                <w:rFonts w:ascii="Times New Roman" w:hAnsi="Times New Roman" w:cs="Times New Roman" w:eastAsiaTheme="minorEastAsia"/>
                <w:sz w:val="24"/>
                <w:szCs w:val="24"/>
                <w:lang w:val="de-DE" w:eastAsia="zh-CN"/>
              </w:rPr>
              <w:t>hermal_stability" + 0.030*"</w:t>
            </w:r>
            <w:r>
              <w:rPr>
                <w:rFonts w:hint="eastAsia" w:ascii="Times New Roman" w:hAnsi="Times New Roman" w:cs="Times New Roman" w:eastAsiaTheme="minorEastAsia"/>
                <w:sz w:val="24"/>
                <w:szCs w:val="24"/>
                <w:lang w:val="de-DE" w:eastAsia="zh-CN"/>
              </w:rPr>
              <w:t>M</w:t>
            </w:r>
            <w:r>
              <w:rPr>
                <w:rFonts w:ascii="Times New Roman" w:hAnsi="Times New Roman" w:cs="Times New Roman" w:eastAsiaTheme="minorEastAsia"/>
                <w:sz w:val="24"/>
                <w:szCs w:val="24"/>
                <w:lang w:val="de-DE" w:eastAsia="zh-CN"/>
              </w:rPr>
              <w:t>etallic_glass" + 0.025*</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M</w:t>
            </w:r>
            <w:r>
              <w:rPr>
                <w:rFonts w:ascii="Times New Roman" w:hAnsi="Times New Roman" w:cs="Times New Roman" w:eastAsiaTheme="minorEastAsia"/>
                <w:sz w:val="24"/>
                <w:szCs w:val="24"/>
                <w:lang w:val="de-DE" w:eastAsia="zh-CN"/>
              </w:rPr>
              <w:t>agnetic_property" + 0.023*"</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 xml:space="preserve">rystallization" + 0.023*" </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morphous_ alloy" + 0.022*"</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u" +</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0.022*"</w:t>
            </w:r>
            <w:r>
              <w:rPr>
                <w:rFonts w:hint="eastAsia" w:ascii="Times New Roman" w:hAnsi="Times New Roman" w:cs="Times New Roman" w:eastAsiaTheme="minorEastAsia"/>
                <w:sz w:val="24"/>
                <w:szCs w:val="24"/>
                <w:lang w:val="de-DE" w:eastAsia="zh-CN"/>
              </w:rPr>
              <w:t>B</w:t>
            </w:r>
            <w:r>
              <w:rPr>
                <w:rFonts w:ascii="Times New Roman" w:hAnsi="Times New Roman" w:cs="Times New Roman" w:eastAsiaTheme="minorEastAsia"/>
                <w:sz w:val="24"/>
                <w:szCs w:val="24"/>
                <w:lang w:val="de-DE" w:eastAsia="zh-CN"/>
              </w:rPr>
              <w:t>ulk_metallic_</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glass" + 0.020*</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H</w:t>
            </w:r>
            <w:r>
              <w:rPr>
                <w:rFonts w:ascii="Times New Roman" w:hAnsi="Times New Roman" w:cs="Times New Roman" w:eastAsiaTheme="minorEastAsia"/>
                <w:sz w:val="24"/>
                <w:szCs w:val="24"/>
                <w:lang w:val="de-DE" w:eastAsia="zh-CN"/>
              </w:rPr>
              <w:t>igh_ entropy_alloy" + 0.019*"</w:t>
            </w:r>
            <w:r>
              <w:rPr>
                <w:rFonts w:hint="eastAsia" w:ascii="Times New Roman" w:hAnsi="Times New Roman" w:cs="Times New Roman" w:eastAsiaTheme="minorEastAsia"/>
                <w:sz w:val="24"/>
                <w:szCs w:val="24"/>
                <w:lang w:val="de-DE" w:eastAsia="zh-CN"/>
              </w:rPr>
              <w:t>G</w:t>
            </w:r>
            <w:r>
              <w:rPr>
                <w:rFonts w:ascii="Times New Roman" w:hAnsi="Times New Roman" w:cs="Times New Roman" w:eastAsiaTheme="minorEastAsia"/>
                <w:sz w:val="24"/>
                <w:szCs w:val="24"/>
                <w:lang w:val="de-DE" w:eastAsia="zh-CN"/>
              </w:rPr>
              <w:t>lass_ forming_</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ability" + 0.012*</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P</w:t>
            </w:r>
            <w:r>
              <w:rPr>
                <w:rFonts w:ascii="Times New Roman" w:hAnsi="Times New Roman" w:cs="Times New Roman" w:eastAsiaTheme="minorEastAsia"/>
                <w:sz w:val="24"/>
                <w:szCs w:val="24"/>
                <w:lang w:val="de-DE" w:eastAsia="zh-CN"/>
              </w:rPr>
              <w:t>lasticity"</w:t>
            </w:r>
          </w:p>
        </w:tc>
        <w:tc>
          <w:tcPr>
            <w:tcW w:w="1304" w:type="dxa"/>
            <w:tcBorders>
              <w:bottom w:val="single" w:color="auto" w:sz="4" w:space="0"/>
            </w:tcBorders>
            <w:vAlign w:val="center"/>
          </w:tcPr>
          <w:p w14:paraId="3E6D40A5">
            <w:pPr>
              <w:adjustRightInd w:val="0"/>
              <w:snapToGrid w:val="0"/>
              <w:spacing w:line="240" w:lineRule="auto"/>
              <w:jc w:val="center"/>
              <w:rPr>
                <w:rFonts w:ascii="Times New Roman" w:hAnsi="Times New Roman" w:cs="Times New Roman"/>
                <w:snapToGrid w:val="0"/>
                <w:color w:val="000000"/>
                <w:sz w:val="24"/>
                <w:lang w:val="de-DE" w:bidi="en-US"/>
              </w:rPr>
            </w:pPr>
            <w:r>
              <w:rPr>
                <w:rFonts w:ascii="Times New Roman" w:hAnsi="Times New Roman" w:cs="Times New Roman"/>
                <w:snapToGrid w:val="0"/>
                <w:color w:val="000000"/>
                <w:sz w:val="24"/>
                <w:lang w:val="de-DE" w:bidi="en-US"/>
              </w:rPr>
              <w:t>6.67%</w:t>
            </w:r>
          </w:p>
        </w:tc>
      </w:tr>
      <w:tr w14:paraId="778CD160">
        <w:trPr>
          <w:trHeight w:val="403" w:hRule="atLeast"/>
          <w:jc w:val="center"/>
        </w:trPr>
        <w:tc>
          <w:tcPr>
            <w:tcW w:w="1197" w:type="dxa"/>
            <w:tcBorders>
              <w:top w:val="single" w:color="auto" w:sz="4" w:space="0"/>
              <w:bottom w:val="single" w:color="auto" w:sz="4" w:space="0"/>
            </w:tcBorders>
            <w:vAlign w:val="center"/>
          </w:tcPr>
          <w:p w14:paraId="00FC33F9">
            <w:pPr>
              <w:pStyle w:val="19"/>
              <w:spacing w:line="240" w:lineRule="auto"/>
              <w:jc w:val="center"/>
              <w:rPr>
                <w:rFonts w:ascii="Times New Roman" w:hAnsi="Times New Roman" w:eastAsia="SimSun" w:cs="Times New Roman"/>
                <w:sz w:val="24"/>
                <w:lang w:val="de-DE"/>
              </w:rPr>
            </w:pPr>
            <w:r>
              <w:rPr>
                <w:rFonts w:hint="eastAsia" w:ascii="Times New Roman" w:hAnsi="Times New Roman" w:eastAsia="SimSun" w:cs="Times New Roman"/>
                <w:sz w:val="24"/>
                <w:szCs w:val="24"/>
                <w:lang w:val="de-DE" w:eastAsia="zh-CN"/>
              </w:rPr>
              <w:t>Topic 2</w:t>
            </w:r>
          </w:p>
        </w:tc>
        <w:tc>
          <w:tcPr>
            <w:tcW w:w="7393" w:type="dxa"/>
            <w:tcBorders>
              <w:top w:val="single" w:color="auto" w:sz="4" w:space="0"/>
              <w:bottom w:val="single" w:color="auto" w:sz="4" w:space="0"/>
            </w:tcBorders>
            <w:vAlign w:val="center"/>
          </w:tcPr>
          <w:p w14:paraId="08F737CF">
            <w:pPr>
              <w:pStyle w:val="19"/>
              <w:spacing w:line="240" w:lineRule="auto"/>
              <w:jc w:val="center"/>
              <w:rPr>
                <w:rFonts w:ascii="Times New Roman" w:hAnsi="Times New Roman" w:eastAsia="SimSun" w:cs="Times New Roman"/>
                <w:sz w:val="24"/>
                <w:szCs w:val="24"/>
                <w:lang w:val="de-DE" w:eastAsia="zh-CN"/>
              </w:rPr>
            </w:pPr>
            <w:r>
              <w:rPr>
                <w:rFonts w:ascii="Times New Roman" w:hAnsi="Times New Roman" w:cs="Times New Roman" w:eastAsiaTheme="minorEastAsia"/>
                <w:sz w:val="24"/>
                <w:szCs w:val="24"/>
                <w:lang w:val="de-DE" w:eastAsia="zh-CN"/>
              </w:rPr>
              <w:t>0.074*"</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orrosion" + 0.054*"</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opper" + 0.026*"</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lloy" + 0.025*</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orrosion_resistance" + 0.019*"</w:t>
            </w:r>
            <w:r>
              <w:rPr>
                <w:rFonts w:hint="eastAsia" w:ascii="Times New Roman" w:hAnsi="Times New Roman" w:cs="Times New Roman" w:eastAsiaTheme="minorEastAsia"/>
                <w:sz w:val="24"/>
                <w:szCs w:val="24"/>
                <w:lang w:val="de-DE" w:eastAsia="zh-CN"/>
              </w:rPr>
              <w:t>R</w:t>
            </w:r>
            <w:r>
              <w:rPr>
                <w:rFonts w:ascii="Times New Roman" w:hAnsi="Times New Roman" w:cs="Times New Roman" w:eastAsiaTheme="minorEastAsia"/>
                <w:sz w:val="24"/>
                <w:szCs w:val="24"/>
                <w:lang w:val="de-DE" w:eastAsia="zh-CN"/>
              </w:rPr>
              <w:t>esistance" + 0.018*"</w:t>
            </w:r>
            <w:r>
              <w:rPr>
                <w:rFonts w:hint="eastAsia" w:ascii="Times New Roman" w:hAnsi="Times New Roman" w:cs="Times New Roman" w:eastAsiaTheme="minorEastAsia"/>
                <w:sz w:val="24"/>
                <w:szCs w:val="24"/>
                <w:lang w:val="de-DE" w:eastAsia="zh-CN"/>
              </w:rPr>
              <w:t>W</w:t>
            </w:r>
            <w:r>
              <w:rPr>
                <w:rFonts w:ascii="Times New Roman" w:hAnsi="Times New Roman" w:cs="Times New Roman" w:eastAsiaTheme="minorEastAsia"/>
                <w:sz w:val="24"/>
                <w:szCs w:val="24"/>
                <w:lang w:val="de-DE" w:eastAsia="zh-CN"/>
              </w:rPr>
              <w:t>ear" + 0.016*"</w:t>
            </w:r>
            <w:r>
              <w:rPr>
                <w:rFonts w:hint="eastAsia" w:ascii="Times New Roman" w:hAnsi="Times New Roman" w:cs="Times New Roman" w:eastAsiaTheme="minorEastAsia"/>
                <w:sz w:val="24"/>
                <w:szCs w:val="24"/>
                <w:lang w:val="de-DE" w:eastAsia="zh-CN"/>
              </w:rPr>
              <w:t xml:space="preserve"> C</w:t>
            </w:r>
            <w:r>
              <w:rPr>
                <w:rFonts w:ascii="Times New Roman" w:hAnsi="Times New Roman" w:cs="Times New Roman" w:eastAsiaTheme="minorEastAsia"/>
                <w:sz w:val="24"/>
                <w:szCs w:val="24"/>
                <w:lang w:val="de-DE" w:eastAsia="zh-CN"/>
              </w:rPr>
              <w:t>oating" + 0.015*"</w:t>
            </w:r>
            <w:r>
              <w:rPr>
                <w:rFonts w:hint="eastAsia" w:ascii="Times New Roman" w:hAnsi="Times New Roman" w:cs="Times New Roman" w:eastAsiaTheme="minorEastAsia"/>
                <w:sz w:val="24"/>
                <w:szCs w:val="24"/>
                <w:lang w:val="de-DE" w:eastAsia="zh-CN"/>
              </w:rPr>
              <w:t>B</w:t>
            </w:r>
            <w:r>
              <w:rPr>
                <w:rFonts w:ascii="Times New Roman" w:hAnsi="Times New Roman" w:cs="Times New Roman" w:eastAsiaTheme="minorEastAsia"/>
                <w:sz w:val="24"/>
                <w:szCs w:val="24"/>
                <w:lang w:val="de-DE" w:eastAsia="zh-CN"/>
              </w:rPr>
              <w:t>ehavior" + 0.012*"</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opper_alloy" + 0.012*"</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teel"</w:t>
            </w:r>
          </w:p>
        </w:tc>
        <w:tc>
          <w:tcPr>
            <w:tcW w:w="1304" w:type="dxa"/>
            <w:tcBorders>
              <w:top w:val="single" w:color="auto" w:sz="4" w:space="0"/>
              <w:bottom w:val="single" w:color="auto" w:sz="4" w:space="0"/>
            </w:tcBorders>
            <w:vAlign w:val="center"/>
          </w:tcPr>
          <w:p w14:paraId="0EC83A32">
            <w:pPr>
              <w:adjustRightInd w:val="0"/>
              <w:snapToGrid w:val="0"/>
              <w:spacing w:line="240" w:lineRule="auto"/>
              <w:jc w:val="center"/>
              <w:rPr>
                <w:rFonts w:ascii="Times New Roman" w:hAnsi="Times New Roman" w:cs="Times New Roman"/>
                <w:snapToGrid w:val="0"/>
                <w:color w:val="000000"/>
                <w:sz w:val="24"/>
                <w:lang w:val="de-DE" w:bidi="en-US"/>
              </w:rPr>
            </w:pPr>
            <w:r>
              <w:rPr>
                <w:rFonts w:ascii="Times New Roman" w:hAnsi="Times New Roman" w:cs="Times New Roman"/>
                <w:snapToGrid w:val="0"/>
                <w:color w:val="000000"/>
                <w:sz w:val="24"/>
                <w:lang w:val="de-DE" w:bidi="en-US"/>
              </w:rPr>
              <w:t>13.35%</w:t>
            </w:r>
          </w:p>
        </w:tc>
      </w:tr>
      <w:tr w14:paraId="2C319AFE">
        <w:trPr>
          <w:trHeight w:val="403" w:hRule="atLeast"/>
          <w:jc w:val="center"/>
        </w:trPr>
        <w:tc>
          <w:tcPr>
            <w:tcW w:w="1197" w:type="dxa"/>
            <w:tcBorders>
              <w:top w:val="single" w:color="auto" w:sz="4" w:space="0"/>
              <w:bottom w:val="single" w:color="auto" w:sz="4" w:space="0"/>
            </w:tcBorders>
            <w:vAlign w:val="center"/>
          </w:tcPr>
          <w:p w14:paraId="62F918BE">
            <w:pPr>
              <w:pStyle w:val="19"/>
              <w:spacing w:line="240" w:lineRule="auto"/>
              <w:jc w:val="center"/>
              <w:rPr>
                <w:rFonts w:ascii="Times New Roman" w:hAnsi="Times New Roman" w:eastAsia="SimSun" w:cs="Times New Roman"/>
                <w:sz w:val="24"/>
                <w:lang w:val="de-DE" w:eastAsia="zh-CN"/>
              </w:rPr>
            </w:pPr>
            <w:r>
              <w:rPr>
                <w:rFonts w:hint="eastAsia" w:ascii="Times New Roman" w:hAnsi="Times New Roman" w:eastAsia="SimSun" w:cs="Times New Roman"/>
                <w:sz w:val="24"/>
                <w:szCs w:val="24"/>
                <w:lang w:val="de-DE" w:eastAsia="zh-CN"/>
              </w:rPr>
              <w:t>Topic 3</w:t>
            </w:r>
          </w:p>
        </w:tc>
        <w:tc>
          <w:tcPr>
            <w:tcW w:w="7393" w:type="dxa"/>
            <w:tcBorders>
              <w:top w:val="single" w:color="auto" w:sz="4" w:space="0"/>
              <w:bottom w:val="single" w:color="auto" w:sz="4" w:space="0"/>
            </w:tcBorders>
            <w:vAlign w:val="center"/>
          </w:tcPr>
          <w:p w14:paraId="0F9FF260">
            <w:pPr>
              <w:pStyle w:val="19"/>
              <w:spacing w:line="240" w:lineRule="auto"/>
              <w:jc w:val="center"/>
              <w:rPr>
                <w:rFonts w:ascii="Times New Roman" w:hAnsi="Times New Roman" w:cs="Times New Roman" w:eastAsiaTheme="minorEastAsia"/>
                <w:sz w:val="24"/>
                <w:szCs w:val="24"/>
                <w:lang w:val="de-DE" w:eastAsia="zh-CN"/>
              </w:rPr>
            </w:pPr>
            <w:r>
              <w:rPr>
                <w:rFonts w:ascii="Times New Roman" w:hAnsi="Times New Roman" w:cs="Times New Roman" w:eastAsiaTheme="minorEastAsia"/>
                <w:sz w:val="24"/>
                <w:szCs w:val="24"/>
                <w:lang w:val="de-DE" w:eastAsia="zh-CN"/>
              </w:rPr>
              <w:t>0.095*"</w:t>
            </w:r>
            <w:r>
              <w:rPr>
                <w:rFonts w:hint="eastAsia" w:ascii="Times New Roman" w:hAnsi="Times New Roman" w:cs="Times New Roman" w:eastAsiaTheme="minorEastAsia"/>
                <w:sz w:val="24"/>
                <w:szCs w:val="24"/>
                <w:lang w:val="de-DE" w:eastAsia="zh-CN"/>
              </w:rPr>
              <w:t>M</w:t>
            </w:r>
            <w:r>
              <w:rPr>
                <w:rFonts w:ascii="Times New Roman" w:hAnsi="Times New Roman" w:cs="Times New Roman" w:eastAsiaTheme="minorEastAsia"/>
                <w:sz w:val="24"/>
                <w:szCs w:val="24"/>
                <w:lang w:val="de-DE" w:eastAsia="zh-CN"/>
              </w:rPr>
              <w:t>icrostructure" + 0.071*"</w:t>
            </w:r>
            <w:r>
              <w:rPr>
                <w:rFonts w:hint="eastAsia" w:ascii="Times New Roman" w:hAnsi="Times New Roman" w:cs="Times New Roman" w:eastAsiaTheme="minorEastAsia"/>
                <w:sz w:val="24"/>
                <w:szCs w:val="24"/>
                <w:lang w:val="de-DE" w:eastAsia="zh-CN"/>
              </w:rPr>
              <w:t>M</w:t>
            </w:r>
            <w:r>
              <w:rPr>
                <w:rFonts w:ascii="Times New Roman" w:hAnsi="Times New Roman" w:cs="Times New Roman" w:eastAsiaTheme="minorEastAsia"/>
                <w:sz w:val="24"/>
                <w:szCs w:val="24"/>
                <w:lang w:val="de-DE" w:eastAsia="zh-CN"/>
              </w:rPr>
              <w:t>echanical_propert</w:t>
            </w:r>
            <w:r>
              <w:rPr>
                <w:rFonts w:hint="eastAsia" w:ascii="Times New Roman" w:hAnsi="Times New Roman" w:cs="Times New Roman" w:eastAsiaTheme="minorEastAsia"/>
                <w:sz w:val="24"/>
                <w:szCs w:val="24"/>
                <w:lang w:val="de-DE" w:eastAsia="zh-CN"/>
              </w:rPr>
              <w:t>ies</w:t>
            </w:r>
            <w:r>
              <w:rPr>
                <w:rFonts w:ascii="Times New Roman" w:hAnsi="Times New Roman" w:cs="Times New Roman" w:eastAsiaTheme="minorEastAsia"/>
                <w:sz w:val="24"/>
                <w:szCs w:val="24"/>
                <w:lang w:val="de-DE" w:eastAsia="zh-CN"/>
              </w:rPr>
              <w:t>" + 0.039*</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lloy" + 0.030*"</w:t>
            </w:r>
            <w:r>
              <w:rPr>
                <w:rFonts w:hint="eastAsia" w:ascii="Times New Roman" w:hAnsi="Times New Roman" w:cs="Times New Roman" w:eastAsiaTheme="minorEastAsia"/>
                <w:sz w:val="24"/>
                <w:szCs w:val="24"/>
                <w:lang w:val="de-DE" w:eastAsia="zh-CN"/>
              </w:rPr>
              <w:t>B</w:t>
            </w:r>
            <w:r>
              <w:rPr>
                <w:rFonts w:ascii="Times New Roman" w:hAnsi="Times New Roman" w:cs="Times New Roman" w:eastAsiaTheme="minorEastAsia"/>
                <w:sz w:val="24"/>
                <w:szCs w:val="24"/>
                <w:lang w:val="de-DE" w:eastAsia="zh-CN"/>
              </w:rPr>
              <w:t>ehavior" + 0.020*"</w:t>
            </w:r>
            <w:r>
              <w:rPr>
                <w:rFonts w:hint="eastAsia" w:ascii="Times New Roman" w:hAnsi="Times New Roman" w:cs="Times New Roman" w:eastAsiaTheme="minorEastAsia"/>
                <w:sz w:val="24"/>
                <w:szCs w:val="24"/>
                <w:lang w:val="de-DE" w:eastAsia="zh-CN"/>
              </w:rPr>
              <w:t>P</w:t>
            </w:r>
            <w:r>
              <w:rPr>
                <w:rFonts w:ascii="Times New Roman" w:hAnsi="Times New Roman" w:cs="Times New Roman" w:eastAsiaTheme="minorEastAsia"/>
                <w:sz w:val="24"/>
                <w:szCs w:val="24"/>
                <w:lang w:val="de-DE" w:eastAsia="zh-CN"/>
              </w:rPr>
              <w:t>recipitation" + 0.019*"</w:t>
            </w:r>
            <w:r>
              <w:rPr>
                <w:rFonts w:hint="eastAsia" w:ascii="Times New Roman" w:hAnsi="Times New Roman" w:cs="Times New Roman" w:eastAsiaTheme="minorEastAsia"/>
                <w:sz w:val="24"/>
                <w:szCs w:val="24"/>
                <w:lang w:val="de-DE" w:eastAsia="zh-CN"/>
              </w:rPr>
              <w:t xml:space="preserve"> S</w:t>
            </w:r>
            <w:r>
              <w:rPr>
                <w:rFonts w:ascii="Times New Roman" w:hAnsi="Times New Roman" w:cs="Times New Roman" w:eastAsiaTheme="minorEastAsia"/>
                <w:sz w:val="24"/>
                <w:szCs w:val="24"/>
                <w:lang w:val="de-DE" w:eastAsia="zh-CN"/>
              </w:rPr>
              <w:t>trength" + 0.016*"</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opper" + 0.015*"</w:t>
            </w:r>
            <w:r>
              <w:rPr>
                <w:rFonts w:hint="eastAsia" w:ascii="Times New Roman" w:hAnsi="Times New Roman" w:cs="Times New Roman" w:eastAsiaTheme="minorEastAsia"/>
                <w:sz w:val="24"/>
                <w:szCs w:val="24"/>
                <w:lang w:val="de-DE" w:eastAsia="zh-CN"/>
              </w:rPr>
              <w:t>E</w:t>
            </w:r>
            <w:r>
              <w:rPr>
                <w:rFonts w:ascii="Times New Roman" w:hAnsi="Times New Roman" w:cs="Times New Roman" w:eastAsiaTheme="minorEastAsia"/>
                <w:sz w:val="24"/>
                <w:szCs w:val="24"/>
                <w:lang w:val="de-DE" w:eastAsia="zh-CN"/>
              </w:rPr>
              <w:t xml:space="preserve">volution" + 0.013*" </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luminum_alloy" + 0.012*"</w:t>
            </w:r>
            <w:r>
              <w:rPr>
                <w:rFonts w:hint="eastAsia" w:ascii="Times New Roman" w:hAnsi="Times New Roman" w:cs="Times New Roman" w:eastAsiaTheme="minorEastAsia"/>
                <w:sz w:val="24"/>
                <w:szCs w:val="24"/>
                <w:lang w:val="de-DE" w:eastAsia="zh-CN"/>
              </w:rPr>
              <w:t>D</w:t>
            </w:r>
            <w:r>
              <w:rPr>
                <w:rFonts w:ascii="Times New Roman" w:hAnsi="Times New Roman" w:cs="Times New Roman" w:eastAsiaTheme="minorEastAsia"/>
                <w:sz w:val="24"/>
                <w:szCs w:val="24"/>
                <w:lang w:val="de-DE" w:eastAsia="zh-CN"/>
              </w:rPr>
              <w:t>eformation"</w:t>
            </w:r>
          </w:p>
        </w:tc>
        <w:tc>
          <w:tcPr>
            <w:tcW w:w="1304" w:type="dxa"/>
            <w:tcBorders>
              <w:top w:val="single" w:color="auto" w:sz="4" w:space="0"/>
              <w:bottom w:val="single" w:color="auto" w:sz="4" w:space="0"/>
            </w:tcBorders>
            <w:vAlign w:val="center"/>
          </w:tcPr>
          <w:p w14:paraId="78931EBD">
            <w:pPr>
              <w:adjustRightInd w:val="0"/>
              <w:snapToGrid w:val="0"/>
              <w:spacing w:line="240" w:lineRule="auto"/>
              <w:jc w:val="center"/>
              <w:rPr>
                <w:rFonts w:ascii="Times New Roman" w:hAnsi="Times New Roman" w:cs="Times New Roman"/>
                <w:snapToGrid w:val="0"/>
                <w:color w:val="000000"/>
                <w:sz w:val="24"/>
                <w:lang w:val="de-DE" w:bidi="en-US"/>
              </w:rPr>
            </w:pPr>
            <w:r>
              <w:rPr>
                <w:rFonts w:ascii="Times New Roman" w:hAnsi="Times New Roman" w:cs="Times New Roman"/>
                <w:snapToGrid w:val="0"/>
                <w:color w:val="000000"/>
                <w:sz w:val="24"/>
                <w:lang w:val="de-DE" w:bidi="en-US"/>
              </w:rPr>
              <w:t>36.61%</w:t>
            </w:r>
          </w:p>
        </w:tc>
      </w:tr>
      <w:tr w14:paraId="631E6E8E">
        <w:trPr>
          <w:trHeight w:val="403" w:hRule="atLeast"/>
          <w:jc w:val="center"/>
        </w:trPr>
        <w:tc>
          <w:tcPr>
            <w:tcW w:w="1197" w:type="dxa"/>
            <w:tcBorders>
              <w:top w:val="single" w:color="auto" w:sz="4" w:space="0"/>
              <w:bottom w:val="single" w:color="auto" w:sz="4" w:space="0"/>
            </w:tcBorders>
            <w:vAlign w:val="center"/>
          </w:tcPr>
          <w:p w14:paraId="3662D968">
            <w:pPr>
              <w:pStyle w:val="19"/>
              <w:spacing w:line="240" w:lineRule="auto"/>
              <w:jc w:val="center"/>
              <w:rPr>
                <w:rFonts w:ascii="Times New Roman" w:hAnsi="Times New Roman" w:eastAsia="SimSun" w:cs="Times New Roman"/>
                <w:sz w:val="24"/>
                <w:szCs w:val="24"/>
                <w:lang w:val="de-DE" w:eastAsia="zh-CN"/>
              </w:rPr>
            </w:pPr>
            <w:r>
              <w:rPr>
                <w:rFonts w:hint="eastAsia" w:ascii="Times New Roman" w:hAnsi="Times New Roman" w:eastAsia="SimSun" w:cs="Times New Roman"/>
                <w:sz w:val="24"/>
                <w:szCs w:val="24"/>
                <w:lang w:val="de-DE" w:eastAsia="zh-CN"/>
              </w:rPr>
              <w:t>Topic 4</w:t>
            </w:r>
          </w:p>
        </w:tc>
        <w:tc>
          <w:tcPr>
            <w:tcW w:w="7393" w:type="dxa"/>
            <w:tcBorders>
              <w:top w:val="single" w:color="auto" w:sz="4" w:space="0"/>
              <w:bottom w:val="single" w:color="auto" w:sz="4" w:space="0"/>
            </w:tcBorders>
            <w:vAlign w:val="center"/>
          </w:tcPr>
          <w:p w14:paraId="3C230D35">
            <w:pPr>
              <w:pStyle w:val="19"/>
              <w:spacing w:line="240" w:lineRule="auto"/>
              <w:jc w:val="center"/>
              <w:rPr>
                <w:rFonts w:ascii="Times New Roman" w:hAnsi="Times New Roman" w:cs="Times New Roman" w:eastAsiaTheme="minorEastAsia"/>
                <w:sz w:val="24"/>
                <w:szCs w:val="24"/>
                <w:lang w:val="de-DE" w:eastAsia="zh-CN"/>
              </w:rPr>
            </w:pPr>
            <w:r>
              <w:rPr>
                <w:rFonts w:ascii="Times New Roman" w:hAnsi="Times New Roman" w:cs="Times New Roman" w:eastAsiaTheme="minorEastAsia"/>
                <w:sz w:val="24"/>
                <w:szCs w:val="24"/>
                <w:lang w:val="de-DE" w:eastAsia="zh-CN"/>
              </w:rPr>
              <w:t>0.028*"</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u" + 0.026*"</w:t>
            </w:r>
            <w:r>
              <w:rPr>
                <w:rFonts w:hint="eastAsia" w:ascii="Times New Roman" w:hAnsi="Times New Roman" w:cs="Times New Roman" w:eastAsiaTheme="minorEastAsia"/>
                <w:sz w:val="24"/>
                <w:szCs w:val="24"/>
                <w:lang w:val="de-DE" w:eastAsia="zh-CN"/>
              </w:rPr>
              <w:t>I</w:t>
            </w:r>
            <w:r>
              <w:rPr>
                <w:rFonts w:ascii="Times New Roman" w:hAnsi="Times New Roman" w:cs="Times New Roman" w:eastAsiaTheme="minorEastAsia"/>
                <w:sz w:val="24"/>
                <w:szCs w:val="24"/>
                <w:lang w:val="de-DE" w:eastAsia="zh-CN"/>
              </w:rPr>
              <w:t>nterface" + 0.026* "</w:t>
            </w:r>
            <w:r>
              <w:rPr>
                <w:rFonts w:hint="eastAsia" w:ascii="Times New Roman" w:hAnsi="Times New Roman" w:cs="Times New Roman" w:eastAsiaTheme="minorEastAsia"/>
                <w:sz w:val="24"/>
                <w:szCs w:val="24"/>
                <w:lang w:val="de-DE" w:eastAsia="zh-CN"/>
              </w:rPr>
              <w:t>I</w:t>
            </w:r>
            <w:r>
              <w:rPr>
                <w:rFonts w:ascii="Times New Roman" w:hAnsi="Times New Roman" w:cs="Times New Roman" w:eastAsiaTheme="minorEastAsia"/>
                <w:sz w:val="24"/>
                <w:szCs w:val="24"/>
                <w:lang w:val="de-DE" w:eastAsia="zh-CN"/>
              </w:rPr>
              <w:t>ntermetallic_ compound" + 0.025*"</w:t>
            </w:r>
            <w:r>
              <w:rPr>
                <w:rFonts w:hint="eastAsia" w:ascii="Times New Roman" w:hAnsi="Times New Roman" w:cs="Times New Roman" w:eastAsiaTheme="minorEastAsia"/>
                <w:sz w:val="24"/>
                <w:szCs w:val="24"/>
                <w:lang w:val="de-DE" w:eastAsia="zh-CN"/>
              </w:rPr>
              <w:t>J</w:t>
            </w:r>
            <w:r>
              <w:rPr>
                <w:rFonts w:ascii="Times New Roman" w:hAnsi="Times New Roman" w:cs="Times New Roman" w:eastAsiaTheme="minorEastAsia"/>
                <w:sz w:val="24"/>
                <w:szCs w:val="24"/>
                <w:lang w:val="de-DE" w:eastAsia="zh-CN"/>
              </w:rPr>
              <w:t>oint" + 0.022*"</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 xml:space="preserve">lloy" + 0.021*" </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hape_memory_alloy" + 0.019*"</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older" + 0.019*"</w:t>
            </w:r>
            <w:r>
              <w:rPr>
                <w:rFonts w:hint="eastAsia" w:ascii="Times New Roman" w:hAnsi="Times New Roman" w:cs="Times New Roman" w:eastAsiaTheme="minorEastAsia"/>
                <w:sz w:val="24"/>
                <w:szCs w:val="24"/>
                <w:lang w:val="de-DE" w:eastAsia="zh-CN"/>
              </w:rPr>
              <w:t>I</w:t>
            </w:r>
            <w:r>
              <w:rPr>
                <w:rFonts w:ascii="Times New Roman" w:hAnsi="Times New Roman" w:cs="Times New Roman" w:eastAsiaTheme="minorEastAsia"/>
                <w:sz w:val="24"/>
                <w:szCs w:val="24"/>
                <w:lang w:val="de-DE" w:eastAsia="zh-CN"/>
              </w:rPr>
              <w:t>nter-metallic" + 0.019*"</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tainless_steel" + 0.017*"</w:t>
            </w:r>
            <w:r>
              <w:rPr>
                <w:rFonts w:hint="eastAsia" w:ascii="Times New Roman" w:hAnsi="Times New Roman" w:cs="Times New Roman" w:eastAsiaTheme="minorEastAsia"/>
                <w:sz w:val="24"/>
                <w:szCs w:val="24"/>
                <w:lang w:val="de-DE" w:eastAsia="zh-CN"/>
              </w:rPr>
              <w:t>I</w:t>
            </w:r>
            <w:r>
              <w:rPr>
                <w:rFonts w:ascii="Times New Roman" w:hAnsi="Times New Roman" w:cs="Times New Roman" w:eastAsiaTheme="minorEastAsia"/>
                <w:sz w:val="24"/>
                <w:szCs w:val="24"/>
                <w:lang w:val="de-DE" w:eastAsia="zh-CN"/>
              </w:rPr>
              <w:t>nterfacial_ reaction"</w:t>
            </w:r>
          </w:p>
        </w:tc>
        <w:tc>
          <w:tcPr>
            <w:tcW w:w="1304" w:type="dxa"/>
            <w:tcBorders>
              <w:top w:val="single" w:color="auto" w:sz="4" w:space="0"/>
              <w:bottom w:val="single" w:color="auto" w:sz="4" w:space="0"/>
            </w:tcBorders>
            <w:vAlign w:val="center"/>
          </w:tcPr>
          <w:p w14:paraId="6EE653F1">
            <w:pPr>
              <w:adjustRightInd w:val="0"/>
              <w:snapToGrid w:val="0"/>
              <w:spacing w:line="240" w:lineRule="auto"/>
              <w:jc w:val="center"/>
              <w:rPr>
                <w:rFonts w:ascii="Times New Roman" w:hAnsi="Times New Roman" w:cs="Times New Roman"/>
                <w:snapToGrid w:val="0"/>
                <w:color w:val="000000"/>
                <w:sz w:val="24"/>
                <w:lang w:val="de-DE" w:bidi="en-US"/>
              </w:rPr>
            </w:pPr>
            <w:r>
              <w:rPr>
                <w:rFonts w:ascii="Times New Roman" w:hAnsi="Times New Roman" w:cs="Times New Roman"/>
                <w:snapToGrid w:val="0"/>
                <w:color w:val="000000"/>
                <w:sz w:val="24"/>
                <w:lang w:val="de-DE" w:bidi="en-US"/>
              </w:rPr>
              <w:t>10.22%</w:t>
            </w:r>
          </w:p>
        </w:tc>
      </w:tr>
      <w:tr w14:paraId="3E0F72A2">
        <w:trPr>
          <w:trHeight w:val="403" w:hRule="atLeast"/>
          <w:jc w:val="center"/>
        </w:trPr>
        <w:tc>
          <w:tcPr>
            <w:tcW w:w="1197" w:type="dxa"/>
            <w:tcBorders>
              <w:top w:val="single" w:color="auto" w:sz="4" w:space="0"/>
              <w:bottom w:val="single" w:color="auto" w:sz="4" w:space="0"/>
            </w:tcBorders>
            <w:vAlign w:val="center"/>
          </w:tcPr>
          <w:p w14:paraId="02B52A12">
            <w:pPr>
              <w:pStyle w:val="19"/>
              <w:spacing w:line="240" w:lineRule="auto"/>
              <w:jc w:val="center"/>
              <w:rPr>
                <w:rFonts w:ascii="Times New Roman" w:hAnsi="Times New Roman" w:eastAsia="SimSun" w:cs="Times New Roman"/>
                <w:sz w:val="24"/>
                <w:lang w:val="de-DE" w:eastAsia="zh-CN"/>
              </w:rPr>
            </w:pPr>
            <w:r>
              <w:rPr>
                <w:rFonts w:hint="eastAsia" w:ascii="Times New Roman" w:hAnsi="Times New Roman" w:eastAsia="SimSun" w:cs="Times New Roman"/>
                <w:sz w:val="24"/>
                <w:szCs w:val="24"/>
                <w:lang w:val="de-DE" w:eastAsia="zh-CN"/>
              </w:rPr>
              <w:t>Topic 5</w:t>
            </w:r>
          </w:p>
        </w:tc>
        <w:tc>
          <w:tcPr>
            <w:tcW w:w="7393" w:type="dxa"/>
            <w:tcBorders>
              <w:top w:val="single" w:color="auto" w:sz="4" w:space="0"/>
              <w:bottom w:val="single" w:color="auto" w:sz="4" w:space="0"/>
            </w:tcBorders>
            <w:vAlign w:val="center"/>
          </w:tcPr>
          <w:p w14:paraId="63C9F115">
            <w:pPr>
              <w:pStyle w:val="19"/>
              <w:spacing w:line="240" w:lineRule="auto"/>
              <w:jc w:val="center"/>
              <w:rPr>
                <w:rFonts w:ascii="Times New Roman" w:hAnsi="Times New Roman" w:cs="Times New Roman" w:eastAsiaTheme="minorEastAsia"/>
                <w:sz w:val="24"/>
                <w:szCs w:val="24"/>
                <w:lang w:val="de-DE" w:eastAsia="zh-CN"/>
              </w:rPr>
            </w:pPr>
            <w:r>
              <w:rPr>
                <w:rFonts w:ascii="Times New Roman" w:hAnsi="Times New Roman" w:cs="Times New Roman" w:eastAsiaTheme="minorEastAsia"/>
                <w:sz w:val="24"/>
                <w:szCs w:val="24"/>
                <w:lang w:val="de-DE" w:eastAsia="zh-CN"/>
              </w:rPr>
              <w:t>0.040*"</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atalyst" + 0.032*"</w:t>
            </w:r>
            <w:r>
              <w:rPr>
                <w:rFonts w:hint="eastAsia" w:ascii="Times New Roman" w:hAnsi="Times New Roman" w:cs="Times New Roman" w:eastAsiaTheme="minorEastAsia"/>
                <w:sz w:val="24"/>
                <w:szCs w:val="24"/>
                <w:lang w:val="de-DE" w:eastAsia="zh-CN"/>
              </w:rPr>
              <w:t>N</w:t>
            </w:r>
            <w:r>
              <w:rPr>
                <w:rFonts w:ascii="Times New Roman" w:hAnsi="Times New Roman" w:cs="Times New Roman" w:eastAsiaTheme="minorEastAsia"/>
                <w:sz w:val="24"/>
                <w:szCs w:val="24"/>
                <w:lang w:val="de-DE" w:eastAsia="zh-CN"/>
              </w:rPr>
              <w:t>anoparticle" + 0.025* "</w:t>
            </w:r>
            <w:r>
              <w:rPr>
                <w:rFonts w:hint="eastAsia" w:ascii="Times New Roman" w:hAnsi="Times New Roman" w:cs="Times New Roman" w:eastAsiaTheme="minorEastAsia"/>
                <w:sz w:val="24"/>
                <w:szCs w:val="24"/>
                <w:lang w:val="de-DE" w:eastAsia="zh-CN"/>
              </w:rPr>
              <w:t>O</w:t>
            </w:r>
            <w:r>
              <w:rPr>
                <w:rFonts w:ascii="Times New Roman" w:hAnsi="Times New Roman" w:cs="Times New Roman" w:eastAsiaTheme="minorEastAsia"/>
                <w:sz w:val="24"/>
                <w:szCs w:val="24"/>
                <w:lang w:val="de-DE" w:eastAsia="zh-CN"/>
              </w:rPr>
              <w:t>xida- tion" + 0.019*"</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opper" + 0.016* "</w:t>
            </w:r>
            <w:r>
              <w:rPr>
                <w:rFonts w:hint="eastAsia" w:ascii="Times New Roman" w:hAnsi="Times New Roman" w:cs="Times New Roman" w:eastAsiaTheme="minorEastAsia"/>
                <w:sz w:val="24"/>
                <w:szCs w:val="24"/>
                <w:lang w:val="de-DE" w:eastAsia="zh-CN"/>
              </w:rPr>
              <w:t>E</w:t>
            </w:r>
            <w:r>
              <w:rPr>
                <w:rFonts w:ascii="Times New Roman" w:hAnsi="Times New Roman" w:cs="Times New Roman" w:eastAsiaTheme="minorEastAsia"/>
                <w:sz w:val="24"/>
                <w:szCs w:val="24"/>
                <w:lang w:val="de-DE" w:eastAsia="zh-CN"/>
              </w:rPr>
              <w:t>lectrocatalyst" + 0.015* "</w:t>
            </w:r>
            <w:r>
              <w:rPr>
                <w:rFonts w:hint="eastAsia" w:ascii="Times New Roman" w:hAnsi="Times New Roman" w:cs="Times New Roman" w:eastAsiaTheme="minorEastAsia"/>
                <w:sz w:val="24"/>
                <w:szCs w:val="24"/>
                <w:lang w:val="de-DE" w:eastAsia="zh-CN"/>
              </w:rPr>
              <w:t>R</w:t>
            </w:r>
            <w:r>
              <w:rPr>
                <w:rFonts w:ascii="Times New Roman" w:hAnsi="Times New Roman" w:cs="Times New Roman" w:eastAsiaTheme="minorEastAsia"/>
                <w:sz w:val="24"/>
                <w:szCs w:val="24"/>
                <w:lang w:val="de-DE" w:eastAsia="zh-CN"/>
              </w:rPr>
              <w:t>eduction" + 0.012*"</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lloy" + 0.012*"</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u" + 0.011* "</w:t>
            </w:r>
            <w:r>
              <w:rPr>
                <w:rFonts w:hint="eastAsia" w:ascii="Times New Roman" w:hAnsi="Times New Roman" w:cs="Times New Roman" w:eastAsiaTheme="minorEastAsia"/>
                <w:sz w:val="24"/>
                <w:szCs w:val="24"/>
                <w:lang w:val="de-DE" w:eastAsia="zh-CN"/>
              </w:rPr>
              <w:t>P</w:t>
            </w:r>
            <w:r>
              <w:rPr>
                <w:rFonts w:ascii="Times New Roman" w:hAnsi="Times New Roman" w:cs="Times New Roman" w:eastAsiaTheme="minorEastAsia"/>
                <w:sz w:val="24"/>
                <w:szCs w:val="24"/>
                <w:lang w:val="de-DE" w:eastAsia="zh-CN"/>
              </w:rPr>
              <w:t xml:space="preserve">erfor-mance" + 0.011*" </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urface"</w:t>
            </w:r>
          </w:p>
        </w:tc>
        <w:tc>
          <w:tcPr>
            <w:tcW w:w="1304" w:type="dxa"/>
            <w:tcBorders>
              <w:top w:val="single" w:color="auto" w:sz="4" w:space="0"/>
              <w:bottom w:val="single" w:color="auto" w:sz="4" w:space="0"/>
            </w:tcBorders>
            <w:vAlign w:val="center"/>
          </w:tcPr>
          <w:p w14:paraId="5229E57D">
            <w:pPr>
              <w:adjustRightInd w:val="0"/>
              <w:snapToGrid w:val="0"/>
              <w:spacing w:line="240" w:lineRule="auto"/>
              <w:jc w:val="center"/>
              <w:rPr>
                <w:rFonts w:ascii="Times New Roman" w:hAnsi="Times New Roman" w:cs="Times New Roman"/>
                <w:snapToGrid w:val="0"/>
                <w:color w:val="000000"/>
                <w:sz w:val="24"/>
                <w:lang w:val="de-DE" w:bidi="en-US"/>
              </w:rPr>
            </w:pPr>
            <w:r>
              <w:rPr>
                <w:rFonts w:ascii="Times New Roman" w:hAnsi="Times New Roman" w:cs="Times New Roman"/>
                <w:snapToGrid w:val="0"/>
                <w:color w:val="000000"/>
                <w:sz w:val="24"/>
                <w:lang w:val="de-DE" w:bidi="en-US"/>
              </w:rPr>
              <w:t>8.9%</w:t>
            </w:r>
          </w:p>
        </w:tc>
      </w:tr>
      <w:tr w14:paraId="0D079E9C">
        <w:trPr>
          <w:trHeight w:val="422" w:hRule="atLeast"/>
          <w:jc w:val="center"/>
        </w:trPr>
        <w:tc>
          <w:tcPr>
            <w:tcW w:w="1197" w:type="dxa"/>
            <w:tcBorders>
              <w:top w:val="single" w:color="auto" w:sz="4" w:space="0"/>
              <w:bottom w:val="single" w:color="auto" w:sz="4" w:space="0"/>
            </w:tcBorders>
            <w:vAlign w:val="center"/>
          </w:tcPr>
          <w:p w14:paraId="1D2A8211">
            <w:pPr>
              <w:pStyle w:val="19"/>
              <w:spacing w:line="240" w:lineRule="auto"/>
              <w:jc w:val="center"/>
              <w:rPr>
                <w:rFonts w:ascii="Times New Roman" w:hAnsi="Times New Roman" w:eastAsia="SimSun" w:cs="Times New Roman"/>
                <w:sz w:val="24"/>
                <w:lang w:val="de-DE" w:eastAsia="zh-CN"/>
              </w:rPr>
            </w:pPr>
            <w:r>
              <w:rPr>
                <w:rFonts w:hint="eastAsia" w:ascii="Times New Roman" w:hAnsi="Times New Roman" w:eastAsia="SimSun" w:cs="Times New Roman"/>
                <w:sz w:val="24"/>
                <w:szCs w:val="24"/>
                <w:lang w:val="de-DE" w:eastAsia="zh-CN"/>
              </w:rPr>
              <w:t>Topic 6</w:t>
            </w:r>
          </w:p>
        </w:tc>
        <w:tc>
          <w:tcPr>
            <w:tcW w:w="7393" w:type="dxa"/>
            <w:tcBorders>
              <w:top w:val="single" w:color="auto" w:sz="4" w:space="0"/>
              <w:bottom w:val="single" w:color="auto" w:sz="4" w:space="0"/>
            </w:tcBorders>
            <w:vAlign w:val="center"/>
          </w:tcPr>
          <w:p w14:paraId="4EC50F45">
            <w:pPr>
              <w:pStyle w:val="19"/>
              <w:spacing w:line="240" w:lineRule="auto"/>
              <w:jc w:val="center"/>
              <w:rPr>
                <w:rFonts w:ascii="Times New Roman" w:hAnsi="Times New Roman" w:eastAsia="SimSun" w:cs="Times New Roman"/>
                <w:sz w:val="24"/>
                <w:szCs w:val="24"/>
                <w:lang w:val="de-DE" w:eastAsia="zh-CN"/>
              </w:rPr>
            </w:pPr>
            <w:r>
              <w:rPr>
                <w:rFonts w:ascii="Times New Roman" w:hAnsi="Times New Roman" w:cs="Times New Roman" w:eastAsiaTheme="minorEastAsia"/>
                <w:sz w:val="24"/>
                <w:szCs w:val="24"/>
                <w:lang w:val="de-DE" w:eastAsia="zh-CN"/>
              </w:rPr>
              <w:t>0.038*"</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lloy" + 0.021*"</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olidification" + 0.019*"</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ystem" + 0.018*</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D</w:t>
            </w:r>
            <w:r>
              <w:rPr>
                <w:rFonts w:ascii="Times New Roman" w:hAnsi="Times New Roman" w:cs="Times New Roman" w:eastAsiaTheme="minorEastAsia"/>
                <w:sz w:val="24"/>
                <w:szCs w:val="24"/>
                <w:lang w:val="de-DE" w:eastAsia="zh-CN"/>
              </w:rPr>
              <w:t>iffusion" + 0.017*"</w:t>
            </w:r>
            <w:r>
              <w:rPr>
                <w:rFonts w:hint="eastAsia" w:ascii="Times New Roman" w:hAnsi="Times New Roman" w:cs="Times New Roman" w:eastAsiaTheme="minorEastAsia"/>
                <w:sz w:val="24"/>
                <w:szCs w:val="24"/>
                <w:lang w:val="de-DE" w:eastAsia="zh-CN"/>
              </w:rPr>
              <w:t>M</w:t>
            </w:r>
            <w:r>
              <w:rPr>
                <w:rFonts w:ascii="Times New Roman" w:hAnsi="Times New Roman" w:cs="Times New Roman" w:eastAsiaTheme="minorEastAsia"/>
                <w:sz w:val="24"/>
                <w:szCs w:val="24"/>
                <w:lang w:val="de-DE" w:eastAsia="zh-CN"/>
              </w:rPr>
              <w:t>olecular_dynamics" + 0.017*</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egregation" + 0.015*"</w:t>
            </w:r>
            <w:r>
              <w:rPr>
                <w:rFonts w:hint="eastAsia" w:ascii="Times New Roman" w:hAnsi="Times New Roman" w:cs="Times New Roman" w:eastAsiaTheme="minorEastAsia"/>
                <w:sz w:val="24"/>
                <w:szCs w:val="24"/>
                <w:lang w:val="de-DE" w:eastAsia="zh-CN"/>
              </w:rPr>
              <w:t>G</w:t>
            </w:r>
            <w:r>
              <w:rPr>
                <w:rFonts w:ascii="Times New Roman" w:hAnsi="Times New Roman" w:cs="Times New Roman" w:eastAsiaTheme="minorEastAsia"/>
                <w:sz w:val="24"/>
                <w:szCs w:val="24"/>
                <w:lang w:val="de-DE" w:eastAsia="zh-CN"/>
              </w:rPr>
              <w:t>rowth" + 0.013*"</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 xml:space="preserve">imulation" + 0.013*" </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u" + 0.012* "</w:t>
            </w:r>
            <w:r>
              <w:rPr>
                <w:rFonts w:hint="eastAsia" w:ascii="Times New Roman" w:hAnsi="Times New Roman" w:cs="Times New Roman" w:eastAsiaTheme="minorEastAsia"/>
                <w:sz w:val="24"/>
                <w:szCs w:val="24"/>
                <w:lang w:val="de-DE" w:eastAsia="zh-CN"/>
              </w:rPr>
              <w:t>I</w:t>
            </w:r>
            <w:r>
              <w:rPr>
                <w:rFonts w:ascii="Times New Roman" w:hAnsi="Times New Roman" w:cs="Times New Roman" w:eastAsiaTheme="minorEastAsia"/>
                <w:sz w:val="24"/>
                <w:szCs w:val="24"/>
                <w:lang w:val="de-DE" w:eastAsia="zh-CN"/>
              </w:rPr>
              <w:t>ron"</w:t>
            </w:r>
          </w:p>
        </w:tc>
        <w:tc>
          <w:tcPr>
            <w:tcW w:w="1304" w:type="dxa"/>
            <w:tcBorders>
              <w:top w:val="single" w:color="auto" w:sz="4" w:space="0"/>
              <w:bottom w:val="single" w:color="auto" w:sz="4" w:space="0"/>
            </w:tcBorders>
            <w:vAlign w:val="center"/>
          </w:tcPr>
          <w:p w14:paraId="117FF24D">
            <w:pPr>
              <w:adjustRightInd w:val="0"/>
              <w:snapToGrid w:val="0"/>
              <w:spacing w:line="240" w:lineRule="auto"/>
              <w:jc w:val="center"/>
              <w:rPr>
                <w:rFonts w:ascii="Times New Roman" w:hAnsi="Times New Roman" w:cs="Times New Roman"/>
                <w:snapToGrid w:val="0"/>
                <w:color w:val="000000"/>
                <w:sz w:val="24"/>
                <w:lang w:val="de-DE" w:bidi="en-US"/>
              </w:rPr>
            </w:pPr>
            <w:r>
              <w:rPr>
                <w:rFonts w:ascii="Times New Roman" w:hAnsi="Times New Roman" w:cs="Times New Roman"/>
                <w:snapToGrid w:val="0"/>
                <w:color w:val="000000"/>
                <w:sz w:val="24"/>
                <w:lang w:val="de-DE" w:bidi="en-US"/>
              </w:rPr>
              <w:t>11.11%</w:t>
            </w:r>
          </w:p>
        </w:tc>
      </w:tr>
      <w:tr w14:paraId="0FE8262B">
        <w:trPr>
          <w:trHeight w:val="422" w:hRule="atLeast"/>
          <w:jc w:val="center"/>
        </w:trPr>
        <w:tc>
          <w:tcPr>
            <w:tcW w:w="1197" w:type="dxa"/>
            <w:tcBorders>
              <w:top w:val="single" w:color="auto" w:sz="4" w:space="0"/>
            </w:tcBorders>
            <w:vAlign w:val="center"/>
          </w:tcPr>
          <w:p w14:paraId="404396FB">
            <w:pPr>
              <w:pStyle w:val="19"/>
              <w:spacing w:line="240" w:lineRule="auto"/>
              <w:jc w:val="center"/>
              <w:rPr>
                <w:rFonts w:ascii="Times New Roman" w:hAnsi="Times New Roman" w:eastAsia="SimSun" w:cs="Times New Roman"/>
                <w:sz w:val="24"/>
                <w:szCs w:val="24"/>
                <w:lang w:val="de-DE" w:eastAsia="zh-CN"/>
              </w:rPr>
            </w:pPr>
            <w:r>
              <w:rPr>
                <w:rFonts w:hint="eastAsia" w:ascii="Times New Roman" w:hAnsi="Times New Roman" w:eastAsia="SimSun" w:cs="Times New Roman"/>
                <w:sz w:val="24"/>
                <w:szCs w:val="24"/>
                <w:lang w:val="de-DE" w:eastAsia="zh-CN"/>
              </w:rPr>
              <w:t>Topic 7</w:t>
            </w:r>
          </w:p>
        </w:tc>
        <w:tc>
          <w:tcPr>
            <w:tcW w:w="7393" w:type="dxa"/>
            <w:tcBorders>
              <w:top w:val="single" w:color="auto" w:sz="4" w:space="0"/>
            </w:tcBorders>
            <w:vAlign w:val="center"/>
          </w:tcPr>
          <w:p w14:paraId="5077A964">
            <w:pPr>
              <w:pStyle w:val="19"/>
              <w:spacing w:line="240" w:lineRule="auto"/>
              <w:jc w:val="center"/>
              <w:rPr>
                <w:rFonts w:ascii="Times New Roman" w:hAnsi="Times New Roman" w:eastAsia="SimSun" w:cs="Times New Roman"/>
                <w:sz w:val="24"/>
                <w:szCs w:val="24"/>
                <w:lang w:val="de-DE" w:eastAsia="zh-CN"/>
              </w:rPr>
            </w:pPr>
            <w:r>
              <w:rPr>
                <w:rFonts w:ascii="Times New Roman" w:hAnsi="Times New Roman" w:cs="Times New Roman" w:eastAsiaTheme="minorEastAsia"/>
                <w:sz w:val="24"/>
                <w:szCs w:val="24"/>
                <w:lang w:val="de-DE" w:eastAsia="zh-CN"/>
              </w:rPr>
              <w:t>0.039*"</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opper" + 0.026*"</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lloy" + 0.024*"</w:t>
            </w:r>
            <w:r>
              <w:rPr>
                <w:rFonts w:hint="eastAsia" w:ascii="Times New Roman" w:hAnsi="Times New Roman" w:cs="Times New Roman" w:eastAsiaTheme="minorEastAsia"/>
                <w:sz w:val="24"/>
                <w:szCs w:val="24"/>
                <w:lang w:val="de-DE" w:eastAsia="zh-CN"/>
              </w:rPr>
              <w:t>E</w:t>
            </w:r>
            <w:r>
              <w:rPr>
                <w:rFonts w:ascii="Times New Roman" w:hAnsi="Times New Roman" w:cs="Times New Roman" w:eastAsiaTheme="minorEastAsia"/>
                <w:sz w:val="24"/>
                <w:szCs w:val="24"/>
                <w:lang w:val="de-DE" w:eastAsia="zh-CN"/>
              </w:rPr>
              <w:t>lectrodeposition" + 0.023*"</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u" + 0.021*"</w:t>
            </w:r>
            <w:r>
              <w:rPr>
                <w:rFonts w:hint="eastAsia" w:ascii="Times New Roman" w:hAnsi="Times New Roman" w:cs="Times New Roman" w:eastAsiaTheme="minorEastAsia"/>
                <w:sz w:val="24"/>
                <w:szCs w:val="24"/>
                <w:lang w:val="de-DE" w:eastAsia="zh-CN"/>
              </w:rPr>
              <w:t>F</w:t>
            </w:r>
            <w:r>
              <w:rPr>
                <w:rFonts w:ascii="Times New Roman" w:hAnsi="Times New Roman" w:cs="Times New Roman" w:eastAsiaTheme="minorEastAsia"/>
                <w:sz w:val="24"/>
                <w:szCs w:val="24"/>
                <w:lang w:val="de-DE" w:eastAsia="zh-CN"/>
              </w:rPr>
              <w:t>abrication" + 0.018*"</w:t>
            </w:r>
            <w:r>
              <w:rPr>
                <w:rFonts w:hint="eastAsia" w:ascii="Times New Roman" w:hAnsi="Times New Roman" w:cs="Times New Roman" w:eastAsiaTheme="minorEastAsia"/>
                <w:sz w:val="24"/>
                <w:szCs w:val="24"/>
                <w:lang w:val="de-DE" w:eastAsia="zh-CN"/>
              </w:rPr>
              <w:t>F</w:t>
            </w:r>
            <w:r>
              <w:rPr>
                <w:rFonts w:ascii="Times New Roman" w:hAnsi="Times New Roman" w:cs="Times New Roman" w:eastAsiaTheme="minorEastAsia"/>
                <w:sz w:val="24"/>
                <w:szCs w:val="24"/>
                <w:lang w:val="de-DE" w:eastAsia="zh-CN"/>
              </w:rPr>
              <w:t>ilm" + 0.016* "</w:t>
            </w:r>
            <w:r>
              <w:rPr>
                <w:rFonts w:hint="eastAsia" w:ascii="Times New Roman" w:hAnsi="Times New Roman" w:cs="Times New Roman" w:eastAsiaTheme="minorEastAsia"/>
                <w:sz w:val="24"/>
                <w:szCs w:val="24"/>
                <w:lang w:val="de-DE" w:eastAsia="zh-CN"/>
              </w:rPr>
              <w:t>T</w:t>
            </w:r>
            <w:r>
              <w:rPr>
                <w:rFonts w:ascii="Times New Roman" w:hAnsi="Times New Roman" w:cs="Times New Roman" w:eastAsiaTheme="minorEastAsia"/>
                <w:sz w:val="24"/>
                <w:szCs w:val="24"/>
                <w:lang w:val="de-DE" w:eastAsia="zh-CN"/>
              </w:rPr>
              <w:t>hin_film" + 0.014*"</w:t>
            </w:r>
            <w:r>
              <w:rPr>
                <w:rFonts w:hint="eastAsia" w:ascii="Times New Roman" w:hAnsi="Times New Roman" w:cs="Times New Roman" w:eastAsiaTheme="minorEastAsia"/>
                <w:sz w:val="24"/>
                <w:szCs w:val="24"/>
                <w:lang w:val="de-DE" w:eastAsia="zh-CN"/>
              </w:rPr>
              <w:t>D</w:t>
            </w:r>
            <w:r>
              <w:rPr>
                <w:rFonts w:ascii="Times New Roman" w:hAnsi="Times New Roman" w:cs="Times New Roman" w:eastAsiaTheme="minorEastAsia"/>
                <w:sz w:val="24"/>
                <w:szCs w:val="24"/>
                <w:lang w:val="de-DE" w:eastAsia="zh-CN"/>
              </w:rPr>
              <w:t xml:space="preserve">eposition" + 0.014*" </w:t>
            </w:r>
            <w:r>
              <w:rPr>
                <w:rFonts w:hint="eastAsia" w:ascii="Times New Roman" w:hAnsi="Times New Roman" w:cs="Times New Roman" w:eastAsiaTheme="minorEastAsia"/>
                <w:sz w:val="24"/>
                <w:szCs w:val="24"/>
                <w:lang w:val="de-DE" w:eastAsia="zh-CN"/>
              </w:rPr>
              <w:t>M</w:t>
            </w:r>
            <w:r>
              <w:rPr>
                <w:rFonts w:ascii="Times New Roman" w:hAnsi="Times New Roman" w:cs="Times New Roman" w:eastAsiaTheme="minorEastAsia"/>
                <w:sz w:val="24"/>
                <w:szCs w:val="24"/>
                <w:lang w:val="de-DE" w:eastAsia="zh-CN"/>
              </w:rPr>
              <w:t>echanical_ alloying"</w:t>
            </w:r>
          </w:p>
        </w:tc>
        <w:tc>
          <w:tcPr>
            <w:tcW w:w="1304" w:type="dxa"/>
            <w:tcBorders>
              <w:top w:val="single" w:color="auto" w:sz="4" w:space="0"/>
            </w:tcBorders>
            <w:vAlign w:val="center"/>
          </w:tcPr>
          <w:p w14:paraId="655FCCC7">
            <w:pPr>
              <w:adjustRightInd w:val="0"/>
              <w:snapToGrid w:val="0"/>
              <w:spacing w:line="240" w:lineRule="auto"/>
              <w:jc w:val="center"/>
              <w:rPr>
                <w:rFonts w:ascii="Times New Roman" w:hAnsi="Times New Roman" w:cs="Times New Roman"/>
                <w:snapToGrid w:val="0"/>
                <w:color w:val="000000"/>
                <w:sz w:val="24"/>
                <w:lang w:val="de-DE" w:bidi="en-US"/>
              </w:rPr>
            </w:pPr>
            <w:r>
              <w:rPr>
                <w:rFonts w:ascii="Times New Roman" w:hAnsi="Times New Roman" w:cs="Times New Roman"/>
                <w:snapToGrid w:val="0"/>
                <w:color w:val="000000"/>
                <w:sz w:val="24"/>
                <w:lang w:val="de-DE" w:bidi="en-US"/>
              </w:rPr>
              <w:t>13.15%</w:t>
            </w:r>
          </w:p>
        </w:tc>
      </w:tr>
    </w:tbl>
    <w:p w14:paraId="17529099">
      <w:pPr>
        <w:pStyle w:val="17"/>
        <w:spacing w:before="120" w:beforeLines="50" w:line="360" w:lineRule="auto"/>
        <w:ind w:left="0" w:firstLine="0" w:firstLineChars="0"/>
        <w:rPr>
          <w:rFonts w:ascii="Times New Roman" w:hAnsi="Times New Roman" w:cs="Times New Roman"/>
          <w:sz w:val="24"/>
        </w:rPr>
      </w:pPr>
    </w:p>
    <w:p w14:paraId="29D7F749">
      <w:pPr>
        <w:pStyle w:val="17"/>
        <w:numPr>
          <w:ilvl w:val="0"/>
          <w:numId w:val="2"/>
        </w:numPr>
        <w:spacing w:before="120" w:beforeLines="50" w:after="120" w:afterLines="50" w:line="360" w:lineRule="auto"/>
        <w:ind w:left="0"/>
        <w:rPr>
          <w:rFonts w:ascii="Times New Roman" w:hAnsi="Times New Roman" w:cs="Times New Roman"/>
          <w:b/>
          <w:sz w:val="24"/>
        </w:rPr>
      </w:pPr>
      <w:r>
        <w:rPr>
          <w:rFonts w:ascii="Times New Roman" w:hAnsi="Times New Roman" w:cs="Times New Roman"/>
          <w:b/>
          <w:sz w:val="24"/>
        </w:rPr>
        <w:t>Document-level: Fine-grained multi-modal CPSP reconstruction</w:t>
      </w:r>
    </w:p>
    <w:p w14:paraId="66CD0E7D">
      <w:pPr>
        <w:pStyle w:val="17"/>
        <w:spacing w:before="120" w:beforeLines="50" w:line="360" w:lineRule="auto"/>
        <w:ind w:left="0" w:firstLine="480" w:firstLineChars="200"/>
        <w:rPr>
          <w:rFonts w:hint="default" w:ascii="Times New Roman" w:hAnsi="Times New Roman" w:cs="Times New Roman" w:eastAsiaTheme="minorEastAsia"/>
          <w:kern w:val="2"/>
          <w:sz w:val="24"/>
          <w:lang w:val="en-US"/>
        </w:rPr>
      </w:pPr>
      <w:r>
        <w:rPr>
          <w:rFonts w:ascii="Times New Roman" w:hAnsi="Times New Roman" w:cs="Times New Roman"/>
          <w:sz w:val="24"/>
        </w:rPr>
        <w:t>At the document level, fragmented alloy knowledge distributed across text, tables, and literature figures is reconstructed into machine-readable CPSP data chains through a tri-track multi-modal extraction architecture, consisting of textual, tabular, and visual processing pipelines (Fig.4).</w:t>
      </w:r>
      <w:r>
        <w:rPr>
          <w:rFonts w:hint="default" w:ascii="Times New Roman" w:hAnsi="Times New Roman" w:cs="Times New Roman" w:eastAsiaTheme="minorEastAsia"/>
          <w:kern w:val="2"/>
          <w:sz w:val="24"/>
          <w:lang w:val="en-US"/>
        </w:rPr>
        <w:t xml:space="preserve"> The collected XML/</w:t>
      </w:r>
      <w:r>
        <w:rPr>
          <w:rFonts w:hint="default" w:ascii="Times New Roman" w:hAnsi="Times New Roman" w:cs="Times New Roman"/>
          <w:kern w:val="2"/>
          <w:sz w:val="24"/>
          <w:lang w:val="en-US"/>
        </w:rPr>
        <w:t xml:space="preserve"> </w:t>
      </w:r>
      <w:r>
        <w:rPr>
          <w:rFonts w:hint="default" w:ascii="Times New Roman" w:hAnsi="Times New Roman" w:cs="Times New Roman" w:eastAsiaTheme="minorEastAsia"/>
          <w:kern w:val="2"/>
          <w:sz w:val="24"/>
          <w:lang w:val="en-US"/>
        </w:rPr>
        <w:t xml:space="preserve">HTML full texts were first parsed into hierarchical section–paragraph structures and transformed into machine-readable JSON representations containing section identifiers, titles, and paragraph-level semantic units. Subsequently, rule-based semantic segmentation and structured-prompt-guided LLM extraction were combined to reconstruct fragmented metallurgical descriptions into schema-aligned CPSP records, transforming composition, processing, structure, property, and strengthening-mechanism information into hierarchical </w:t>
      </w:r>
      <w:r>
        <w:rPr>
          <w:rFonts w:hint="default" w:ascii="Times New Roman" w:hAnsi="Times New Roman" w:cs="Times New Roman"/>
          <w:kern w:val="2"/>
          <w:sz w:val="24"/>
          <w:lang w:val="en-US"/>
        </w:rPr>
        <w:t>“</w:t>
      </w:r>
      <w:r>
        <w:rPr>
          <w:rFonts w:hint="default" w:ascii="Times New Roman" w:hAnsi="Times New Roman" w:cs="Times New Roman" w:eastAsiaTheme="minorEastAsia"/>
          <w:kern w:val="2"/>
          <w:sz w:val="24"/>
          <w:lang w:val="en-US"/>
        </w:rPr>
        <w:t>entity–condition–attribute–value</w:t>
      </w:r>
      <w:r>
        <w:rPr>
          <w:rFonts w:hint="default" w:ascii="Times New Roman" w:hAnsi="Times New Roman" w:cs="Times New Roman"/>
          <w:kern w:val="2"/>
          <w:sz w:val="24"/>
          <w:lang w:val="en-US"/>
        </w:rPr>
        <w:t>”</w:t>
      </w:r>
      <w:r>
        <w:rPr>
          <w:rFonts w:hint="default" w:ascii="Times New Roman" w:hAnsi="Times New Roman" w:cs="Times New Roman" w:eastAsiaTheme="minorEastAsia"/>
          <w:kern w:val="2"/>
          <w:sz w:val="24"/>
          <w:lang w:val="en-US"/>
        </w:rPr>
        <w:t xml:space="preserve"> relationships.</w:t>
      </w:r>
      <w:r>
        <w:rPr>
          <w:rFonts w:hint="default" w:ascii="Times New Roman" w:hAnsi="Times New Roman" w:cs="Times New Roman"/>
          <w:kern w:val="2"/>
          <w:sz w:val="24"/>
          <w:lang w:val="en-US"/>
        </w:rPr>
        <w:t xml:space="preserve"> </w:t>
      </w:r>
      <w:r>
        <w:rPr>
          <w:rFonts w:hint="default" w:ascii="Times New Roman" w:hAnsi="Times New Roman" w:cs="Times New Roman" w:eastAsiaTheme="minorEastAsia"/>
          <w:kern w:val="2"/>
          <w:sz w:val="24"/>
          <w:lang w:val="en-US"/>
        </w:rPr>
        <w:t>The tabular pipeline reconstructs structured CPSP information from heterogeneous XML/HTML tables by converting publisher-specific table formats into standardized representations preserv</w:t>
      </w:r>
      <w:r>
        <w:rPr>
          <w:rFonts w:hint="default" w:ascii="Times New Roman" w:hAnsi="Times New Roman" w:cs="Times New Roman"/>
          <w:kern w:val="2"/>
          <w:sz w:val="24"/>
          <w:lang w:val="en-US"/>
        </w:rPr>
        <w:t>ing</w:t>
      </w:r>
      <w:r>
        <w:rPr>
          <w:rFonts w:hint="default" w:ascii="Times New Roman" w:hAnsi="Times New Roman" w:cs="Times New Roman" w:eastAsiaTheme="minorEastAsia"/>
          <w:kern w:val="2"/>
          <w:sz w:val="24"/>
          <w:lang w:val="en-US"/>
        </w:rPr>
        <w:t xml:space="preserve"> relationships among titles, headers, and cell entries. Abnormal-output validation is further employed to identify formatting errors, semantic inconsistencies, and halluci</w:t>
      </w:r>
      <w:r>
        <w:rPr>
          <w:rFonts w:hint="default" w:ascii="Times New Roman" w:hAnsi="Times New Roman" w:cs="Times New Roman"/>
          <w:kern w:val="2"/>
          <w:sz w:val="24"/>
          <w:lang w:val="en-US"/>
        </w:rPr>
        <w:t>-</w:t>
      </w:r>
      <w:r>
        <w:rPr>
          <w:rFonts w:hint="default" w:ascii="Times New Roman" w:hAnsi="Times New Roman" w:cs="Times New Roman" w:eastAsiaTheme="minorEastAsia"/>
          <w:kern w:val="2"/>
          <w:sz w:val="24"/>
          <w:lang w:val="en-US"/>
        </w:rPr>
        <w:t>nated entries, thereby improving extraction reliability.</w:t>
      </w:r>
    </w:p>
    <w:p w14:paraId="0EA3DEF9">
      <w:pPr>
        <w:pStyle w:val="17"/>
        <w:spacing w:before="120" w:beforeLines="50" w:line="360" w:lineRule="auto"/>
        <w:ind w:left="0" w:firstLine="480" w:firstLineChars="200"/>
        <w:rPr>
          <w:rFonts w:hint="default" w:ascii="Times New Roman" w:hAnsi="Times New Roman" w:cs="Times New Roman" w:eastAsiaTheme="minorEastAsia"/>
          <w:kern w:val="2"/>
          <w:sz w:val="24"/>
          <w:lang w:val="en-US"/>
        </w:rPr>
      </w:pPr>
    </w:p>
    <w:p w14:paraId="0C38A94B">
      <w:pPr>
        <w:pStyle w:val="17"/>
        <w:spacing w:before="120" w:beforeLines="50" w:line="360" w:lineRule="auto"/>
        <w:ind w:left="0" w:firstLine="480" w:firstLineChars="200"/>
        <w:rPr>
          <w:rFonts w:hint="default" w:ascii="Times New Roman" w:hAnsi="Times New Roman" w:cs="Times New Roman" w:eastAsiaTheme="minorEastAsia"/>
          <w:kern w:val="2"/>
          <w:sz w:val="24"/>
          <w:lang w:val="en-US"/>
        </w:rPr>
      </w:pPr>
    </w:p>
    <w:p w14:paraId="6720B8D1">
      <w:pPr>
        <w:pStyle w:val="17"/>
        <w:spacing w:before="120" w:beforeLines="50" w:line="360" w:lineRule="auto"/>
        <w:ind w:left="0" w:firstLine="480" w:firstLineChars="200"/>
        <w:rPr>
          <w:rFonts w:hint="default" w:ascii="Times New Roman" w:hAnsi="Times New Roman" w:cs="Times New Roman" w:eastAsiaTheme="minorEastAsia"/>
          <w:kern w:val="2"/>
          <w:sz w:val="24"/>
          <w:lang w:val="en-US"/>
        </w:rPr>
      </w:pPr>
    </w:p>
    <w:p w14:paraId="56D76DB0">
      <w:pPr>
        <w:pStyle w:val="17"/>
        <w:spacing w:before="120" w:beforeLines="50" w:line="360" w:lineRule="auto"/>
        <w:ind w:left="0" w:firstLine="0" w:firstLineChars="0"/>
        <w:rPr>
          <w:rFonts w:hint="default" w:ascii="Times New Roman" w:hAnsi="Times New Roman" w:cs="Times New Roman" w:eastAsiaTheme="minorEastAsia"/>
          <w:kern w:val="2"/>
          <w:sz w:val="24"/>
          <w:lang w:val="en-US"/>
        </w:rPr>
      </w:pPr>
    </w:p>
    <w:p w14:paraId="3F0B3DF0">
      <w:pPr>
        <w:pStyle w:val="17"/>
        <w:spacing w:before="120" w:beforeLines="50" w:line="360" w:lineRule="auto"/>
        <w:ind w:left="0"/>
        <w:rPr>
          <w:rFonts w:hint="default" w:ascii="Times New Roman" w:hAnsi="Times New Roman" w:cs="Times New Roman"/>
          <w:sz w:val="24"/>
        </w:rPr>
      </w:pPr>
      <w:r>
        <w:rPr>
          <w:rFonts w:ascii="Times New Roman" w:hAnsi="Times New Roman" w:cs="Times New Roman"/>
          <w:sz w:val="24"/>
        </w:rPr>
        <w:drawing>
          <wp:anchor distT="0" distB="0" distL="114300" distR="114300" simplePos="0" relativeHeight="251662336" behindDoc="0" locked="0" layoutInCell="1" allowOverlap="1">
            <wp:simplePos x="0" y="0"/>
            <wp:positionH relativeFrom="column">
              <wp:posOffset>2540</wp:posOffset>
            </wp:positionH>
            <wp:positionV relativeFrom="paragraph">
              <wp:posOffset>235585</wp:posOffset>
            </wp:positionV>
            <wp:extent cx="6649085" cy="3814445"/>
            <wp:effectExtent l="0" t="0" r="5715" b="20955"/>
            <wp:wrapTopAndBottom/>
            <wp:docPr id="7" name="Picture 7" descr="绘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绘图5"/>
                    <pic:cNvPicPr>
                      <a:picLocks noChangeAspect="1"/>
                    </pic:cNvPicPr>
                  </pic:nvPicPr>
                  <pic:blipFill>
                    <a:blip r:embed="rId9"/>
                    <a:stretch>
                      <a:fillRect/>
                    </a:stretch>
                  </pic:blipFill>
                  <pic:spPr>
                    <a:xfrm>
                      <a:off x="0" y="0"/>
                      <a:ext cx="6649085" cy="3814445"/>
                    </a:xfrm>
                    <a:prstGeom prst="rect">
                      <a:avLst/>
                    </a:prstGeom>
                  </pic:spPr>
                </pic:pic>
              </a:graphicData>
            </a:graphic>
          </wp:anchor>
        </w:drawing>
      </w:r>
      <w:r>
        <w:rPr>
          <w:rFonts w:hint="default" w:ascii="Times New Roman" w:hAnsi="Times New Roman" w:cs="Times New Roman"/>
          <w:sz w:val="24"/>
          <w:lang w:val="en-US"/>
        </w:rPr>
        <w:t>F</w:t>
      </w:r>
      <w:r>
        <w:rPr>
          <w:rFonts w:hint="eastAsia" w:ascii="Times New Roman Bold" w:hAnsi="Times New Roman Bold" w:cs="Times New Roman Bold"/>
          <w:b/>
          <w:bCs/>
          <w:sz w:val="24"/>
        </w:rPr>
        <w:t>ig. 4. Document-level multi-modal CPSP reconstruction framework for copper alloys</w:t>
      </w:r>
      <w:r>
        <w:rPr>
          <w:rFonts w:hint="default" w:ascii="Times New Roman Bold" w:hAnsi="Times New Roman Bold" w:cs="Times New Roman Bold"/>
          <w:b/>
          <w:bCs/>
          <w:sz w:val="24"/>
          <w:lang w:val="en-US"/>
        </w:rPr>
        <w:t>:</w:t>
      </w:r>
      <w:r>
        <w:rPr>
          <w:rFonts w:hint="eastAsia" w:ascii="Times New Roman Bold" w:hAnsi="Times New Roman Bold" w:cs="Times New Roman Bold"/>
          <w:b/>
          <w:bCs/>
          <w:sz w:val="24"/>
        </w:rPr>
        <w:t xml:space="preserve"> </w:t>
      </w:r>
      <w:r>
        <w:rPr>
          <w:rFonts w:hint="default" w:ascii="Times New Roman" w:hAnsi="Times New Roman" w:cs="Times New Roman"/>
          <w:sz w:val="24"/>
        </w:rPr>
        <w:t>(A) Text-based CPSP structuring pipeline for transforming unstructured metallurgical descriptions into machine-readable CPSP records. (B) Table-based structuring pipeline for reconstructing structured CPSP information from heterogeneous literature tables. (C) Image-based structuring pipeline for organizing literature figures, including microstructural images, diffraction patterns, statistical plots, and performance curves. Structured text, table, and image resources are subsequently integrated into a unified CPSP-oriented copper alloy repository.</w:t>
      </w:r>
    </w:p>
    <w:p w14:paraId="303E96C2">
      <w:pPr>
        <w:pStyle w:val="17"/>
        <w:spacing w:before="120" w:beforeLines="50" w:line="360" w:lineRule="auto"/>
        <w:ind w:left="0"/>
        <w:rPr>
          <w:rFonts w:hint="default" w:ascii="Times New Roman" w:hAnsi="Times New Roman" w:cs="Times New Roman"/>
          <w:sz w:val="24"/>
        </w:rPr>
      </w:pPr>
    </w:p>
    <w:p w14:paraId="62B28FF4">
      <w:pPr>
        <w:pStyle w:val="17"/>
        <w:spacing w:before="120" w:beforeLines="50" w:line="360" w:lineRule="auto"/>
        <w:ind w:left="0" w:firstLine="480" w:firstLineChars="200"/>
        <w:rPr>
          <w:rFonts w:ascii="Times New Roman" w:hAnsi="Times New Roman" w:cs="Times New Roman"/>
          <w:sz w:val="24"/>
        </w:rPr>
      </w:pPr>
      <w:r>
        <w:rPr>
          <w:rFonts w:ascii="Times New Roman" w:hAnsi="Times New Roman" w:cs="Times New Roman"/>
          <w:sz w:val="24"/>
        </w:rPr>
        <w:t xml:space="preserve">The CPSP image structuring pipeline </w:t>
      </w:r>
      <w:r>
        <w:rPr>
          <w:rFonts w:hint="default" w:ascii="Times New Roman" w:hAnsi="Times New Roman" w:cs="Times New Roman"/>
          <w:sz w:val="24"/>
        </w:rPr>
        <w:t>further extends the framework to literature figure extraction and categorization.</w:t>
      </w:r>
      <w:r>
        <w:rPr>
          <w:rFonts w:hint="default" w:ascii="Times New Roman" w:hAnsi="Times New Roman" w:cs="Times New Roman"/>
          <w:sz w:val="24"/>
          <w:lang w:val="en-US"/>
        </w:rPr>
        <w:t xml:space="preserve"> </w:t>
      </w:r>
      <w:r>
        <w:rPr>
          <w:rFonts w:hint="default" w:ascii="Times New Roman" w:hAnsi="Times New Roman" w:cs="Times New Roman"/>
          <w:sz w:val="24"/>
        </w:rPr>
        <w:t>Figure links, captions, and metadata are first extracted from XML/HTML literature, followed by automated image downloading and multi-panel figure splitting.</w:t>
      </w:r>
      <w:r>
        <w:rPr>
          <w:rFonts w:hint="default" w:ascii="Times New Roman" w:hAnsi="Times New Roman" w:cs="Times New Roman"/>
          <w:sz w:val="24"/>
          <w:lang w:val="en-US"/>
        </w:rPr>
        <w:t xml:space="preserve"> </w:t>
      </w:r>
      <w:r>
        <w:rPr>
          <w:rFonts w:ascii="Times New Roman" w:hAnsi="Times New Roman" w:cs="Times New Roman"/>
          <w:sz w:val="24"/>
        </w:rPr>
        <w:t>Subsequently, VLM-based image cate</w:t>
      </w:r>
      <w:r>
        <w:rPr>
          <w:rFonts w:hint="default" w:ascii="Times New Roman" w:hAnsi="Times New Roman" w:cs="Times New Roman"/>
          <w:sz w:val="24"/>
          <w:lang w:val="en-US"/>
        </w:rPr>
        <w:t>-</w:t>
      </w:r>
      <w:r>
        <w:rPr>
          <w:rFonts w:ascii="Times New Roman" w:hAnsi="Times New Roman" w:cs="Times New Roman"/>
          <w:sz w:val="24"/>
        </w:rPr>
        <w:t xml:space="preserve">gorization is employed to classify different literature image resources, including micro-structural images (e.g., SEM, TEM, EBSD, OM), diffraction patterns (e.g., XRD, Selected Area Electron Diffraction), schematic mechanism diagrams, statistical plots such as scatter plots, line charts, histograms, and bar charts, and performance curves (line charts, stress-strain/hardening curves). </w:t>
      </w:r>
      <w:r>
        <w:rPr>
          <w:rFonts w:hint="default" w:ascii="Times New Roman" w:hAnsi="Times New Roman" w:cs="Times New Roman"/>
          <w:sz w:val="24"/>
        </w:rPr>
        <w:t>Based on the categorized image resources, quantitative information from statistical plots and line charts is further extracted and converted into structured numerical representations using an “x/y-axis–attribute–value” format.</w:t>
      </w:r>
      <w:r>
        <w:rPr>
          <w:rFonts w:hint="default" w:ascii="Times New Roman" w:hAnsi="Times New Roman" w:cs="Times New Roman"/>
          <w:sz w:val="24"/>
          <w:lang w:val="en-US"/>
        </w:rPr>
        <w:t xml:space="preserve"> These figure-level records are linked to the corresponding publication, figure caption, alloy system, and property category when such condition-value pairs are available. </w:t>
      </w:r>
      <w:r>
        <w:rPr>
          <w:rFonts w:ascii="Times New Roman" w:hAnsi="Times New Roman" w:cs="Times New Roman"/>
          <w:sz w:val="24"/>
        </w:rPr>
        <w:t xml:space="preserve">The processed visual resources and extracted figure-level information are finally stored in the structured image repository. </w:t>
      </w:r>
      <w:r>
        <w:rPr>
          <w:rFonts w:hint="default" w:ascii="Times New Roman" w:hAnsi="Times New Roman" w:cs="Times New Roman"/>
          <w:sz w:val="24"/>
        </w:rPr>
        <w:t>Finally, structured text-, table-, and figure-level outputs are organized into a unified copper alloy repository through schema-level harmonization and shared identifiers, including publication DOI, alloy system, composition, processing route, processing conditions, performance metrics, and strengthening mechanisms. This repository-level integration enables traceable CPSP record construction and provides a unified knowledge foundation for downstream data-driven modeling, property prediction, and alloy design.</w:t>
      </w:r>
    </w:p>
    <w:p w14:paraId="2FE01C56">
      <w:pPr>
        <w:pStyle w:val="17"/>
        <w:spacing w:before="120" w:beforeLines="50" w:line="360" w:lineRule="auto"/>
        <w:ind w:left="0" w:firstLine="480" w:firstLineChars="200"/>
        <w:rPr>
          <w:rFonts w:ascii="Times New Roman" w:hAnsi="Times New Roman" w:cs="Times New Roman"/>
          <w:sz w:val="24"/>
        </w:rPr>
      </w:pPr>
    </w:p>
    <w:p w14:paraId="3A6F8917">
      <w:pPr>
        <w:pStyle w:val="17"/>
        <w:numPr>
          <w:ilvl w:val="0"/>
          <w:numId w:val="2"/>
        </w:numPr>
        <w:spacing w:before="120" w:beforeLines="50" w:line="360" w:lineRule="auto"/>
        <w:ind w:left="0" w:firstLine="0" w:firstLineChars="0"/>
        <w:rPr>
          <w:rFonts w:ascii="Times New Roman" w:hAnsi="Times New Roman" w:cs="Times New Roman"/>
          <w:sz w:val="24"/>
        </w:rPr>
      </w:pPr>
      <w:r>
        <w:rPr>
          <w:rFonts w:ascii="Times New Roman" w:hAnsi="Times New Roman" w:cs="Times New Roman"/>
          <w:b/>
          <w:sz w:val="24"/>
          <w:szCs w:val="24"/>
        </w:rPr>
        <w:t>Validation of Document-Level Multi-Modal CPSP Reconstruction</w:t>
      </w:r>
    </w:p>
    <w:p w14:paraId="2260FFEF">
      <w:pPr>
        <w:pStyle w:val="17"/>
        <w:spacing w:before="120" w:beforeLines="50" w:line="360" w:lineRule="auto"/>
        <w:ind w:left="0" w:firstLine="480" w:firstLineChars="200"/>
        <w:rPr>
          <w:rFonts w:ascii="Times New Roman" w:hAnsi="Times New Roman" w:cs="Times New Roman"/>
          <w:sz w:val="24"/>
        </w:rPr>
      </w:pPr>
      <w:r>
        <w:rPr>
          <w:rFonts w:hint="default" w:ascii="Times New Roman" w:hAnsi="Times New Roman" w:cs="Times New Roman"/>
          <w:sz w:val="24"/>
        </w:rPr>
        <w:t xml:space="preserve">To systematically evaluate the performance of the fine-grained multi-modal CPSP reconstruction framework for copper alloys, benchmark evaluations were conducted using representative LLMs and VLMs on a manually annotated </w:t>
      </w:r>
      <w:r>
        <w:rPr>
          <w:rFonts w:hint="default" w:ascii="Times New Roman" w:hAnsi="Times New Roman" w:cs="Times New Roman"/>
          <w:sz w:val="24"/>
          <w:lang w:val="en-US" w:eastAsia="zh-CN"/>
        </w:rPr>
        <w:t>ground-truth</w:t>
      </w:r>
      <w:r>
        <w:rPr>
          <w:rFonts w:hint="default" w:ascii="Times New Roman" w:hAnsi="Times New Roman" w:cs="Times New Roman"/>
          <w:sz w:val="24"/>
        </w:rPr>
        <w:t xml:space="preserve"> dataset.</w:t>
      </w:r>
      <w:r>
        <w:rPr>
          <w:rFonts w:hint="default" w:ascii="Times New Roman" w:hAnsi="Times New Roman" w:cs="Times New Roman"/>
          <w:sz w:val="24"/>
          <w:lang w:val="en-US"/>
        </w:rPr>
        <w:t xml:space="preserve"> For text- and table-based CPSP extraction, the ground-truth benchmark consisted of 506 manually annotated CPSP records containing 2737 annotated entities and 256 heterogeneous tables </w:t>
      </w:r>
      <w:r>
        <w:rPr>
          <w:rFonts w:ascii="Times New Roman" w:hAnsi="Times New Roman" w:cs="Times New Roman"/>
          <w:sz w:val="24"/>
        </w:rPr>
        <w:t>with diverse layouts and publisher-specific structures.</w:t>
      </w:r>
      <w:r>
        <w:rPr>
          <w:rFonts w:hint="default" w:ascii="Times New Roman" w:hAnsi="Times New Roman" w:cs="Times New Roman"/>
          <w:sz w:val="24"/>
          <w:lang w:val="en-US"/>
        </w:rPr>
        <w:t xml:space="preserve"> </w:t>
      </w:r>
      <w:r>
        <w:rPr>
          <w:rFonts w:ascii="Times New Roman" w:hAnsi="Times New Roman" w:cs="Times New Roman"/>
          <w:sz w:val="24"/>
        </w:rPr>
        <w:t>All annotations were independ</w:t>
      </w:r>
      <w:r>
        <w:rPr>
          <w:rFonts w:hint="default" w:ascii="Times New Roman" w:hAnsi="Times New Roman" w:cs="Times New Roman"/>
          <w:sz w:val="24"/>
          <w:lang w:val="en-US"/>
        </w:rPr>
        <w:t>-</w:t>
      </w:r>
      <w:r>
        <w:rPr>
          <w:rFonts w:ascii="Times New Roman" w:hAnsi="Times New Roman" w:cs="Times New Roman"/>
          <w:sz w:val="24"/>
        </w:rPr>
        <w:t xml:space="preserve">ently verified by </w:t>
      </w:r>
      <w:r>
        <w:rPr>
          <w:rFonts w:hint="default" w:ascii="Times New Roman" w:hAnsi="Times New Roman" w:cs="Times New Roman"/>
          <w:sz w:val="24"/>
          <w:lang w:val="en-US"/>
        </w:rPr>
        <w:t xml:space="preserve">3 </w:t>
      </w:r>
      <w:r>
        <w:rPr>
          <w:rFonts w:ascii="Times New Roman" w:hAnsi="Times New Roman" w:cs="Times New Roman"/>
          <w:sz w:val="24"/>
        </w:rPr>
        <w:t>domain experts prior to evaluation.</w:t>
      </w:r>
      <w:r>
        <w:rPr>
          <w:rFonts w:hint="default" w:ascii="Times New Roman" w:hAnsi="Times New Roman" w:cs="Times New Roman"/>
          <w:sz w:val="24"/>
        </w:rPr>
        <w:t>For image-based evaluation</w:t>
      </w:r>
      <w:r>
        <w:rPr>
          <w:rFonts w:hint="default" w:ascii="Times New Roman" w:hAnsi="Times New Roman" w:cs="Times New Roman"/>
          <w:sz w:val="24"/>
          <w:lang w:val="en-US"/>
        </w:rPr>
        <w:t xml:space="preserve"> 372</w:t>
      </w:r>
      <w:r>
        <w:rPr>
          <w:rFonts w:hint="default" w:ascii="Times New Roman" w:hAnsi="Times New Roman" w:cs="Times New Roman"/>
          <w:sz w:val="24"/>
        </w:rPr>
        <w:t xml:space="preserve"> manually annotated scientific figures covering nine image categories were used for benchmark testing.</w:t>
      </w:r>
      <w:r>
        <w:rPr>
          <w:rFonts w:hint="default" w:ascii="Times New Roman" w:hAnsi="Times New Roman" w:cs="Times New Roman"/>
          <w:sz w:val="24"/>
          <w:lang w:val="en-US"/>
        </w:rPr>
        <w:t xml:space="preserve"> </w:t>
      </w:r>
      <w:r>
        <w:rPr>
          <w:rFonts w:hint="default" w:ascii="Times New Roman" w:hAnsi="Times New Roman" w:cs="Times New Roman"/>
          <w:sz w:val="24"/>
        </w:rPr>
        <w:t xml:space="preserve">As shown in Fig. 5A–F, </w:t>
      </w:r>
      <w:r>
        <w:rPr>
          <w:rFonts w:hint="default" w:ascii="Times New Roman" w:hAnsi="Times New Roman" w:cs="Times New Roman"/>
          <w:sz w:val="24"/>
          <w:lang w:val="en-US"/>
        </w:rPr>
        <w:t xml:space="preserve">the </w:t>
      </w:r>
      <w:r>
        <w:rPr>
          <w:rFonts w:hint="default" w:ascii="Times New Roman" w:hAnsi="Times New Roman" w:cs="Times New Roman"/>
          <w:sz w:val="24"/>
        </w:rPr>
        <w:t>extraction performance was evaluated across six categories, including composition, processing, structure, performance, strengthening mechanisms, and tabular information, using character- and token-level metrics, including accuracy, precision, recall, F1-score, and BLEU.</w:t>
      </w:r>
      <w:r>
        <w:rPr>
          <w:rFonts w:hint="default" w:ascii="Times New Roman" w:hAnsi="Times New Roman" w:cs="Times New Roman"/>
          <w:sz w:val="24"/>
          <w:lang w:val="en-US"/>
        </w:rPr>
        <w:t xml:space="preserve"> </w:t>
      </w:r>
      <w:r>
        <w:rPr>
          <w:rFonts w:hint="default" w:ascii="Times New Roman" w:hAnsi="Times New Roman" w:cs="Times New Roman"/>
          <w:sz w:val="24"/>
        </w:rPr>
        <w:t>Overall, GPT-4-1106-preview achieved the best performance across most evaluated text- and table-based CPSP categories, with token-level F1-scores generally exceeding 0.90.</w:t>
      </w:r>
      <w:r>
        <w:rPr>
          <w:rFonts w:hint="default" w:ascii="Times New Roman" w:hAnsi="Times New Roman" w:cs="Times New Roman"/>
          <w:sz w:val="24"/>
          <w:lang w:val="en-US"/>
        </w:rPr>
        <w:t xml:space="preserve"> </w:t>
      </w:r>
      <w:r>
        <w:rPr>
          <w:rFonts w:hint="default" w:ascii="Times New Roman" w:hAnsi="Times New Roman" w:cs="Times New Roman"/>
          <w:sz w:val="24"/>
        </w:rPr>
        <w:t>Claude-3-Haiku and GPT-4o-mini showed competitive performance, whereas lightweight models such as Moonshot-v1-32k and Spark-4.0-Ultra exhibited noticeable degradation in semantically complex tasks, especially structure and strengthening-mechanism extraction.</w:t>
      </w:r>
      <w:r>
        <w:rPr>
          <w:rFonts w:hint="default" w:ascii="Times New Roman" w:hAnsi="Times New Roman" w:cs="Times New Roman"/>
          <w:sz w:val="24"/>
          <w:lang w:val="en-US"/>
        </w:rPr>
        <w:t xml:space="preserve"> </w:t>
      </w:r>
      <w:r>
        <w:rPr>
          <w:rFonts w:hint="default" w:ascii="Times New Roman" w:hAnsi="Times New Roman" w:cs="Times New Roman"/>
          <w:sz w:val="24"/>
        </w:rPr>
        <w:t>Across different metrics, precision tended to be higher than recall, indicating that most models were relatively conservative and more likely to omit relevant entities than to extract incorrect outputs.</w:t>
      </w:r>
      <w:r>
        <w:rPr>
          <w:rFonts w:hint="default" w:ascii="Times New Roman" w:hAnsi="Times New Roman" w:cs="Times New Roman"/>
          <w:sz w:val="24"/>
          <w:lang w:val="en-US"/>
        </w:rPr>
        <w:t xml:space="preserve"> </w:t>
      </w:r>
      <w:r>
        <w:rPr>
          <w:rFonts w:hint="default" w:ascii="Times New Roman" w:hAnsi="Times New Roman" w:cs="Times New Roman"/>
          <w:sz w:val="24"/>
        </w:rPr>
        <w:t>Therefore, variations in F1-score were primarily influenced by recall degradation in loosely structured textual contexts, such as mechanism descriptions and multi-step processing routes.</w:t>
      </w:r>
      <w:r>
        <w:rPr>
          <w:rFonts w:hint="default" w:ascii="Times New Roman" w:hAnsi="Times New Roman" w:cs="Times New Roman"/>
          <w:sz w:val="24"/>
          <w:lang w:val="en-US"/>
        </w:rPr>
        <w:t xml:space="preserve"> </w:t>
      </w:r>
      <w:r>
        <w:rPr>
          <w:rFonts w:hint="default" w:ascii="Times New Roman" w:hAnsi="Times New Roman" w:cs="Times New Roman"/>
          <w:sz w:val="24"/>
        </w:rPr>
        <w:t>BLEU showed larger fluctuations than token-level metrics, reflecting its sensitivity to wording variations and sequence-level structural differences in generated outputs.</w:t>
      </w:r>
      <w:r>
        <w:rPr>
          <w:rFonts w:hint="default" w:ascii="Times New Roman" w:hAnsi="Times New Roman" w:cs="Times New Roman"/>
          <w:sz w:val="24"/>
          <w:lang w:val="en-US"/>
        </w:rPr>
        <w:t xml:space="preserve"> </w:t>
      </w:r>
    </w:p>
    <w:p w14:paraId="06899DB5">
      <w:pPr>
        <w:pStyle w:val="17"/>
        <w:spacing w:before="120" w:beforeLines="50" w:line="360" w:lineRule="auto"/>
        <w:ind w:left="0" w:firstLine="0" w:firstLineChars="0"/>
        <w:rPr>
          <w:rFonts w:ascii="Times New Roman" w:hAnsi="Times New Roman" w:cs="Times New Roman"/>
          <w:sz w:val="24"/>
        </w:rPr>
      </w:pPr>
      <w:r>
        <w:rPr>
          <w:rFonts w:ascii="Times New Roman" w:hAnsi="Times New Roman" w:cs="Times New Roman"/>
          <w:sz w:val="24"/>
        </w:rPr>
        <w:t>Different CPSP categories also exhibited distinct extraction characteristics.</w:t>
      </w:r>
      <w:r>
        <w:rPr>
          <w:rFonts w:hint="default" w:ascii="Times New Roman" w:hAnsi="Times New Roman" w:cs="Times New Roman"/>
          <w:sz w:val="24"/>
          <w:lang w:val="en-US"/>
        </w:rPr>
        <w:t xml:space="preserve"> </w:t>
      </w:r>
      <w:r>
        <w:rPr>
          <w:rFonts w:hint="default" w:ascii="Times New Roman" w:hAnsi="Times New Roman" w:cs="Times New Roman"/>
          <w:sz w:val="24"/>
        </w:rPr>
        <w:t>Composition information achieved the highest overall performance because of its explicit numerical expressions, standardized alloy formulas, and elemental names.</w:t>
      </w:r>
      <w:r>
        <w:rPr>
          <w:rFonts w:hint="default" w:ascii="Times New Roman" w:hAnsi="Times New Roman" w:cs="Times New Roman"/>
          <w:sz w:val="24"/>
          <w:lang w:val="en-US"/>
        </w:rPr>
        <w:t xml:space="preserve"> </w:t>
      </w:r>
      <w:r>
        <w:rPr>
          <w:rFonts w:ascii="Times New Roman" w:hAnsi="Times New Roman" w:cs="Times New Roman"/>
          <w:sz w:val="24"/>
        </w:rPr>
        <w:t>Processing-related information maintained relatively high precision but comparatively lower recall, mainly owing to nested thermo-mechanical conditions and multi-step processing dependencies.</w:t>
      </w:r>
      <w:r>
        <w:rPr>
          <w:rFonts w:hint="default" w:ascii="Times New Roman" w:hAnsi="Times New Roman" w:cs="Times New Roman"/>
          <w:sz w:val="24"/>
          <w:lang w:val="en-US"/>
        </w:rPr>
        <w:t xml:space="preserve"> S</w:t>
      </w:r>
      <w:r>
        <w:rPr>
          <w:rFonts w:hint="default" w:ascii="Times New Roman" w:hAnsi="Times New Roman" w:cs="Times New Roman"/>
          <w:sz w:val="24"/>
        </w:rPr>
        <w:t>tructural and</w:t>
      </w:r>
      <w:r>
        <w:rPr>
          <w:rFonts w:hint="default" w:ascii="Times New Roman" w:hAnsi="Times New Roman" w:cs="Times New Roman"/>
          <w:sz w:val="24"/>
          <w:lang w:val="en-US"/>
        </w:rPr>
        <w:t xml:space="preserve"> </w:t>
      </w:r>
      <w:r>
        <w:rPr>
          <w:rFonts w:hint="default" w:ascii="Times New Roman" w:hAnsi="Times New Roman" w:cs="Times New Roman"/>
          <w:sz w:val="24"/>
        </w:rPr>
        <w:t>performance information exhibited larger inter-model differences because such descriptions often contain implicit semantic relationships, qualitative expressions, and diverse metallurgical terminology.</w:t>
      </w:r>
      <w:r>
        <w:rPr>
          <w:rFonts w:hint="default" w:ascii="Times New Roman" w:hAnsi="Times New Roman" w:cs="Times New Roman"/>
          <w:sz w:val="24"/>
          <w:lang w:val="en-US"/>
        </w:rPr>
        <w:t xml:space="preserve"> </w:t>
      </w:r>
      <w:r>
        <w:rPr>
          <w:rFonts w:hint="default" w:ascii="Times New Roman" w:hAnsi="Times New Roman" w:cs="Times New Roman"/>
          <w:sz w:val="24"/>
        </w:rPr>
        <w:t>Extraction of strengthening mechanisms showed significant variability among models, suggest</w:t>
      </w:r>
      <w:r>
        <w:rPr>
          <w:rFonts w:hint="default" w:ascii="Times New Roman" w:hAnsi="Times New Roman" w:cs="Times New Roman"/>
          <w:sz w:val="24"/>
          <w:lang w:val="en-US"/>
        </w:rPr>
        <w:t>-</w:t>
      </w:r>
      <w:r>
        <w:rPr>
          <w:rFonts w:hint="default" w:ascii="Times New Roman" w:hAnsi="Times New Roman" w:cs="Times New Roman"/>
          <w:sz w:val="24"/>
        </w:rPr>
        <w:t>ing that mechanism descriptions remain challenging for lightweight LLMs because of their highly abstract semantic characteristics.</w:t>
      </w:r>
      <w:r>
        <w:rPr>
          <w:rFonts w:hint="default" w:ascii="Times New Roman" w:hAnsi="Times New Roman" w:cs="Times New Roman"/>
          <w:sz w:val="24"/>
          <w:lang w:val="en-US"/>
        </w:rPr>
        <w:t xml:space="preserve"> </w:t>
      </w:r>
      <w:r>
        <w:rPr>
          <w:rFonts w:hint="default" w:ascii="Times New Roman" w:hAnsi="Times New Roman" w:cs="Times New Roman"/>
          <w:sz w:val="24"/>
        </w:rPr>
        <w:t>For tabular extraction, GPT-4-1106-preview and Claude-3-Haiku maintained high token-level accuracy and precision despite heterogeneous publisher-specific layouts and table structures.</w:t>
      </w:r>
      <w:r>
        <w:rPr>
          <w:rFonts w:hint="default" w:ascii="Times New Roman" w:hAnsi="Times New Roman" w:cs="Times New Roman"/>
          <w:sz w:val="24"/>
          <w:lang w:val="en-US"/>
        </w:rPr>
        <w:t xml:space="preserve"> </w:t>
      </w:r>
      <w:r>
        <w:rPr>
          <w:rFonts w:hint="default" w:ascii="Times New Roman" w:hAnsi="Times New Roman" w:cs="Times New Roman"/>
          <w:sz w:val="24"/>
        </w:rPr>
        <w:t>In contrast, lightweight models such as Spark-4.0-Ultra exhibited more pronounced performance degradation for irregular tables.</w:t>
      </w:r>
      <w:r>
        <w:rPr>
          <w:rFonts w:hint="default" w:ascii="Times New Roman" w:hAnsi="Times New Roman" w:cs="Times New Roman"/>
          <w:sz w:val="24"/>
          <w:lang w:val="en-US"/>
        </w:rPr>
        <w:t xml:space="preserve"> </w:t>
      </w:r>
      <w:r>
        <w:rPr>
          <w:rFonts w:hint="eastAsia" w:ascii="Times New Roman" w:hAnsi="Times New Roman" w:cs="Times New Roman"/>
          <w:sz w:val="24"/>
        </w:rPr>
        <w:t>Mor</w:t>
      </w:r>
      <w:r>
        <w:rPr>
          <w:rFonts w:ascii="Times New Roman" w:hAnsi="Times New Roman" w:cs="Times New Roman"/>
          <w:sz w:val="24"/>
        </w:rPr>
        <w:t>eover, recall degradation was still observed in tables containing omitted headers, and irregular merged structures, indicating that complex logical dependencies in tables remain a major source of extraction uncertainty.</w:t>
      </w:r>
      <w:r>
        <w:rPr>
          <w:rFonts w:ascii="Times New Roman" w:hAnsi="Times New Roman" w:cs="Times New Roman"/>
          <w:b/>
          <w:sz w:val="22"/>
          <w:szCs w:val="22"/>
        </w:rPr>
        <w:drawing>
          <wp:anchor distT="0" distB="0" distL="114300" distR="114300" simplePos="0" relativeHeight="251667456" behindDoc="0" locked="0" layoutInCell="1" allowOverlap="1">
            <wp:simplePos x="0" y="0"/>
            <wp:positionH relativeFrom="column">
              <wp:posOffset>-48895</wp:posOffset>
            </wp:positionH>
            <wp:positionV relativeFrom="paragraph">
              <wp:posOffset>520700</wp:posOffset>
            </wp:positionV>
            <wp:extent cx="6644640" cy="6612255"/>
            <wp:effectExtent l="0" t="0" r="10160" b="17145"/>
            <wp:wrapTopAndBottom/>
            <wp:docPr id="6" name="Picture 6" descr="绘图5_backup_1015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绘图5_backup_10153b"/>
                    <pic:cNvPicPr>
                      <a:picLocks noChangeAspect="1"/>
                    </pic:cNvPicPr>
                  </pic:nvPicPr>
                  <pic:blipFill>
                    <a:blip r:embed="rId10"/>
                    <a:stretch>
                      <a:fillRect/>
                    </a:stretch>
                  </pic:blipFill>
                  <pic:spPr>
                    <a:xfrm>
                      <a:off x="0" y="0"/>
                      <a:ext cx="6644640" cy="6612255"/>
                    </a:xfrm>
                    <a:prstGeom prst="rect">
                      <a:avLst/>
                    </a:prstGeom>
                  </pic:spPr>
                </pic:pic>
              </a:graphicData>
            </a:graphic>
          </wp:anchor>
        </w:drawing>
      </w:r>
    </w:p>
    <w:p w14:paraId="5FBD0DD5">
      <w:pPr>
        <w:pStyle w:val="17"/>
        <w:widowControl/>
        <w:spacing w:before="120" w:beforeLines="50" w:line="360" w:lineRule="auto"/>
        <w:ind w:left="0" w:firstLine="0" w:firstLineChars="0"/>
        <w:rPr>
          <w:rFonts w:ascii="Times New Roman" w:hAnsi="Times New Roman" w:cs="Times New Roman"/>
          <w:sz w:val="24"/>
        </w:rPr>
      </w:pPr>
      <w:r>
        <w:rPr>
          <w:rFonts w:hint="default" w:ascii="Times New Roman Bold" w:hAnsi="Times New Roman Bold" w:cs="Times New Roman Bold"/>
          <w:b/>
          <w:bCs/>
          <w:sz w:val="24"/>
        </w:rPr>
        <w:t>Fig. 5 Benchmark evaluation of LLMs for text- and table-based CPSP extraction and VLMs for scientific figure categorization.</w:t>
      </w:r>
      <w:r>
        <w:rPr>
          <w:rFonts w:hint="eastAsia" w:ascii="Times New Roman Bold" w:hAnsi="Times New Roman Bold" w:cs="Times New Roman Bold"/>
          <w:b/>
          <w:bCs/>
          <w:sz w:val="24"/>
        </w:rPr>
        <w:t>(</w:t>
      </w:r>
      <w:r>
        <w:rPr>
          <w:rFonts w:ascii="Times New Roman" w:hAnsi="Times New Roman" w:cs="Times New Roman"/>
          <w:sz w:val="24"/>
        </w:rPr>
        <w:t>A-F</w:t>
      </w:r>
      <w:r>
        <w:rPr>
          <w:rFonts w:hint="eastAsia" w:ascii="Times New Roman" w:hAnsi="Times New Roman" w:cs="Times New Roman"/>
          <w:sz w:val="24"/>
        </w:rPr>
        <w:t>) Heatmap comparison of text- and table-based</w:t>
      </w:r>
      <w:r>
        <w:rPr>
          <w:rFonts w:ascii="Times New Roman" w:hAnsi="Times New Roman" w:cs="Times New Roman"/>
          <w:sz w:val="24"/>
        </w:rPr>
        <w:t xml:space="preserve"> </w:t>
      </w:r>
      <w:r>
        <w:rPr>
          <w:rFonts w:hint="eastAsia" w:ascii="Times New Roman" w:hAnsi="Times New Roman" w:cs="Times New Roman"/>
          <w:sz w:val="24"/>
        </w:rPr>
        <w:t xml:space="preserve">extraction performance across six CPSP-related categories, including composition, processing, structure, performance, strengthening mechanism, and </w:t>
      </w:r>
      <w:r>
        <w:rPr>
          <w:rFonts w:hint="eastAsia" w:ascii="Times New Roman" w:hAnsi="Times New Roman" w:cs="Times New Roman" w:eastAsiaTheme="minorEastAsia"/>
          <w:kern w:val="2"/>
          <w:sz w:val="24"/>
        </w:rPr>
        <w:t>tabular information.</w:t>
      </w:r>
      <w:r>
        <w:rPr>
          <w:rFonts w:hint="default" w:ascii="Times New Roman" w:hAnsi="Times New Roman" w:cs="Times New Roman"/>
          <w:kern w:val="2"/>
          <w:sz w:val="24"/>
          <w:lang w:val="en-US"/>
        </w:rPr>
        <w:t xml:space="preserve"> </w:t>
      </w:r>
      <w:r>
        <w:rPr>
          <w:rFonts w:hint="eastAsia" w:ascii="Times New Roman" w:hAnsi="Times New Roman" w:cs="Times New Roman"/>
          <w:sz w:val="24"/>
        </w:rPr>
        <w:t>(G) Overall categorization performance of representative VLMs for literature figure understanding.</w:t>
      </w:r>
      <w:r>
        <w:rPr>
          <w:rFonts w:hint="default" w:ascii="Times New Roman" w:hAnsi="Times New Roman" w:cs="Times New Roman"/>
          <w:sz w:val="24"/>
          <w:lang w:val="en-US"/>
        </w:rPr>
        <w:t xml:space="preserve"> </w:t>
      </w:r>
      <w:r>
        <w:rPr>
          <w:rFonts w:hint="eastAsia" w:ascii="Times New Roman" w:hAnsi="Times New Roman" w:cs="Times New Roman"/>
          <w:sz w:val="24"/>
        </w:rPr>
        <w:t>(H</w:t>
      </w:r>
      <w:r>
        <w:rPr>
          <w:rFonts w:hint="default" w:ascii="Times New Roman" w:hAnsi="Times New Roman" w:cs="Times New Roman"/>
          <w:sz w:val="24"/>
          <w:lang w:val="en-US"/>
        </w:rPr>
        <w:t>-</w:t>
      </w:r>
      <w:r>
        <w:rPr>
          <w:rFonts w:hint="eastAsia" w:ascii="Times New Roman" w:hAnsi="Times New Roman" w:cs="Times New Roman"/>
          <w:sz w:val="24"/>
        </w:rPr>
        <w:t>L) Category-level evaluation of VLM-based figure categorization tasks, including microstructural images (SEM, TEM, EBSD, OM), diffraction patterns (XRD plots and SAED patterns), schematic mechanism diagrams, statistical plots (histograms, bar charts, and box plots), and performance curves (line charts and stress</w:t>
      </w:r>
      <w:r>
        <w:rPr>
          <w:rFonts w:hint="eastAsia" w:ascii="Times New Roman" w:hAnsi="Times New Roman" w:cs="Times New Roman"/>
          <w:sz w:val="24"/>
          <w:lang w:val="en-US" w:eastAsia="zh-CN"/>
        </w:rPr>
        <w:t>-</w:t>
      </w:r>
      <w:r>
        <w:rPr>
          <w:rFonts w:hint="eastAsia" w:ascii="Times New Roman" w:hAnsi="Times New Roman" w:cs="Times New Roman"/>
          <w:sz w:val="24"/>
        </w:rPr>
        <w:t>strain/hardening curves).</w:t>
      </w:r>
      <w:r>
        <w:rPr>
          <w:rFonts w:hint="eastAsia" w:ascii="Times New Roman" w:hAnsi="Times New Roman" w:cs="Times New Roman"/>
          <w:sz w:val="24"/>
          <w:lang w:val="en-US" w:eastAsia="zh-CN"/>
        </w:rPr>
        <w:t xml:space="preserve"> </w:t>
      </w:r>
    </w:p>
    <w:p w14:paraId="07BE2DB0">
      <w:pPr>
        <w:pStyle w:val="17"/>
        <w:spacing w:before="120" w:beforeLines="50" w:line="360" w:lineRule="auto"/>
        <w:ind w:left="0" w:firstLine="0" w:firstLineChars="0"/>
        <w:rPr>
          <w:rFonts w:ascii="Times New Roman" w:hAnsi="Times New Roman" w:cs="Times New Roman"/>
          <w:sz w:val="24"/>
        </w:rPr>
      </w:pPr>
    </w:p>
    <w:p w14:paraId="5C33FD96">
      <w:pPr>
        <w:pStyle w:val="17"/>
        <w:widowControl/>
        <w:spacing w:before="120" w:beforeLines="50" w:line="360" w:lineRule="auto"/>
        <w:ind w:left="0" w:firstLine="480" w:firstLineChars="200"/>
        <w:rPr>
          <w:rFonts w:ascii="Times New Roman" w:hAnsi="Times New Roman" w:cs="Times New Roman"/>
          <w:sz w:val="24"/>
        </w:rPr>
      </w:pPr>
      <w:r>
        <w:rPr>
          <w:rFonts w:ascii="Times New Roman" w:hAnsi="Times New Roman" w:cs="Times New Roman"/>
          <w:sz w:val="24"/>
        </w:rPr>
        <w:t>Beyond textual and tabular modalities, VLM-based evaluation was conducted for literature image understanding. As shown in Fig. 5(G), most VLMs achieved overall accuracies above 0.90, indicating robust capability in coarse-grained scientific image categorization. However, fine-grained results in Fig. 5(H-L) reveal clear modality-dependent differences. Microstructural images, including scanning electron micro-scopy (SEM), transmission electron microscopy (TEM), electron back-scatter diffraction (EBSD), and optical microscopy (OM) images, showed relatively balanced accuracy, precision, recall, and F1-score, mainly because their texture, morphology, and contrast features are visually distinctive. Statistical plots (histograms, bar charts, scatter plots, box plots) and performance curves (line charts, stress-strain/hardening curves) also achieved stable extraction performance, as their axes, legends, markers, and curve shapes provide regular graphical cues for recognition. In contrast, diffraction-pattern-related tasks, including X-ray diffraction (XRD) plots and selected area electron diffraction (SAED) patterns, exhibited the significant performance fluctuations, with recall often lower than precision. This is mainly because diffraction patterns usually occupy relatively small regions within literature figures and frequently co-exist with SEM/TEM microstructural images, making their visual boundaries and semantic categories more difficult for VLMs to distinguish accurately. Schematic diagrams also showed moderate instability because they often combine arrows, labels, process routes, and symbolic illustrations, requiring higher semantic reasoning rather than simple visual pattern recognition. Overall, image extraction performance is strongly influenced by the visual characteristics and semantic abstraction of different figure types. The</w:t>
      </w:r>
      <w:r>
        <w:rPr>
          <w:rFonts w:hint="default" w:ascii="Times New Roman" w:hAnsi="Times New Roman" w:cs="Times New Roman"/>
          <w:sz w:val="24"/>
          <w:lang w:val="en-US"/>
        </w:rPr>
        <w:t xml:space="preserve"> </w:t>
      </w:r>
      <w:r>
        <w:rPr>
          <w:rFonts w:ascii="Times New Roman" w:hAnsi="Times New Roman" w:cs="Times New Roman"/>
          <w:sz w:val="24"/>
        </w:rPr>
        <w:t>results demonstrate the feasibility of multi-modal CPSP knowledge reconstruction from large-scale materials literature while revealing clear performance variations across different models and modalities.</w:t>
      </w:r>
    </w:p>
    <w:p w14:paraId="1D07BC01">
      <w:pPr>
        <w:pStyle w:val="3"/>
        <w:rPr>
          <w:rFonts w:hint="default" w:ascii="Times New Roman" w:hAnsi="Times New Roman"/>
          <w:kern w:val="2"/>
          <w:sz w:val="24"/>
          <w:szCs w:val="24"/>
        </w:rPr>
      </w:pPr>
      <w:r>
        <w:rPr>
          <w:rFonts w:hint="default" w:ascii="Times New Roman" w:hAnsi="Times New Roman" w:eastAsiaTheme="minorEastAsia"/>
          <w:bCs w:val="0"/>
          <w:kern w:val="2"/>
          <w:sz w:val="22"/>
          <w:szCs w:val="22"/>
        </w:rPr>
        <w:t>5. Downstream Validation: Rapid Data-Driven Copper Alloy Design Enabled by ML</w:t>
      </w:r>
    </w:p>
    <w:p w14:paraId="4CC42AC9">
      <w:pPr>
        <w:pStyle w:val="2"/>
        <w:rPr>
          <w:rFonts w:hint="default" w:ascii="Times New Roman" w:hAnsi="Times New Roman" w:eastAsiaTheme="minorEastAsia"/>
          <w:bCs w:val="0"/>
          <w:kern w:val="2"/>
          <w:sz w:val="22"/>
          <w:szCs w:val="22"/>
        </w:rPr>
      </w:pPr>
      <w:r>
        <w:rPr>
          <w:rFonts w:hint="default" w:ascii="Times New Roman" w:hAnsi="Times New Roman" w:eastAsiaTheme="minorEastAsia"/>
          <w:bCs w:val="0"/>
          <w:kern w:val="2"/>
          <w:sz w:val="22"/>
          <w:szCs w:val="22"/>
        </w:rPr>
        <w:t>5.1 Data-Driven Feature Engineering and Multi-objective Prediction of Copper Alloys</w:t>
      </w:r>
    </w:p>
    <w:p w14:paraId="339F6025">
      <w:pPr>
        <w:widowControl/>
        <w:spacing w:line="360" w:lineRule="auto"/>
        <w:ind w:firstLine="0" w:firstLineChars="0"/>
        <w:rPr>
          <w:rFonts w:hint="default" w:ascii="Times New Roman" w:hAnsi="Times New Roman" w:cs="Times New Roman"/>
          <w:sz w:val="24"/>
          <w:lang w:val="en-US"/>
        </w:rPr>
      </w:pPr>
      <w:r>
        <w:rPr>
          <w:rFonts w:ascii="Times New Roman" w:hAnsi="Times New Roman" w:cs="Times New Roman" w:eastAsiaTheme="minorEastAsia"/>
          <w:i w:val="0"/>
          <w:iCs w:val="0"/>
          <w:caps w:val="0"/>
          <w:spacing w:val="0"/>
          <w:kern w:val="2"/>
          <w:sz w:val="24"/>
          <w:szCs w:val="24"/>
          <w:shd w:val="clear"/>
          <w:vertAlign w:val="baseline"/>
          <w:lang w:val="en-US" w:eastAsia="zh-CN" w:bidi="ar-SA"/>
        </w:rPr>
        <w:t>To evaluate the applicability of the reconstructed CPSP resources for data-driven copper alloy design, 3,358 CPSP records were selected from 9,284 ML-ready data chains by retaining samples with comparable thermo-mechanical processing histories following the route of “Solution → Quenching → Deformation → Aging → Secondary TMP → Secondary Aging” across representative Cu–Ni–Si- and Cu–Cr-based alloy systems.</w:t>
      </w:r>
      <w:r>
        <w:rPr>
          <w:rFonts w:hint="default" w:ascii="Times New Roman" w:hAnsi="Times New Roman" w:cs="Times New Roman"/>
          <w:i w:val="0"/>
          <w:iCs w:val="0"/>
          <w:caps w:val="0"/>
          <w:spacing w:val="0"/>
          <w:kern w:val="2"/>
          <w:sz w:val="24"/>
          <w:szCs w:val="24"/>
          <w:shd w:val="clear"/>
          <w:vertAlign w:val="baseline"/>
          <w:lang w:val="en-US" w:eastAsia="zh-CN" w:bidi="ar-SA"/>
        </w:rPr>
        <w:t xml:space="preserve"> </w:t>
      </w:r>
      <w:r>
        <w:rPr>
          <w:rFonts w:hint="default" w:ascii="Times New Roman" w:hAnsi="Times New Roman" w:cs="Times New Roman" w:eastAsiaTheme="minorEastAsia"/>
          <w:i w:val="0"/>
          <w:iCs w:val="0"/>
          <w:caps w:val="0"/>
          <w:spacing w:val="0"/>
          <w:kern w:val="2"/>
          <w:sz w:val="24"/>
          <w:szCs w:val="24"/>
          <w:shd w:val="clear"/>
          <w:vertAlign w:val="baseline"/>
          <w:lang w:val="en-US" w:eastAsia="zh-CN" w:bidi="ar-SA"/>
        </w:rPr>
        <w:t xml:space="preserve">Based on these data, multi-objective machine-learning </w:t>
      </w:r>
      <w:r>
        <w:rPr>
          <w:rFonts w:hint="default" w:ascii="Times New Roman" w:hAnsi="Times New Roman" w:cs="Times New Roman"/>
          <w:i w:val="0"/>
          <w:iCs w:val="0"/>
          <w:caps w:val="0"/>
          <w:spacing w:val="0"/>
          <w:kern w:val="2"/>
          <w:sz w:val="24"/>
          <w:szCs w:val="24"/>
          <w:shd w:val="clear"/>
          <w:vertAlign w:val="baseline"/>
          <w:lang w:val="en-US" w:eastAsia="zh-CN" w:bidi="ar-SA"/>
        </w:rPr>
        <w:t>(ML)</w:t>
      </w:r>
      <w:r>
        <w:rPr>
          <w:rFonts w:hint="default" w:ascii="Times New Roman" w:hAnsi="Times New Roman" w:cs="Times New Roman" w:eastAsiaTheme="minorEastAsia"/>
          <w:i w:val="0"/>
          <w:iCs w:val="0"/>
          <w:caps w:val="0"/>
          <w:spacing w:val="0"/>
          <w:kern w:val="2"/>
          <w:sz w:val="24"/>
          <w:szCs w:val="24"/>
          <w:shd w:val="clear"/>
          <w:vertAlign w:val="baseline"/>
          <w:lang w:val="en-US" w:eastAsia="zh-CN" w:bidi="ar-SA"/>
        </w:rPr>
        <w:t xml:space="preserve">models were developed for hardness, electrical conductivity and Q3-Euclidean prediction, while </w:t>
      </w:r>
      <w:r>
        <w:rPr>
          <w:rFonts w:hint="default" w:ascii="Times New Roman" w:hAnsi="Times New Roman" w:cs="Times New Roman"/>
          <w:i w:val="0"/>
          <w:iCs w:val="0"/>
          <w:caps w:val="0"/>
          <w:spacing w:val="0"/>
          <w:kern w:val="2"/>
          <w:sz w:val="24"/>
          <w:szCs w:val="24"/>
          <w:shd w:val="clear"/>
          <w:vertAlign w:val="baseline"/>
          <w:lang w:val="en-US" w:eastAsia="zh-CN" w:bidi="ar-SA"/>
        </w:rPr>
        <w:t xml:space="preserve">the </w:t>
      </w:r>
      <w:r>
        <w:rPr>
          <w:rFonts w:hint="default" w:ascii="Times New Roman" w:hAnsi="Times New Roman" w:cs="Times New Roman" w:eastAsiaTheme="minorEastAsia"/>
          <w:i w:val="0"/>
          <w:iCs w:val="0"/>
          <w:caps w:val="0"/>
          <w:spacing w:val="0"/>
          <w:kern w:val="2"/>
          <w:sz w:val="24"/>
          <w:szCs w:val="24"/>
          <w:shd w:val="clear"/>
          <w:vertAlign w:val="baseline"/>
          <w:lang w:val="en-US" w:eastAsia="zh-CN" w:bidi="ar-SA"/>
        </w:rPr>
        <w:t>CPSP-oriented feature engineering workflow was employed to identify key descriptors governing composition–processing–structure–p</w:t>
      </w:r>
      <w:r>
        <w:rPr>
          <w:rFonts w:hint="default" w:ascii="Times New Roman" w:hAnsi="Times New Roman" w:cs="Times New Roman"/>
          <w:i w:val="0"/>
          <w:iCs w:val="0"/>
          <w:caps w:val="0"/>
          <w:spacing w:val="0"/>
          <w:kern w:val="2"/>
          <w:sz w:val="24"/>
          <w:szCs w:val="24"/>
          <w:shd w:val="clear"/>
          <w:vertAlign w:val="baseline"/>
          <w:lang w:val="en-US" w:eastAsia="zh-CN" w:bidi="ar-SA"/>
        </w:rPr>
        <w:t>erformance</w:t>
      </w:r>
      <w:r>
        <w:rPr>
          <w:rFonts w:hint="default" w:ascii="Times New Roman" w:hAnsi="Times New Roman" w:cs="Times New Roman" w:eastAsiaTheme="minorEastAsia"/>
          <w:i w:val="0"/>
          <w:iCs w:val="0"/>
          <w:caps w:val="0"/>
          <w:spacing w:val="0"/>
          <w:kern w:val="2"/>
          <w:sz w:val="24"/>
          <w:szCs w:val="24"/>
          <w:shd w:val="clear"/>
          <w:vertAlign w:val="baseline"/>
          <w:lang w:val="en-US" w:eastAsia="zh-CN" w:bidi="ar-SA"/>
        </w:rPr>
        <w:t xml:space="preserve"> relationships. The dataset was randomly divided into training and testing subsets using an 8:2 ratio, with the testing set reserved for independent evaluation.</w:t>
      </w:r>
      <w:r>
        <w:rPr>
          <w:rFonts w:hint="default" w:ascii="Times New Roman" w:hAnsi="Times New Roman" w:cs="Times New Roman"/>
          <w:i w:val="0"/>
          <w:iCs w:val="0"/>
          <w:caps w:val="0"/>
          <w:spacing w:val="0"/>
          <w:kern w:val="2"/>
          <w:sz w:val="24"/>
          <w:szCs w:val="24"/>
          <w:shd w:val="clear"/>
          <w:vertAlign w:val="baseline"/>
          <w:lang w:val="en-US" w:eastAsia="zh-CN" w:bidi="ar-SA"/>
        </w:rPr>
        <w:t xml:space="preserve"> </w:t>
      </w:r>
      <w:r>
        <w:rPr>
          <w:rFonts w:hint="default" w:ascii="Times New Roman" w:hAnsi="Times New Roman" w:cs="Times New Roman" w:eastAsiaTheme="minorEastAsia"/>
          <w:bCs w:val="0"/>
          <w:kern w:val="2"/>
          <w:sz w:val="24"/>
          <w:szCs w:val="24"/>
          <w:lang w:val="en-US"/>
        </w:rPr>
        <w:t>Within the feature engineering stage, a three-step CPSP-oriented feature screening strategy consisting of correlation filtering, permutation-importance refinement, and combinational optimization was employed to identify key factors governing multi-objective properties in these copper alloy systems [4,40].</w:t>
      </w:r>
      <w:r>
        <w:rPr>
          <w:rFonts w:hint="default" w:ascii="Times New Roman" w:hAnsi="Times New Roman" w:cs="Times New Roman"/>
          <w:bCs w:val="0"/>
          <w:kern w:val="2"/>
          <w:sz w:val="24"/>
          <w:szCs w:val="24"/>
          <w:lang w:val="en-US"/>
        </w:rPr>
        <w:t xml:space="preserve"> </w:t>
      </w:r>
      <w:r>
        <w:rPr>
          <w:rFonts w:hint="default" w:ascii="Times New Roman" w:hAnsi="Times New Roman" w:cs="Times New Roman" w:eastAsiaTheme="minorEastAsia"/>
          <w:bCs w:val="0"/>
          <w:kern w:val="2"/>
          <w:sz w:val="24"/>
          <w:szCs w:val="24"/>
          <w:lang w:val="en-US"/>
        </w:rPr>
        <w:t>As shown in Fig. 6A–6C, Pearson correlation analysis was first performed on the training set to identify features correlated with the target properties from composition-, thermodynamic-, processing-, and physicochemical-related feature spaces, while excluding weakly relevant and redundant variables.</w:t>
      </w:r>
      <w:r>
        <w:rPr>
          <w:rFonts w:hint="default" w:ascii="Times New Roman" w:hAnsi="Times New Roman" w:cs="Times New Roman"/>
          <w:bCs w:val="0"/>
          <w:kern w:val="2"/>
          <w:sz w:val="24"/>
          <w:szCs w:val="24"/>
          <w:lang w:val="en-US"/>
        </w:rPr>
        <w:t xml:space="preserve"> </w:t>
      </w:r>
      <w:r>
        <w:rPr>
          <w:rFonts w:hint="default" w:ascii="Times New Roman" w:hAnsi="Times New Roman" w:cs="Times New Roman"/>
          <w:sz w:val="24"/>
        </w:rPr>
        <w:t>Subsequently, recursive feature refinement based on permutation importance and statistical contribution analysis was applied within training set to iteratively eliminate low-contribution features and construct more compact and representative feature subsets (Fig. 6D–6F).</w:t>
      </w:r>
      <w:r>
        <w:rPr>
          <w:rFonts w:hint="default" w:ascii="Times New Roman" w:hAnsi="Times New Roman" w:cs="Times New Roman"/>
          <w:sz w:val="24"/>
          <w:lang w:val="en-US"/>
        </w:rPr>
        <w:t xml:space="preserve"> </w:t>
      </w:r>
      <w:r>
        <w:rPr>
          <w:rFonts w:hint="default" w:ascii="Times New Roman" w:hAnsi="Times New Roman" w:cs="Times New Roman"/>
          <w:sz w:val="24"/>
        </w:rPr>
        <w:t>Finally, exhaustive combinational searches were performed over the remaining feature subsets to determine the optimal feature combinations by minimizing cross-validation prediction errors within the training set (Fig. 6G–6I).</w:t>
      </w:r>
      <w:r>
        <w:rPr>
          <w:rFonts w:hint="default" w:ascii="Times New Roman" w:hAnsi="Times New Roman" w:cs="Times New Roman"/>
          <w:sz w:val="24"/>
          <w:lang w:val="en-US"/>
        </w:rPr>
        <w:t xml:space="preserve"> Feature engineering results reveal pronounced target-dependent heterogeneity in CPSP relationships, which is further supported by the SHAP analyses shown in Fig. 7A–C. Hardness is mainly governed by deformation-related parameters, Ni/Si ratio, and precipitation-associated thermodynamic descriptors, highlighting the importance of precipitation evolution and microstructural regulation. In contrast, electrical conductivity is more strongly influenced by aging conditions, elemental concentrations, and electron-scattering-related descriptors, reflecting the effects of solute depletion and phase stability on electron transport. As a coupled metric integrating hardness and conductivity, the Q3-Euclidean index is governed by a broader combination of compositional, processing, and thermodynamic features, indicating that balanced performance arises from coupled CPSP interactions rather than a single controlling factor.</w:t>
      </w:r>
    </w:p>
    <w:p w14:paraId="56ECE2EC">
      <w:pPr>
        <w:widowControl/>
        <w:spacing w:line="360" w:lineRule="auto"/>
        <w:ind w:firstLine="0" w:firstLineChars="0"/>
        <w:rPr>
          <w:rFonts w:hint="default" w:ascii="Times New Roman" w:hAnsi="Times New Roman" w:cs="Times New Roman"/>
          <w:sz w:val="24"/>
          <w:lang w:val="en-US"/>
        </w:rPr>
      </w:pPr>
    </w:p>
    <w:p w14:paraId="1727DE82">
      <w:pPr>
        <w:spacing w:line="360" w:lineRule="auto"/>
        <w:rPr>
          <w:rFonts w:hint="eastAsia" w:ascii="Times New Roman" w:hAnsi="Times New Roman" w:cs="Times New Roman" w:eastAsiaTheme="minorEastAsia"/>
          <w:kern w:val="2"/>
          <w:sz w:val="24"/>
        </w:rPr>
      </w:pPr>
      <w:r>
        <w:rPr>
          <w:rFonts w:hint="default" w:ascii="Times New Roman Bold" w:hAnsi="Times New Roman Bold" w:cs="Times New Roman Bold"/>
          <w:b/>
          <w:bCs/>
          <w:sz w:val="24"/>
        </w:rPr>
        <w:drawing>
          <wp:anchor distT="0" distB="0" distL="114300" distR="114300" simplePos="0" relativeHeight="251668480" behindDoc="0" locked="0" layoutInCell="1" allowOverlap="1">
            <wp:simplePos x="0" y="0"/>
            <wp:positionH relativeFrom="column">
              <wp:posOffset>34290</wp:posOffset>
            </wp:positionH>
            <wp:positionV relativeFrom="paragraph">
              <wp:posOffset>61595</wp:posOffset>
            </wp:positionV>
            <wp:extent cx="6579870" cy="4692650"/>
            <wp:effectExtent l="0" t="0" r="24130" b="6350"/>
            <wp:wrapTopAndBottom/>
            <wp:docPr id="9" name="Picture 9" descr="绘图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绘图13"/>
                    <pic:cNvPicPr>
                      <a:picLocks noChangeAspect="1"/>
                    </pic:cNvPicPr>
                  </pic:nvPicPr>
                  <pic:blipFill>
                    <a:blip r:embed="rId11"/>
                    <a:stretch>
                      <a:fillRect/>
                    </a:stretch>
                  </pic:blipFill>
                  <pic:spPr>
                    <a:xfrm>
                      <a:off x="0" y="0"/>
                      <a:ext cx="6579870" cy="4692650"/>
                    </a:xfrm>
                    <a:prstGeom prst="rect">
                      <a:avLst/>
                    </a:prstGeom>
                  </pic:spPr>
                </pic:pic>
              </a:graphicData>
            </a:graphic>
          </wp:anchor>
        </w:drawing>
      </w:r>
      <w:r>
        <w:rPr>
          <w:rFonts w:hint="default" w:ascii="Times New Roman Bold" w:hAnsi="Times New Roman Bold" w:cs="Times New Roman Bold"/>
          <w:b/>
          <w:bCs/>
          <w:sz w:val="24"/>
          <w:szCs w:val="24"/>
        </w:rPr>
        <w:t xml:space="preserve">Fig.6. </w:t>
      </w:r>
      <w:r>
        <w:rPr>
          <w:rFonts w:hint="default" w:ascii="Times New Roman Bold" w:hAnsi="Times New Roman Bold" w:cs="Times New Roman Bold"/>
          <w:b/>
          <w:bCs/>
          <w:sz w:val="24"/>
        </w:rPr>
        <w:t>Three-step CPSP-oriented feature selection strategy for downstream machine learning.</w:t>
      </w:r>
      <w:r>
        <w:rPr>
          <w:rFonts w:hint="default" w:ascii="Times New Roman Bold" w:hAnsi="Times New Roman Bold" w:cs="Times New Roman Bold"/>
          <w:b/>
          <w:bCs/>
          <w:sz w:val="24"/>
          <w:lang w:val="en-US"/>
        </w:rPr>
        <w:t xml:space="preserve"> </w:t>
      </w:r>
      <w:r>
        <w:rPr>
          <w:rFonts w:hint="eastAsia" w:ascii="Times New Roman" w:hAnsi="Times New Roman" w:cs="Times New Roman"/>
          <w:sz w:val="24"/>
        </w:rPr>
        <w:t>(A</w:t>
      </w:r>
      <w:r>
        <w:rPr>
          <w:rFonts w:hint="default" w:ascii="Times New Roman" w:hAnsi="Times New Roman" w:cs="Times New Roman"/>
          <w:sz w:val="24"/>
          <w:lang w:val="en-US"/>
        </w:rPr>
        <w:t>-</w:t>
      </w:r>
      <w:r>
        <w:rPr>
          <w:rFonts w:hint="eastAsia" w:ascii="Times New Roman" w:hAnsi="Times New Roman" w:cs="Times New Roman"/>
          <w:sz w:val="24"/>
        </w:rPr>
        <w:t>C) Pearson correlation filtering for Q3-Euclidean, hardness, and electrical conductivity, performed on the training set to remove weakly correlated or redundant featur</w:t>
      </w:r>
      <w:r>
        <w:rPr>
          <w:rFonts w:hint="eastAsia" w:ascii="Times New Roman" w:hAnsi="Times New Roman" w:cs="Times New Roman"/>
          <w:b w:val="0"/>
          <w:bCs w:val="0"/>
          <w:sz w:val="24"/>
        </w:rPr>
        <w:t>es.</w:t>
      </w:r>
      <w:r>
        <w:rPr>
          <w:rFonts w:hint="eastAsia" w:ascii="Times New Roman" w:hAnsi="Times New Roman" w:cs="Times New Roman"/>
          <w:b w:val="0"/>
          <w:bCs w:val="0"/>
          <w:sz w:val="24"/>
          <w:lang w:val="en-US"/>
        </w:rPr>
        <w:t xml:space="preserve"> </w:t>
      </w:r>
      <w:r>
        <w:rPr>
          <w:rFonts w:hint="eastAsia" w:ascii="Times New Roman" w:hAnsi="Times New Roman" w:cs="Times New Roman"/>
          <w:b w:val="0"/>
          <w:bCs w:val="0"/>
          <w:sz w:val="24"/>
          <w:szCs w:val="24"/>
        </w:rPr>
        <w:t xml:space="preserve">(D-F) </w:t>
      </w:r>
      <w:r>
        <w:rPr>
          <w:rFonts w:hint="eastAsia" w:ascii="Times New Roman" w:hAnsi="Times New Roman" w:cs="Times New Roman" w:eastAsiaTheme="minorEastAsia"/>
          <w:b w:val="0"/>
          <w:bCs w:val="0"/>
          <w:kern w:val="2"/>
          <w:sz w:val="24"/>
        </w:rPr>
        <w:t>Permutation-importance-based recursive feature refinement for identifying key descriptors associated with each target property. (G</w:t>
      </w:r>
      <w:r>
        <w:rPr>
          <w:rFonts w:hint="eastAsia" w:ascii="Times New Roman" w:hAnsi="Times New Roman" w:cs="Times New Roman"/>
          <w:b w:val="0"/>
          <w:bCs w:val="0"/>
          <w:kern w:val="2"/>
          <w:sz w:val="24"/>
          <w:lang w:val="en-US"/>
        </w:rPr>
        <w:t>-</w:t>
      </w:r>
      <w:r>
        <w:rPr>
          <w:rFonts w:hint="eastAsia" w:ascii="Times New Roman" w:hAnsi="Times New Roman" w:cs="Times New Roman" w:eastAsiaTheme="minorEastAsia"/>
          <w:b w:val="0"/>
          <w:bCs w:val="0"/>
          <w:kern w:val="2"/>
          <w:sz w:val="24"/>
        </w:rPr>
        <w:t>I) Exhaustive search of the remaining feature combinations, showing the variation of mean absolute error (MAE) with feature subset size and the resulting optimal feature subsets.</w:t>
      </w:r>
    </w:p>
    <w:p w14:paraId="298C4BBC">
      <w:pPr>
        <w:widowControl/>
        <w:spacing w:line="360" w:lineRule="auto"/>
        <w:ind w:firstLine="0" w:firstLineChars="0"/>
        <w:rPr>
          <w:rFonts w:hint="default" w:ascii="Times New Roman" w:hAnsi="Times New Roman" w:cs="Times New Roman"/>
          <w:sz w:val="24"/>
          <w:lang w:val="en-US"/>
        </w:rPr>
      </w:pPr>
    </w:p>
    <w:p w14:paraId="1898381E">
      <w:pPr>
        <w:spacing w:line="360" w:lineRule="auto"/>
        <w:ind w:firstLine="480" w:firstLineChars="200"/>
      </w:pPr>
      <w:r>
        <w:rPr>
          <w:rFonts w:hint="default" w:ascii="Times New Roman" w:hAnsi="Times New Roman" w:cs="Times New Roman"/>
          <w:sz w:val="24"/>
          <w:lang w:val="en-US"/>
        </w:rPr>
        <w:t>Based on the optimized feature subsets, model performance was further evaluated across representative Cu–Ni–Si–Al–Cr–Mg, Cu–Cr, Cu–Cr–Ni–Si, and Cu–Ni–Si alloy systems. As shown in Fig. 7D–7R, the proposed CPSP-oriented framework achieved generally good predictive performance for hardness, electrical conductivity, and Q3-Euclidean, although noticeable variations remained among different alloy systems and target properties. For hardness, most models achieved high accuracy with small training–testing gaps, demonstrating good predictive stability, especially for Cu-Cr and Cu-Cr-Ni-Si datasets. Larger deviations were observed for Cu-Ni-Si and Cu-Ni-Si-Al-Cr-Mg systems. Electrical conductivity generally achieved lower MAE values and more consistent prediction performance across different datasets,</w:t>
      </w:r>
      <w:r>
        <w:rPr>
          <w:rFonts w:ascii="Times New Roman" w:hAnsi="Times New Roman" w:cs="Times New Roman"/>
          <w:sz w:val="24"/>
        </w:rPr>
        <w:t xml:space="preserve"> whereas Q3-Euclidean prediction showed greater variability among models and alloy systems, highlighting the increased complexity of simultaneously optimizing hardness and electrical conductivity</w:t>
      </w:r>
    </w:p>
    <w:p w14:paraId="7D5EE0D6">
      <w:pPr>
        <w:pStyle w:val="17"/>
        <w:spacing w:before="120" w:beforeLines="50" w:line="360" w:lineRule="auto"/>
        <w:ind w:left="0"/>
        <w:rPr>
          <w:rFonts w:hint="default" w:ascii="Times New Roman Bold" w:hAnsi="Times New Roman Bold" w:cs="Times New Roman Bold"/>
          <w:b/>
          <w:bCs/>
          <w:sz w:val="24"/>
        </w:rPr>
      </w:pPr>
      <w:r>
        <w:rPr>
          <w:rFonts w:ascii="Times New Roman Bold" w:hAnsi="Times New Roman Bold" w:cs="Times New Roman Bold"/>
          <w:b/>
          <w:bCs/>
          <w:sz w:val="24"/>
        </w:rPr>
        <w:drawing>
          <wp:anchor distT="0" distB="0" distL="114300" distR="114300" simplePos="0" relativeHeight="251664384" behindDoc="0" locked="0" layoutInCell="1" allowOverlap="1">
            <wp:simplePos x="0" y="0"/>
            <wp:positionH relativeFrom="column">
              <wp:posOffset>120015</wp:posOffset>
            </wp:positionH>
            <wp:positionV relativeFrom="paragraph">
              <wp:posOffset>169545</wp:posOffset>
            </wp:positionV>
            <wp:extent cx="6473825" cy="5067935"/>
            <wp:effectExtent l="0" t="0" r="3175" b="12065"/>
            <wp:wrapTopAndBottom/>
            <wp:docPr id="5" name="Picture 5" descr="绘图5_backup_1015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绘图5_backup_10153b"/>
                    <pic:cNvPicPr>
                      <a:picLocks noChangeAspect="1"/>
                    </pic:cNvPicPr>
                  </pic:nvPicPr>
                  <pic:blipFill>
                    <a:blip r:embed="rId12"/>
                    <a:stretch>
                      <a:fillRect/>
                    </a:stretch>
                  </pic:blipFill>
                  <pic:spPr>
                    <a:xfrm>
                      <a:off x="0" y="0"/>
                      <a:ext cx="6473825" cy="5067935"/>
                    </a:xfrm>
                    <a:prstGeom prst="rect">
                      <a:avLst/>
                    </a:prstGeom>
                  </pic:spPr>
                </pic:pic>
              </a:graphicData>
            </a:graphic>
          </wp:anchor>
        </w:drawing>
      </w:r>
      <w:r>
        <w:rPr>
          <w:rFonts w:hint="default" w:ascii="Times New Roman Bold" w:hAnsi="Times New Roman Bold" w:cs="Times New Roman Bold"/>
          <w:b/>
          <w:bCs/>
          <w:sz w:val="24"/>
        </w:rPr>
        <w:t xml:space="preserve">Fig. 7. SHAP feature interpretation and </w:t>
      </w:r>
      <w:r>
        <w:rPr>
          <w:rFonts w:hint="default" w:ascii="Times New Roman Bold" w:hAnsi="Times New Roman Bold" w:cs="Times New Roman Bold"/>
          <w:b/>
          <w:bCs/>
          <w:sz w:val="24"/>
          <w:lang w:val="en-US"/>
        </w:rPr>
        <w:t>ML</w:t>
      </w:r>
      <w:r>
        <w:rPr>
          <w:rFonts w:hint="default" w:ascii="Times New Roman Bold" w:hAnsi="Times New Roman Bold" w:cs="Times New Roman Bold"/>
          <w:b/>
          <w:bCs/>
          <w:sz w:val="24"/>
        </w:rPr>
        <w:t xml:space="preserve"> prediction performance for representative copper alloy systems.</w:t>
      </w:r>
      <w:r>
        <w:rPr>
          <w:rFonts w:hint="default" w:ascii="Times New Roman Bold" w:hAnsi="Times New Roman Bold" w:cs="Times New Roman Bold"/>
          <w:b/>
          <w:bCs/>
          <w:sz w:val="24"/>
          <w:lang w:val="en-US"/>
        </w:rPr>
        <w:t xml:space="preserve"> </w:t>
      </w:r>
      <w:r>
        <w:rPr>
          <w:rFonts w:hint="default" w:ascii="Times New Roman" w:hAnsi="Times New Roman" w:cs="Times New Roman"/>
          <w:b w:val="0"/>
          <w:bCs w:val="0"/>
          <w:sz w:val="24"/>
        </w:rPr>
        <w:t>(A–C) SHAP feature importance analysis for hardness, electrical conductivity, and Q3-Euclidean. (D–F) Prediction accuracy of different machine-learning models across Cu–Ni–Si–Al–Cr–Mg, Cu–Cr, Cu–Cr–Ni–Si, and Cu–Ni–Si datasets using an 80:20 train–test split. (G–R) Mean absolute error (MAE) comparison for hardness, electrical conductivity, and Q3-Euclidean prediction across different alloy systems and models.</w:t>
      </w:r>
    </w:p>
    <w:p w14:paraId="292A4E42">
      <w:pPr>
        <w:pStyle w:val="17"/>
        <w:spacing w:before="120" w:beforeLines="50" w:line="360" w:lineRule="auto"/>
        <w:ind w:left="0"/>
        <w:rPr>
          <w:rFonts w:hint="default" w:ascii="Times New Roman Bold" w:hAnsi="Times New Roman Bold" w:cs="Times New Roman Bold"/>
          <w:b/>
          <w:bCs/>
          <w:sz w:val="24"/>
        </w:rPr>
      </w:pPr>
    </w:p>
    <w:p w14:paraId="2DCA97ED">
      <w:pPr>
        <w:pStyle w:val="17"/>
        <w:spacing w:before="120" w:beforeLines="50" w:line="360" w:lineRule="auto"/>
        <w:ind w:left="0"/>
        <w:rPr>
          <w:rFonts w:ascii="Times New Roman" w:hAnsi="Times New Roman" w:cs="Times New Roman"/>
          <w:sz w:val="24"/>
          <w:highlight w:val="none"/>
        </w:rPr>
      </w:pPr>
      <w:r>
        <w:rPr>
          <w:rFonts w:ascii="Times New Roman" w:hAnsi="Times New Roman" w:cs="Times New Roman"/>
          <w:b/>
          <w:sz w:val="22"/>
          <w:szCs w:val="22"/>
          <w:highlight w:val="none"/>
        </w:rPr>
        <w:t>5.2 CPSP-Guided Experimental Validation and Microstructural Mechanism Analysis</w:t>
      </w:r>
    </w:p>
    <w:p w14:paraId="5D1B2865">
      <w:pPr>
        <w:pStyle w:val="14"/>
        <w:spacing w:beforeAutospacing="0" w:afterAutospacing="0" w:line="360" w:lineRule="auto"/>
        <w:ind w:firstLine="480" w:firstLineChars="200"/>
        <w:jc w:val="both"/>
        <w:rPr>
          <w:rFonts w:hint="eastAsia" w:eastAsia="SimSun"/>
          <w:lang w:val="en-US" w:eastAsia="zh-CN"/>
        </w:rPr>
      </w:pPr>
      <w:r>
        <w:rPr>
          <w:rFonts w:hint="default"/>
        </w:rPr>
        <w:t>Representative Cu–Ni–Si–Cr alloys optimized through the CPSP-guided machine-learning framework were experimentally fabricated and systematically characterized.</w:t>
      </w:r>
      <w:r>
        <w:rPr>
          <w:rFonts w:hint="eastAsia"/>
          <w:lang w:val="en-US" w:eastAsia="zh-CN"/>
        </w:rPr>
        <w:t xml:space="preserve"> As shown in Fig. 8A</w:t>
      </w:r>
      <w:r>
        <w:rPr>
          <w:rFonts w:hint="default"/>
        </w:rPr>
        <w:t>–</w:t>
      </w:r>
      <w:r>
        <w:rPr>
          <w:rFonts w:hint="eastAsia"/>
          <w:lang w:val="en-US" w:eastAsia="zh-CN"/>
        </w:rPr>
        <w:t>B, both optimized Cu</w:t>
      </w:r>
      <w:r>
        <w:rPr>
          <w:rFonts w:hint="default"/>
        </w:rPr>
        <w:t>–</w:t>
      </w:r>
      <w:r>
        <w:rPr>
          <w:rFonts w:hint="eastAsia"/>
          <w:lang w:val="en-US" w:eastAsia="zh-CN"/>
        </w:rPr>
        <w:t>Ni</w:t>
      </w:r>
      <w:r>
        <w:rPr>
          <w:rFonts w:hint="default"/>
        </w:rPr>
        <w:t>–</w:t>
      </w:r>
      <w:r>
        <w:rPr>
          <w:rFonts w:hint="eastAsia"/>
          <w:lang w:val="en-US" w:eastAsia="zh-CN"/>
        </w:rPr>
        <w:t>Si</w:t>
      </w:r>
      <w:r>
        <w:rPr>
          <w:rFonts w:hint="default"/>
        </w:rPr>
        <w:t>–</w:t>
      </w:r>
      <w:r>
        <w:rPr>
          <w:rFonts w:hint="eastAsia"/>
          <w:lang w:val="en-US" w:eastAsia="zh-CN"/>
        </w:rPr>
        <w:t xml:space="preserve">Cr alloys exhibited typical precipitation-hardening behavior during aging treatment. At 450 </w:t>
      </w:r>
      <w:r>
        <w:t>°C</w:t>
      </w:r>
      <w:r>
        <w:rPr>
          <w:rFonts w:hint="eastAsia"/>
          <w:lang w:val="en-US" w:eastAsia="zh-CN"/>
        </w:rPr>
        <w:t xml:space="preserve">, hardness increased gradually without obvious over-aging-induced softening, indicating relatively sluggish precipitation kinetics. When the aging temperature increased to 460 </w:t>
      </w:r>
      <w:r>
        <w:t>°C</w:t>
      </w:r>
      <w:r>
        <w:rPr>
          <w:rFonts w:hint="eastAsia"/>
          <w:lang w:val="en-US" w:eastAsia="zh-CN"/>
        </w:rPr>
        <w:t>, a typical peak-aging response was observed, with hardness rapidly increasing to a maximum at approximately 20</w:t>
      </w:r>
      <w:r>
        <w:rPr>
          <w:rFonts w:hint="default"/>
        </w:rPr>
        <w:t>–</w:t>
      </w:r>
      <w:r>
        <w:rPr>
          <w:rFonts w:hint="eastAsia"/>
          <w:lang w:val="en-US" w:eastAsia="zh-CN"/>
        </w:rPr>
        <w:t xml:space="preserve">30 min before gradually decreasing. </w:t>
      </w:r>
      <w:r>
        <w:rPr>
          <w:rFonts w:hint="default"/>
        </w:rPr>
        <w:t>Further increasing the temperature to 475 °C significantly accelerated both hardening and over-aging due to enhanced precipitate nucleation, growth, and coarsening kinetics.</w:t>
      </w:r>
      <w:r>
        <w:rPr>
          <w:rFonts w:hint="eastAsia"/>
          <w:lang w:val="en-US" w:eastAsia="zh-CN"/>
        </w:rPr>
        <w:t xml:space="preserve"> </w:t>
      </w:r>
      <w:r>
        <w:rPr>
          <w:rFonts w:hint="default"/>
        </w:rPr>
        <w:t>Meanwhile, electrical conductivity continuously increased with aging time under all aging conditions, mainly owing to the</w:t>
      </w:r>
      <w:r>
        <w:rPr>
          <w:rFonts w:hint="eastAsia"/>
          <w:lang w:val="en-US" w:eastAsia="zh-CN"/>
        </w:rPr>
        <w:t xml:space="preserve"> </w:t>
      </w:r>
      <w:r>
        <w:rPr>
          <w:rFonts w:hint="default"/>
        </w:rPr>
        <w:t>depleti</w:t>
      </w:r>
      <w:r>
        <w:rPr>
          <w:rFonts w:hint="eastAsia"/>
          <w:lang w:val="en-US" w:eastAsia="zh-CN"/>
        </w:rPr>
        <w:t>-</w:t>
      </w:r>
    </w:p>
    <w:p w14:paraId="7DAD1A9E">
      <w:pPr>
        <w:pStyle w:val="14"/>
        <w:spacing w:beforeAutospacing="0" w:afterAutospacing="0" w:line="360" w:lineRule="auto"/>
        <w:ind w:firstLine="0" w:firstLineChars="0"/>
        <w:jc w:val="both"/>
      </w:pPr>
      <w:r>
        <w:rPr>
          <w:rFonts w:hint="default"/>
        </w:rPr>
        <w:t>on</w:t>
      </w:r>
      <w:r>
        <w:rPr>
          <w:rFonts w:hint="eastAsia"/>
          <w:lang w:val="en-US" w:eastAsia="zh-CN"/>
        </w:rPr>
        <w:t xml:space="preserve"> </w:t>
      </w:r>
      <w:r>
        <w:rPr>
          <w:rFonts w:hint="default"/>
        </w:rPr>
        <w:t>o</w:t>
      </w:r>
      <w:r>
        <w:rPr>
          <w:rFonts w:hint="eastAsia"/>
          <w:lang w:val="en-US" w:eastAsia="zh-CN"/>
        </w:rPr>
        <w:t>f</w:t>
      </w:r>
      <w:r>
        <w:rPr>
          <w:rFonts w:hint="default"/>
        </w:rPr>
        <w:t xml:space="preserve"> supersaturated solute atoms from the Cu matrix during precipitation.</w:t>
      </w:r>
    </w:p>
    <w:p w14:paraId="31A0BAB4">
      <w:pPr>
        <w:pStyle w:val="14"/>
        <w:spacing w:beforeAutospacing="0" w:afterAutospacing="0" w:line="360" w:lineRule="auto"/>
        <w:ind w:firstLine="480" w:firstLineChars="200"/>
        <w:jc w:val="both"/>
        <w:rPr>
          <w:rFonts w:hint="default"/>
        </w:rPr>
      </w:pPr>
      <w:r>
        <w:rPr>
          <w:rFonts w:hint="default"/>
        </w:rPr>
        <w:t>As shown in Table 2, under the optimized peak-aged condition of 460 °C for approximately 20–30 min, the Cu–5.8Ni–0.95Si–0.12Cr alloy achieved 369 HV, 23.81 %IACS, 1097 MPa tensile strength, and ~5% elongation.</w:t>
      </w:r>
      <w:r>
        <w:rPr>
          <w:rFonts w:hint="eastAsia"/>
          <w:lang w:val="en-US" w:eastAsia="zh-CN"/>
        </w:rPr>
        <w:t xml:space="preserve"> </w:t>
      </w:r>
      <w:r>
        <w:rPr>
          <w:rFonts w:hint="default"/>
        </w:rPr>
        <w:t>The Cu–5Ni–1.5Si–0.25Cr alloy exhibited further improved properties, reaching 375</w:t>
      </w:r>
      <w:r>
        <w:rPr>
          <w:rFonts w:hint="eastAsia"/>
          <w:lang w:val="en-US" w:eastAsia="zh-CN"/>
        </w:rPr>
        <w:t xml:space="preserve"> </w:t>
      </w:r>
      <w:r>
        <w:rPr>
          <w:rFonts w:hint="default"/>
        </w:rPr>
        <w:t>HV, 25.27 %IACS, 1133 MPa tensile strength, and ~8% elongation.The corresponding prediction results showed good agreement with the experimental measurements, with hardness prediction errors remaining within ~6% and electrical conductivity prediction errors of 4.75% and 13.37% , for the Cu–5.8Ni–0.95Si–0.12Cr and Cu–5Ni–1.5Si–0.25Cr alloys, respectively.</w:t>
      </w:r>
      <w:r>
        <w:rPr>
          <w:rFonts w:hint="default"/>
          <w:lang w:val="en-US"/>
        </w:rPr>
        <w:t xml:space="preserve"> </w:t>
      </w:r>
      <w:r>
        <w:rPr>
          <w:rFonts w:hint="default"/>
        </w:rPr>
        <w:t xml:space="preserve">The larger deviation in electrical conductivity can be attributed to its stronger sensitivity to microstructure-dependent electron-scattering sources, such as residual solute atoms, precipitate distribution, dislocation density, and interfacial structures, which are difficult to fully describe using current CPSP </w:t>
      </w:r>
      <w:r>
        <w:rPr>
          <w:rFonts w:hint="default"/>
          <w:lang w:val="en-US"/>
        </w:rPr>
        <w:t>framework</w:t>
      </w:r>
      <w:r>
        <w:rPr>
          <w:rFonts w:hint="default"/>
        </w:rPr>
        <w:t xml:space="preserve"> [2,28–29].</w:t>
      </w:r>
      <w:r>
        <w:rPr>
          <w:rFonts w:hint="eastAsia"/>
          <w:lang w:val="en-US" w:eastAsia="zh-CN"/>
        </w:rPr>
        <w:t xml:space="preserve"> </w:t>
      </w:r>
      <w:r>
        <w:rPr>
          <w:rFonts w:hint="default"/>
          <w:lang w:val="en-US"/>
        </w:rPr>
        <w:t>T</w:t>
      </w:r>
      <w:r>
        <w:rPr>
          <w:rFonts w:hint="default"/>
        </w:rPr>
        <w:t>he engineering stress–strain curves in Fig. 8C demonstrate the favorable strength–conductivity–ductility balance of the optimized alloys.</w:t>
      </w:r>
      <w:r>
        <w:rPr>
          <w:rFonts w:hint="default"/>
          <w:lang w:val="en-US"/>
        </w:rPr>
        <w:t xml:space="preserve"> </w:t>
      </w:r>
      <w:r>
        <w:rPr>
          <w:rFonts w:hint="default"/>
        </w:rPr>
        <w:t>Compared with Cu–5.8Ni–0.95Si–0.12Cr, Cu–5Ni–1.5Si–0.25Cr</w:t>
      </w:r>
      <w:r>
        <w:rPr>
          <w:rFonts w:hint="eastAsia"/>
          <w:lang w:val="en-US" w:eastAsia="zh-CN"/>
        </w:rPr>
        <w:t xml:space="preserve"> </w:t>
      </w:r>
      <w:r>
        <w:rPr>
          <w:rFonts w:hint="default"/>
        </w:rPr>
        <w:t>exhibited simultaneously improved strength and ductility,</w:t>
      </w:r>
      <w:r>
        <w:rPr>
          <w:rFonts w:hint="default"/>
          <w:lang w:val="en-US"/>
        </w:rPr>
        <w:t xml:space="preserve"> </w:t>
      </w:r>
      <w:r>
        <w:rPr>
          <w:rFonts w:hint="default"/>
        </w:rPr>
        <w:t>which can be attributed to its optimized precipitation state and Ni/Si ratio.</w:t>
      </w:r>
    </w:p>
    <w:p w14:paraId="489BE491">
      <w:pPr>
        <w:spacing w:before="120" w:beforeLines="50" w:line="360" w:lineRule="auto"/>
        <w:jc w:val="center"/>
        <w:rPr>
          <w:rFonts w:ascii="Times New Roman Bold" w:hAnsi="Times New Roman Bold" w:cs="Times New Roman Bold"/>
          <w:b/>
          <w:bCs/>
          <w:sz w:val="22"/>
          <w:szCs w:val="22"/>
        </w:rPr>
      </w:pPr>
      <w:r>
        <w:rPr>
          <w:rFonts w:ascii="Times New Roman Bold" w:hAnsi="Times New Roman Bold" w:cs="Times New Roman Bold"/>
          <w:b/>
          <w:bCs/>
          <w:sz w:val="24"/>
        </w:rPr>
        <w:t xml:space="preserve">Table 2 </w:t>
      </w:r>
      <w:r>
        <w:rPr>
          <w:rFonts w:ascii="Times New Roman Bold" w:hAnsi="Times New Roman Bold" w:cs="Times New Roman Bold"/>
          <w:b/>
          <w:bCs/>
          <w:sz w:val="22"/>
          <w:szCs w:val="22"/>
        </w:rPr>
        <w:t>Experimental validation of experimental and predicted properties of peak-aged Cu alloys</w:t>
      </w:r>
    </w:p>
    <w:tbl>
      <w:tblPr>
        <w:tblStyle w:val="16"/>
        <w:tblW w:w="102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08"/>
        <w:gridCol w:w="2768"/>
        <w:gridCol w:w="1482"/>
        <w:gridCol w:w="1482"/>
        <w:gridCol w:w="1482"/>
        <w:gridCol w:w="1482"/>
      </w:tblGrid>
      <w:tr w14:paraId="75E8B80F">
        <w:trPr>
          <w:trHeight w:val="333" w:hRule="atLeast"/>
        </w:trPr>
        <w:tc>
          <w:tcPr>
            <w:tcW w:w="1508" w:type="dxa"/>
            <w:vMerge w:val="restart"/>
            <w:tcBorders>
              <w:top w:val="single" w:color="auto" w:sz="12" w:space="0"/>
            </w:tcBorders>
            <w:noWrap/>
            <w:vAlign w:val="center"/>
          </w:tcPr>
          <w:p w14:paraId="1F9C7973">
            <w:pPr>
              <w:jc w:val="center"/>
              <w:rPr>
                <w:rFonts w:ascii="Times New Roman" w:hAnsi="Times New Roman" w:cs="Times New Roman"/>
                <w:sz w:val="24"/>
              </w:rPr>
            </w:pPr>
            <w:r>
              <w:rPr>
                <w:rFonts w:ascii="Times New Roman" w:hAnsi="Times New Roman" w:cs="Times New Roman"/>
                <w:sz w:val="24"/>
              </w:rPr>
              <w:t>Alloy</w:t>
            </w:r>
          </w:p>
        </w:tc>
        <w:tc>
          <w:tcPr>
            <w:tcW w:w="2768" w:type="dxa"/>
            <w:vMerge w:val="restart"/>
            <w:tcBorders>
              <w:top w:val="single" w:color="auto" w:sz="12" w:space="0"/>
            </w:tcBorders>
            <w:noWrap/>
            <w:vAlign w:val="center"/>
          </w:tcPr>
          <w:p w14:paraId="50EC0466">
            <w:pPr>
              <w:jc w:val="center"/>
              <w:rPr>
                <w:rFonts w:ascii="Times New Roman" w:hAnsi="Times New Roman" w:cs="Times New Roman"/>
                <w:sz w:val="24"/>
              </w:rPr>
            </w:pPr>
            <w:r>
              <w:rPr>
                <w:rFonts w:ascii="Times New Roman" w:hAnsi="Times New Roman" w:cs="Times New Roman"/>
                <w:sz w:val="24"/>
              </w:rPr>
              <w:t xml:space="preserve">Processing-Route </w:t>
            </w:r>
          </w:p>
        </w:tc>
        <w:tc>
          <w:tcPr>
            <w:tcW w:w="2964" w:type="dxa"/>
            <w:gridSpan w:val="2"/>
            <w:tcBorders>
              <w:top w:val="single" w:color="auto" w:sz="12" w:space="0"/>
            </w:tcBorders>
            <w:vAlign w:val="center"/>
          </w:tcPr>
          <w:p w14:paraId="09718BCF">
            <w:pPr>
              <w:jc w:val="center"/>
              <w:rPr>
                <w:rFonts w:ascii="Times New Roman" w:hAnsi="Times New Roman" w:cs="Times New Roman"/>
                <w:sz w:val="24"/>
              </w:rPr>
            </w:pPr>
            <w:r>
              <w:rPr>
                <w:rFonts w:hint="eastAsia" w:ascii="Times New Roman" w:hAnsi="Times New Roman" w:cs="Times New Roman"/>
                <w:sz w:val="24"/>
              </w:rPr>
              <w:t>Experiment</w:t>
            </w:r>
            <w:r>
              <w:rPr>
                <w:rFonts w:ascii="Times New Roman" w:hAnsi="Times New Roman" w:cs="Times New Roman"/>
                <w:sz w:val="24"/>
              </w:rPr>
              <w:t>al Value</w:t>
            </w:r>
          </w:p>
          <w:p w14:paraId="640D3400">
            <w:pPr>
              <w:jc w:val="center"/>
              <w:rPr>
                <w:rFonts w:ascii="Times New Roman" w:hAnsi="Times New Roman" w:cs="Times New Roman"/>
                <w:sz w:val="24"/>
              </w:rPr>
            </w:pPr>
            <w:r>
              <w:rPr>
                <w:rFonts w:ascii="Times New Roman" w:hAnsi="Times New Roman" w:cs="Times New Roman"/>
                <w:sz w:val="24"/>
              </w:rPr>
              <w:t>(Peak-Aged State)</w:t>
            </w:r>
          </w:p>
        </w:tc>
        <w:tc>
          <w:tcPr>
            <w:tcW w:w="2964" w:type="dxa"/>
            <w:gridSpan w:val="2"/>
            <w:tcBorders>
              <w:top w:val="single" w:color="auto" w:sz="12" w:space="0"/>
            </w:tcBorders>
            <w:vAlign w:val="center"/>
          </w:tcPr>
          <w:p w14:paraId="6990DFDB">
            <w:pPr>
              <w:jc w:val="center"/>
              <w:rPr>
                <w:rFonts w:ascii="Times New Roman" w:hAnsi="Times New Roman" w:cs="Times New Roman"/>
                <w:sz w:val="24"/>
              </w:rPr>
            </w:pPr>
            <w:r>
              <w:rPr>
                <w:rFonts w:hint="eastAsia" w:ascii="Times New Roman" w:hAnsi="Times New Roman" w:cs="Times New Roman"/>
                <w:sz w:val="24"/>
              </w:rPr>
              <w:t>Predict</w:t>
            </w:r>
            <w:r>
              <w:rPr>
                <w:rFonts w:ascii="Times New Roman" w:hAnsi="Times New Roman" w:cs="Times New Roman"/>
                <w:sz w:val="24"/>
              </w:rPr>
              <w:t>ion (Error %)</w:t>
            </w:r>
          </w:p>
        </w:tc>
      </w:tr>
      <w:tr w14:paraId="0F81D9F3">
        <w:trPr>
          <w:trHeight w:val="312" w:hRule="atLeast"/>
        </w:trPr>
        <w:tc>
          <w:tcPr>
            <w:tcW w:w="1508" w:type="dxa"/>
            <w:vMerge w:val="continue"/>
            <w:tcBorders>
              <w:bottom w:val="single" w:color="auto" w:sz="12" w:space="0"/>
            </w:tcBorders>
            <w:noWrap/>
            <w:vAlign w:val="center"/>
          </w:tcPr>
          <w:p w14:paraId="7BEA200A">
            <w:pPr>
              <w:jc w:val="center"/>
              <w:rPr>
                <w:rFonts w:ascii="Times New Roman" w:hAnsi="Times New Roman" w:cs="Times New Roman"/>
                <w:sz w:val="24"/>
              </w:rPr>
            </w:pPr>
          </w:p>
        </w:tc>
        <w:tc>
          <w:tcPr>
            <w:tcW w:w="2768" w:type="dxa"/>
            <w:vMerge w:val="continue"/>
            <w:tcBorders>
              <w:bottom w:val="single" w:color="auto" w:sz="12" w:space="0"/>
            </w:tcBorders>
            <w:noWrap/>
            <w:vAlign w:val="center"/>
          </w:tcPr>
          <w:p w14:paraId="5FDC24EE">
            <w:pPr>
              <w:jc w:val="center"/>
              <w:rPr>
                <w:rFonts w:ascii="Times New Roman" w:hAnsi="Times New Roman" w:cs="Times New Roman"/>
                <w:sz w:val="24"/>
              </w:rPr>
            </w:pPr>
          </w:p>
        </w:tc>
        <w:tc>
          <w:tcPr>
            <w:tcW w:w="1482" w:type="dxa"/>
            <w:tcBorders>
              <w:bottom w:val="single" w:color="auto" w:sz="12" w:space="0"/>
            </w:tcBorders>
            <w:vAlign w:val="center"/>
          </w:tcPr>
          <w:p w14:paraId="1B819DB3">
            <w:pPr>
              <w:jc w:val="center"/>
              <w:rPr>
                <w:rFonts w:ascii="Times New Roman" w:hAnsi="Times New Roman" w:cs="Times New Roman"/>
                <w:sz w:val="24"/>
              </w:rPr>
            </w:pPr>
            <w:r>
              <w:rPr>
                <w:rFonts w:ascii="Times New Roman" w:hAnsi="Times New Roman" w:cs="Times New Roman"/>
                <w:sz w:val="24"/>
              </w:rPr>
              <w:t>Hardness</w:t>
            </w:r>
          </w:p>
          <w:p w14:paraId="568B8A55">
            <w:pPr>
              <w:jc w:val="center"/>
              <w:rPr>
                <w:rFonts w:ascii="Times New Roman" w:hAnsi="Times New Roman" w:cs="Times New Roman"/>
                <w:sz w:val="24"/>
              </w:rPr>
            </w:pPr>
            <w:r>
              <w:rPr>
                <w:rFonts w:ascii="Times New Roman" w:hAnsi="Times New Roman" w:cs="Times New Roman"/>
                <w:sz w:val="24"/>
              </w:rPr>
              <w:t>/HV</w:t>
            </w:r>
          </w:p>
        </w:tc>
        <w:tc>
          <w:tcPr>
            <w:tcW w:w="1482" w:type="dxa"/>
            <w:tcBorders>
              <w:bottom w:val="single" w:color="auto" w:sz="12" w:space="0"/>
            </w:tcBorders>
            <w:vAlign w:val="center"/>
          </w:tcPr>
          <w:p w14:paraId="4246C275">
            <w:pPr>
              <w:jc w:val="center"/>
              <w:rPr>
                <w:rFonts w:ascii="Times New Roman" w:hAnsi="Times New Roman" w:cs="Times New Roman"/>
                <w:sz w:val="24"/>
              </w:rPr>
            </w:pPr>
            <w:r>
              <w:rPr>
                <w:rFonts w:ascii="Times New Roman" w:hAnsi="Times New Roman" w:cs="Times New Roman"/>
                <w:sz w:val="24"/>
              </w:rPr>
              <w:t>Electricial Conductivity</w:t>
            </w:r>
          </w:p>
          <w:p w14:paraId="2F9EEBB4">
            <w:pPr>
              <w:jc w:val="center"/>
              <w:rPr>
                <w:rFonts w:ascii="Times New Roman" w:hAnsi="Times New Roman" w:cs="Times New Roman"/>
                <w:sz w:val="24"/>
              </w:rPr>
            </w:pPr>
            <w:r>
              <w:rPr>
                <w:rFonts w:ascii="Times New Roman" w:hAnsi="Times New Roman" w:cs="Times New Roman"/>
                <w:sz w:val="24"/>
              </w:rPr>
              <w:t>/%IACS</w:t>
            </w:r>
          </w:p>
        </w:tc>
        <w:tc>
          <w:tcPr>
            <w:tcW w:w="1482" w:type="dxa"/>
            <w:tcBorders>
              <w:bottom w:val="single" w:color="auto" w:sz="12" w:space="0"/>
            </w:tcBorders>
            <w:vAlign w:val="center"/>
          </w:tcPr>
          <w:p w14:paraId="7EC53320">
            <w:pPr>
              <w:jc w:val="center"/>
              <w:rPr>
                <w:rFonts w:ascii="Times New Roman" w:hAnsi="Times New Roman" w:cs="Times New Roman"/>
                <w:sz w:val="24"/>
              </w:rPr>
            </w:pPr>
            <w:r>
              <w:rPr>
                <w:rFonts w:ascii="Times New Roman" w:hAnsi="Times New Roman" w:cs="Times New Roman"/>
                <w:sz w:val="24"/>
              </w:rPr>
              <w:t>Hardness</w:t>
            </w:r>
          </w:p>
          <w:p w14:paraId="6E47518D">
            <w:pPr>
              <w:jc w:val="center"/>
              <w:rPr>
                <w:rFonts w:ascii="Times New Roman" w:hAnsi="Times New Roman" w:cs="Times New Roman"/>
                <w:sz w:val="24"/>
              </w:rPr>
            </w:pPr>
            <w:r>
              <w:rPr>
                <w:rFonts w:ascii="Times New Roman" w:hAnsi="Times New Roman" w:cs="Times New Roman"/>
                <w:sz w:val="24"/>
              </w:rPr>
              <w:t>/HV</w:t>
            </w:r>
          </w:p>
        </w:tc>
        <w:tc>
          <w:tcPr>
            <w:tcW w:w="1482" w:type="dxa"/>
            <w:tcBorders>
              <w:bottom w:val="single" w:color="auto" w:sz="12" w:space="0"/>
            </w:tcBorders>
            <w:vAlign w:val="center"/>
          </w:tcPr>
          <w:p w14:paraId="41108309">
            <w:pPr>
              <w:jc w:val="center"/>
              <w:rPr>
                <w:rFonts w:ascii="Times New Roman" w:hAnsi="Times New Roman" w:cs="Times New Roman"/>
                <w:sz w:val="24"/>
              </w:rPr>
            </w:pPr>
            <w:r>
              <w:rPr>
                <w:rFonts w:ascii="Times New Roman" w:hAnsi="Times New Roman" w:cs="Times New Roman"/>
                <w:sz w:val="24"/>
              </w:rPr>
              <w:t>Electricial Conductivity</w:t>
            </w:r>
          </w:p>
          <w:p w14:paraId="317FD101">
            <w:pPr>
              <w:jc w:val="center"/>
              <w:rPr>
                <w:rFonts w:ascii="Times New Roman" w:hAnsi="Times New Roman" w:cs="Times New Roman"/>
                <w:sz w:val="24"/>
              </w:rPr>
            </w:pPr>
            <w:r>
              <w:rPr>
                <w:rFonts w:ascii="Times New Roman" w:hAnsi="Times New Roman" w:cs="Times New Roman"/>
                <w:sz w:val="24"/>
              </w:rPr>
              <w:t>/%IACS</w:t>
            </w:r>
          </w:p>
        </w:tc>
      </w:tr>
      <w:tr w14:paraId="11F9C0E4">
        <w:trPr>
          <w:trHeight w:val="345" w:hRule="atLeast"/>
        </w:trPr>
        <w:tc>
          <w:tcPr>
            <w:tcW w:w="1508" w:type="dxa"/>
            <w:tcBorders>
              <w:top w:val="single" w:color="auto" w:sz="12" w:space="0"/>
            </w:tcBorders>
            <w:noWrap/>
            <w:vAlign w:val="center"/>
          </w:tcPr>
          <w:p w14:paraId="0392F6CE">
            <w:pPr>
              <w:jc w:val="center"/>
              <w:rPr>
                <w:rFonts w:ascii="Times New Roman" w:hAnsi="Times New Roman" w:cs="Times New Roman"/>
                <w:sz w:val="24"/>
              </w:rPr>
            </w:pPr>
            <w:r>
              <w:rPr>
                <w:rFonts w:ascii="Times New Roman" w:hAnsi="Times New Roman" w:cs="Times New Roman"/>
                <w:sz w:val="24"/>
              </w:rPr>
              <w:t>Cu-5.8Ni-0.9Si-0.12Cr</w:t>
            </w:r>
          </w:p>
        </w:tc>
        <w:tc>
          <w:tcPr>
            <w:tcW w:w="2768" w:type="dxa"/>
            <w:tcBorders>
              <w:top w:val="single" w:color="auto" w:sz="12" w:space="0"/>
            </w:tcBorders>
            <w:noWrap/>
            <w:vAlign w:val="center"/>
          </w:tcPr>
          <w:p w14:paraId="3812E0CD">
            <w:pPr>
              <w:widowControl/>
              <w:jc w:val="center"/>
              <w:rPr>
                <w:rFonts w:ascii="Times New Roman" w:hAnsi="Times New Roman" w:cs="Times New Roman"/>
                <w:sz w:val="24"/>
              </w:rPr>
            </w:pPr>
            <w:r>
              <w:rPr>
                <w:rFonts w:ascii="Times New Roman" w:hAnsi="Times New Roman" w:cs="Times New Roman"/>
                <w:sz w:val="24"/>
              </w:rPr>
              <w:t xml:space="preserve">Homo 960℃/4h → HR 80% → ST 980℃/4h → CR 50% → Aging </w:t>
            </w:r>
          </w:p>
        </w:tc>
        <w:tc>
          <w:tcPr>
            <w:tcW w:w="1482" w:type="dxa"/>
            <w:tcBorders>
              <w:top w:val="single" w:color="auto" w:sz="12" w:space="0"/>
            </w:tcBorders>
            <w:vAlign w:val="center"/>
          </w:tcPr>
          <w:p w14:paraId="4746F981">
            <w:pPr>
              <w:jc w:val="center"/>
              <w:rPr>
                <w:rFonts w:ascii="Times New Roman" w:hAnsi="Times New Roman" w:cs="Times New Roman"/>
                <w:sz w:val="24"/>
              </w:rPr>
            </w:pPr>
            <w:r>
              <w:rPr>
                <w:rFonts w:ascii="Times New Roman" w:hAnsi="Times New Roman" w:cs="Times New Roman"/>
                <w:sz w:val="24"/>
              </w:rPr>
              <w:t>369</w:t>
            </w:r>
          </w:p>
        </w:tc>
        <w:tc>
          <w:tcPr>
            <w:tcW w:w="1482" w:type="dxa"/>
            <w:tcBorders>
              <w:top w:val="single" w:color="auto" w:sz="12" w:space="0"/>
            </w:tcBorders>
            <w:vAlign w:val="center"/>
          </w:tcPr>
          <w:p w14:paraId="08DEAC53">
            <w:pPr>
              <w:jc w:val="center"/>
              <w:rPr>
                <w:rFonts w:ascii="Times New Roman" w:hAnsi="Times New Roman" w:cs="Times New Roman"/>
                <w:sz w:val="24"/>
              </w:rPr>
            </w:pPr>
            <w:r>
              <w:rPr>
                <w:rFonts w:ascii="Times New Roman" w:hAnsi="Times New Roman" w:cs="Times New Roman"/>
                <w:sz w:val="24"/>
              </w:rPr>
              <w:t>23.81</w:t>
            </w:r>
          </w:p>
        </w:tc>
        <w:tc>
          <w:tcPr>
            <w:tcW w:w="1482" w:type="dxa"/>
            <w:tcBorders>
              <w:top w:val="single" w:color="auto" w:sz="12" w:space="0"/>
            </w:tcBorders>
            <w:vAlign w:val="center"/>
          </w:tcPr>
          <w:p w14:paraId="61859330">
            <w:pPr>
              <w:jc w:val="center"/>
              <w:rPr>
                <w:rFonts w:ascii="Times New Roman" w:hAnsi="Times New Roman" w:cs="Times New Roman"/>
                <w:sz w:val="24"/>
              </w:rPr>
            </w:pPr>
            <w:r>
              <w:rPr>
                <w:rFonts w:ascii="Times New Roman" w:hAnsi="Times New Roman" w:cs="Times New Roman"/>
                <w:sz w:val="24"/>
              </w:rPr>
              <w:t xml:space="preserve">346 </w:t>
            </w:r>
          </w:p>
          <w:p w14:paraId="5C6C8AA0">
            <w:pPr>
              <w:jc w:val="center"/>
              <w:rPr>
                <w:rFonts w:ascii="Times New Roman" w:hAnsi="Times New Roman" w:cs="Times New Roman"/>
                <w:sz w:val="24"/>
              </w:rPr>
            </w:pPr>
            <w:r>
              <w:rPr>
                <w:rFonts w:ascii="Times New Roman" w:hAnsi="Times New Roman" w:cs="Times New Roman"/>
                <w:sz w:val="24"/>
              </w:rPr>
              <w:t>(6.23%)</w:t>
            </w:r>
          </w:p>
        </w:tc>
        <w:tc>
          <w:tcPr>
            <w:tcW w:w="1482" w:type="dxa"/>
            <w:tcBorders>
              <w:top w:val="single" w:color="auto" w:sz="12" w:space="0"/>
            </w:tcBorders>
            <w:vAlign w:val="center"/>
          </w:tcPr>
          <w:p w14:paraId="4B0F156F">
            <w:pPr>
              <w:jc w:val="center"/>
              <w:rPr>
                <w:rFonts w:ascii="Times New Roman" w:hAnsi="Times New Roman" w:cs="Times New Roman"/>
                <w:sz w:val="24"/>
              </w:rPr>
            </w:pPr>
            <w:r>
              <w:rPr>
                <w:rFonts w:ascii="Times New Roman" w:hAnsi="Times New Roman" w:cs="Times New Roman"/>
                <w:sz w:val="24"/>
              </w:rPr>
              <w:t xml:space="preserve">24.94 </w:t>
            </w:r>
          </w:p>
          <w:p w14:paraId="1CB62017">
            <w:pPr>
              <w:jc w:val="center"/>
              <w:rPr>
                <w:rFonts w:ascii="Times New Roman" w:hAnsi="Times New Roman" w:cs="Times New Roman"/>
                <w:sz w:val="24"/>
              </w:rPr>
            </w:pPr>
            <w:r>
              <w:rPr>
                <w:rFonts w:ascii="Times New Roman" w:hAnsi="Times New Roman" w:cs="Times New Roman"/>
                <w:sz w:val="24"/>
              </w:rPr>
              <w:t>(4.75%)</w:t>
            </w:r>
          </w:p>
        </w:tc>
      </w:tr>
      <w:tr w14:paraId="50C6AE4D">
        <w:trPr>
          <w:trHeight w:val="273" w:hRule="atLeast"/>
        </w:trPr>
        <w:tc>
          <w:tcPr>
            <w:tcW w:w="1508" w:type="dxa"/>
            <w:tcBorders>
              <w:bottom w:val="single" w:color="auto" w:sz="12" w:space="0"/>
            </w:tcBorders>
            <w:noWrap/>
            <w:vAlign w:val="center"/>
          </w:tcPr>
          <w:p w14:paraId="35699696">
            <w:pPr>
              <w:jc w:val="center"/>
              <w:rPr>
                <w:rFonts w:ascii="Times New Roman" w:hAnsi="Times New Roman" w:cs="Times New Roman"/>
                <w:sz w:val="24"/>
              </w:rPr>
            </w:pPr>
            <w:r>
              <w:rPr>
                <w:rFonts w:ascii="Times New Roman" w:hAnsi="Times New Roman" w:cs="Times New Roman"/>
                <w:sz w:val="24"/>
              </w:rPr>
              <w:t>Cu-5Ni-1.5Si-0.25Cr</w:t>
            </w:r>
          </w:p>
        </w:tc>
        <w:tc>
          <w:tcPr>
            <w:tcW w:w="2768" w:type="dxa"/>
            <w:tcBorders>
              <w:bottom w:val="single" w:color="auto" w:sz="12" w:space="0"/>
            </w:tcBorders>
            <w:noWrap/>
            <w:vAlign w:val="center"/>
          </w:tcPr>
          <w:p w14:paraId="2EC2D554">
            <w:pPr>
              <w:widowControl/>
              <w:jc w:val="center"/>
              <w:rPr>
                <w:rFonts w:ascii="Times New Roman" w:hAnsi="Times New Roman" w:cs="Times New Roman"/>
                <w:sz w:val="24"/>
              </w:rPr>
            </w:pPr>
            <w:r>
              <w:rPr>
                <w:rFonts w:ascii="Times New Roman" w:hAnsi="Times New Roman" w:cs="Times New Roman"/>
                <w:sz w:val="24"/>
              </w:rPr>
              <w:t xml:space="preserve">Homo 960℃/4h → HR 80% → ST 980℃/4h → CR 50% → Aging </w:t>
            </w:r>
          </w:p>
        </w:tc>
        <w:tc>
          <w:tcPr>
            <w:tcW w:w="1482" w:type="dxa"/>
            <w:tcBorders>
              <w:bottom w:val="single" w:color="auto" w:sz="12" w:space="0"/>
            </w:tcBorders>
            <w:vAlign w:val="center"/>
          </w:tcPr>
          <w:p w14:paraId="037ED362">
            <w:pPr>
              <w:jc w:val="center"/>
              <w:rPr>
                <w:rFonts w:ascii="Times New Roman" w:hAnsi="Times New Roman" w:cs="Times New Roman"/>
                <w:sz w:val="24"/>
              </w:rPr>
            </w:pPr>
            <w:r>
              <w:rPr>
                <w:rFonts w:ascii="Times New Roman" w:hAnsi="Times New Roman" w:cs="Times New Roman"/>
                <w:sz w:val="24"/>
              </w:rPr>
              <w:t>375</w:t>
            </w:r>
          </w:p>
        </w:tc>
        <w:tc>
          <w:tcPr>
            <w:tcW w:w="1482" w:type="dxa"/>
            <w:tcBorders>
              <w:bottom w:val="single" w:color="auto" w:sz="12" w:space="0"/>
            </w:tcBorders>
            <w:vAlign w:val="center"/>
          </w:tcPr>
          <w:p w14:paraId="337FFE3D">
            <w:pPr>
              <w:jc w:val="center"/>
              <w:rPr>
                <w:rFonts w:ascii="Times New Roman" w:hAnsi="Times New Roman" w:cs="Times New Roman"/>
                <w:sz w:val="24"/>
              </w:rPr>
            </w:pPr>
            <w:r>
              <w:rPr>
                <w:rFonts w:ascii="Times New Roman" w:hAnsi="Times New Roman" w:cs="Times New Roman"/>
                <w:sz w:val="24"/>
              </w:rPr>
              <w:t>25.27</w:t>
            </w:r>
          </w:p>
        </w:tc>
        <w:tc>
          <w:tcPr>
            <w:tcW w:w="1482" w:type="dxa"/>
            <w:tcBorders>
              <w:bottom w:val="single" w:color="auto" w:sz="12" w:space="0"/>
            </w:tcBorders>
            <w:vAlign w:val="center"/>
          </w:tcPr>
          <w:p w14:paraId="5049475F">
            <w:pPr>
              <w:jc w:val="center"/>
              <w:rPr>
                <w:rFonts w:ascii="Times New Roman" w:hAnsi="Times New Roman" w:cs="Times New Roman"/>
                <w:sz w:val="24"/>
              </w:rPr>
            </w:pPr>
            <w:r>
              <w:rPr>
                <w:rFonts w:ascii="Times New Roman" w:hAnsi="Times New Roman" w:cs="Times New Roman"/>
                <w:sz w:val="24"/>
              </w:rPr>
              <w:t xml:space="preserve">352 </w:t>
            </w:r>
          </w:p>
          <w:p w14:paraId="2643DFDB">
            <w:pPr>
              <w:jc w:val="center"/>
              <w:rPr>
                <w:rFonts w:ascii="Times New Roman" w:hAnsi="Times New Roman" w:cs="Times New Roman"/>
                <w:sz w:val="24"/>
              </w:rPr>
            </w:pPr>
            <w:r>
              <w:rPr>
                <w:rFonts w:ascii="Times New Roman" w:hAnsi="Times New Roman" w:cs="Times New Roman"/>
                <w:sz w:val="24"/>
              </w:rPr>
              <w:t>(6.13%)</w:t>
            </w:r>
          </w:p>
        </w:tc>
        <w:tc>
          <w:tcPr>
            <w:tcW w:w="1482" w:type="dxa"/>
            <w:tcBorders>
              <w:bottom w:val="single" w:color="auto" w:sz="12" w:space="0"/>
            </w:tcBorders>
            <w:vAlign w:val="center"/>
          </w:tcPr>
          <w:p w14:paraId="14EF8DF5">
            <w:pPr>
              <w:jc w:val="center"/>
              <w:rPr>
                <w:rFonts w:ascii="Times New Roman" w:hAnsi="Times New Roman" w:cs="Times New Roman"/>
                <w:sz w:val="24"/>
              </w:rPr>
            </w:pPr>
            <w:r>
              <w:rPr>
                <w:rFonts w:ascii="Times New Roman" w:hAnsi="Times New Roman" w:cs="Times New Roman"/>
                <w:sz w:val="24"/>
              </w:rPr>
              <w:t xml:space="preserve">28.65 </w:t>
            </w:r>
          </w:p>
          <w:p w14:paraId="4525A8BA">
            <w:pPr>
              <w:jc w:val="center"/>
              <w:rPr>
                <w:rFonts w:ascii="Times New Roman" w:hAnsi="Times New Roman" w:cs="Times New Roman"/>
                <w:sz w:val="24"/>
              </w:rPr>
            </w:pPr>
            <w:r>
              <w:rPr>
                <w:rFonts w:ascii="Times New Roman" w:hAnsi="Times New Roman" w:cs="Times New Roman"/>
                <w:sz w:val="24"/>
              </w:rPr>
              <w:t>(13.37%)</w:t>
            </w:r>
          </w:p>
        </w:tc>
      </w:tr>
    </w:tbl>
    <w:p w14:paraId="7119ABCB">
      <w:pPr>
        <w:pStyle w:val="17"/>
        <w:spacing w:before="120" w:beforeLines="50" w:line="360" w:lineRule="auto"/>
        <w:ind w:left="0" w:firstLine="480" w:firstLineChars="200"/>
        <w:rPr>
          <w:rFonts w:ascii="Times New Roman" w:hAnsi="Times New Roman" w:cs="Times New Roman"/>
          <w:sz w:val="24"/>
        </w:rPr>
      </w:pPr>
      <w:r>
        <w:rPr>
          <w:rFonts w:ascii="Times New Roman" w:hAnsi="Times New Roman" w:cs="Times New Roman"/>
          <w:sz w:val="24"/>
        </w:rPr>
        <w:t>Notes: Homo =homogenization treatment; HR = hot rolling; ST = solution treatment; CR = cold rolling; Aging = aging treatment.</w:t>
      </w:r>
    </w:p>
    <w:p w14:paraId="7AAFC45E">
      <w:pPr>
        <w:pStyle w:val="17"/>
        <w:spacing w:before="120" w:beforeLines="50" w:line="360" w:lineRule="auto"/>
        <w:ind w:left="0" w:firstLine="0" w:firstLineChars="0"/>
        <w:rPr>
          <w:rFonts w:ascii="Times New Roman" w:hAnsi="Times New Roman" w:cs="Times New Roman"/>
          <w:sz w:val="24"/>
        </w:rPr>
      </w:pPr>
    </w:p>
    <w:p w14:paraId="491FD5B1">
      <w:pPr>
        <w:pStyle w:val="17"/>
        <w:spacing w:before="120" w:beforeLines="50" w:line="360" w:lineRule="auto"/>
        <w:ind w:left="0"/>
        <w:rPr>
          <w:rFonts w:hint="default" w:ascii="Times New Roman" w:hAnsi="Times New Roman" w:cs="Times New Roman"/>
          <w:sz w:val="24"/>
        </w:rPr>
      </w:pPr>
      <w:r>
        <w:rPr>
          <w:rFonts w:ascii="Times New Roman" w:hAnsi="Times New Roman" w:cs="Times New Roman"/>
          <w:sz w:val="24"/>
        </w:rPr>
        <w:drawing>
          <wp:anchor distT="0" distB="0" distL="114300" distR="114300" simplePos="0" relativeHeight="251666432" behindDoc="0" locked="0" layoutInCell="1" allowOverlap="1">
            <wp:simplePos x="0" y="0"/>
            <wp:positionH relativeFrom="column">
              <wp:posOffset>-78105</wp:posOffset>
            </wp:positionH>
            <wp:positionV relativeFrom="paragraph">
              <wp:posOffset>26035</wp:posOffset>
            </wp:positionV>
            <wp:extent cx="6727190" cy="1567180"/>
            <wp:effectExtent l="0" t="0" r="3810" b="7620"/>
            <wp:wrapTopAndBottom/>
            <wp:docPr id="13" name="Picture 13" descr="绘图5_backup_1015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绘图5_backup_10153b"/>
                    <pic:cNvPicPr>
                      <a:picLocks noChangeAspect="1"/>
                    </pic:cNvPicPr>
                  </pic:nvPicPr>
                  <pic:blipFill>
                    <a:blip r:embed="rId13"/>
                    <a:stretch>
                      <a:fillRect/>
                    </a:stretch>
                  </pic:blipFill>
                  <pic:spPr>
                    <a:xfrm>
                      <a:off x="0" y="0"/>
                      <a:ext cx="6727190" cy="1567180"/>
                    </a:xfrm>
                    <a:prstGeom prst="rect">
                      <a:avLst/>
                    </a:prstGeom>
                  </pic:spPr>
                </pic:pic>
              </a:graphicData>
            </a:graphic>
          </wp:anchor>
        </w:drawing>
      </w:r>
      <w:r>
        <w:rPr>
          <w:rFonts w:ascii="Times New Roman Bold" w:hAnsi="Times New Roman Bold" w:cs="Times New Roman Bold"/>
          <w:b/>
          <w:bCs/>
          <w:sz w:val="24"/>
        </w:rPr>
        <w:t>Fig. 8. Experimental validation of CPSP-guided Cu–Ni–Si–Cr alloy design.</w:t>
      </w:r>
      <w:r>
        <w:rPr>
          <w:rFonts w:hint="eastAsia" w:ascii="Times New Roman Bold" w:hAnsi="Times New Roman Bold" w:cs="Times New Roman Bold"/>
          <w:b/>
          <w:bCs/>
          <w:sz w:val="24"/>
          <w:lang w:val="en-US" w:eastAsia="zh-CN"/>
        </w:rPr>
        <w:t xml:space="preserve"> </w:t>
      </w:r>
      <w:r>
        <w:rPr>
          <w:rFonts w:ascii="Times New Roman" w:hAnsi="Times New Roman" w:cs="Times New Roman"/>
          <w:sz w:val="24"/>
        </w:rPr>
        <w:t xml:space="preserve">(A–B) Aging hardness and electrical conductivity evolution curves of Cu–5.8Ni–0.95Si–0.12Cr and Cu–5Ni–1.5Si–0.25Cr alloys under different aging temperatures. (C) Engineering stress–strain curves of representative peak-aged Cu–Ni–Si–Cr alloys. </w:t>
      </w:r>
      <w:r>
        <w:rPr>
          <w:rFonts w:hint="default" w:ascii="Times New Roman" w:hAnsi="Times New Roman" w:cs="Times New Roman"/>
          <w:sz w:val="24"/>
        </w:rPr>
        <w:t>The results demonstrate the strength–conductivity–ductility balance achieved through CPSP-guided alloy optimization.</w:t>
      </w:r>
    </w:p>
    <w:p w14:paraId="510A697D">
      <w:pPr>
        <w:pStyle w:val="17"/>
        <w:spacing w:before="120" w:beforeLines="50" w:line="360" w:lineRule="auto"/>
        <w:ind w:left="0"/>
        <w:rPr>
          <w:rFonts w:hint="default" w:ascii="Times New Roman" w:hAnsi="Times New Roman" w:cs="Times New Roman"/>
          <w:sz w:val="24"/>
        </w:rPr>
      </w:pPr>
    </w:p>
    <w:p w14:paraId="26EC543D">
      <w:pPr>
        <w:pStyle w:val="14"/>
        <w:spacing w:beforeAutospacing="0" w:afterAutospacing="0" w:line="360" w:lineRule="auto"/>
        <w:ind w:firstLine="480" w:firstLineChars="200"/>
        <w:jc w:val="both"/>
      </w:pPr>
      <w:r>
        <w:rPr>
          <w:rFonts w:hint="default"/>
        </w:rPr>
        <w:t>Fig. 9 presents the TEM and STEM characterization results of the peak-aged Cu–Ni–Si–Cr alloy after cold deformation.</w:t>
      </w:r>
      <w:r>
        <w:rPr>
          <w:rFonts w:hint="eastAsia"/>
          <w:lang w:val="en-US" w:eastAsia="zh-CN"/>
        </w:rPr>
        <w:t xml:space="preserve"> As shown in the</w:t>
      </w:r>
      <w:r>
        <w:rPr>
          <w:rFonts w:hint="default"/>
          <w:lang w:val="en-US" w:eastAsia="zh-CN"/>
        </w:rPr>
        <w:t xml:space="preserve"> </w:t>
      </w:r>
      <w:r>
        <w:rPr>
          <w:rFonts w:hint="eastAsia"/>
          <w:lang w:val="en-US" w:eastAsia="zh-CN"/>
        </w:rPr>
        <w:t xml:space="preserve">Fig. 9a, a high density of dislocation tangles and dislocation walls was retained in the Cu matrix after aging, suggesting that deformation-induced substructures were only partially recovered during peak-aging treatment. </w:t>
      </w:r>
      <w:r>
        <w:rPr>
          <w:rFonts w:hint="default"/>
        </w:rPr>
        <w:t>These retained substructures may contribute to dislocation/</w:t>
      </w:r>
      <w:r>
        <w:rPr>
          <w:rFonts w:hint="default"/>
          <w:lang w:val="en-US"/>
        </w:rPr>
        <w:t xml:space="preserve"> </w:t>
      </w:r>
      <w:r>
        <w:rPr>
          <w:rFonts w:hint="default"/>
        </w:rPr>
        <w:t>substructure strengthening and are likely associated with preferential precipitation of Ni</w:t>
      </w:r>
      <w:r>
        <w:rPr>
          <w:rFonts w:hint="default"/>
          <w:lang w:val="en-US"/>
        </w:rPr>
        <w:t>-</w:t>
      </w:r>
      <w:r>
        <w:rPr>
          <w:rFonts w:hint="default"/>
        </w:rPr>
        <w:t>Si-rich phases</w:t>
      </w:r>
      <w:r>
        <w:rPr>
          <w:rFonts w:hint="eastAsia"/>
          <w:lang w:val="en-US" w:eastAsia="zh-CN"/>
        </w:rPr>
        <w:t xml:space="preserve"> </w:t>
      </w:r>
      <w:r>
        <w:rPr>
          <w:rFonts w:hint="default"/>
          <w:lang w:val="en-US" w:eastAsia="zh-CN"/>
        </w:rPr>
        <w:t>[8, 28]</w:t>
      </w:r>
      <w:r>
        <w:rPr>
          <w:rFonts w:hint="default"/>
        </w:rPr>
        <w:t>.</w:t>
      </w:r>
      <w:r>
        <w:rPr>
          <w:rFonts w:hint="eastAsia"/>
          <w:lang w:val="en-US" w:eastAsia="zh-CN"/>
        </w:rPr>
        <w:t xml:space="preserve"> </w:t>
      </w:r>
      <w:r>
        <w:rPr>
          <w:rFonts w:hint="default"/>
        </w:rPr>
        <w:t>These observations are consistent with a deformation-assisted precipitation process, resulting in a heterogeneous microstructure composed of dislocation walls, nanoscale precipitates, and locally recovered or recrystallized regions.</w:t>
      </w:r>
      <w:r>
        <w:rPr>
          <w:rFonts w:hint="eastAsia"/>
          <w:lang w:val="en-US" w:eastAsia="zh-CN"/>
        </w:rPr>
        <w:t xml:space="preserve"> </w:t>
      </w:r>
      <w:r>
        <w:rPr>
          <w:rFonts w:hint="default"/>
        </w:rPr>
        <w:t>The HRTEM image in Fig. 9b reveals fine precipitates embedded in Cu matrix, while the corresponding FFT pattern in Fig. 9c supports their crystallographic identification.</w:t>
      </w:r>
      <w:r>
        <w:rPr>
          <w:rFonts w:hint="eastAsia"/>
          <w:lang w:val="en-US" w:eastAsia="zh-CN"/>
        </w:rPr>
        <w:t xml:space="preserve"> </w:t>
      </w:r>
      <w:r>
        <w:rPr>
          <w:rFonts w:hint="default"/>
        </w:rPr>
        <w:t>Further crystallographic analysis of a representative precipitate, shown in Fig. 9e and f, indicates the following orientation relationship:</w:t>
      </w:r>
    </w:p>
    <w:p w14:paraId="1200BB92">
      <w:pPr>
        <w:pStyle w:val="14"/>
        <w:spacing w:beforeAutospacing="0" w:afterAutospacing="0" w:line="360" w:lineRule="auto"/>
        <w:jc w:val="both"/>
      </w:pPr>
      <m:oMathPara>
        <m:oMath>
          <m:r>
            <m:rPr>
              <m:nor/>
              <m:sty m:val="p"/>
            </m:rPr>
            <w:rPr>
              <w:b w:val="0"/>
              <w:i w:val="0"/>
              <w:lang w:bidi="ar"/>
            </w:rPr>
            <m:t xml:space="preserve">[110] </m:t>
          </m:r>
          <m:r>
            <m:rPr>
              <m:nor/>
              <m:sty m:val="p"/>
            </m:rPr>
            <w:rPr>
              <w:b w:val="0"/>
              <w:i w:val="0"/>
              <w:iCs/>
              <w:lang w:bidi="ar"/>
            </w:rPr>
            <m:t>Cu</m:t>
          </m:r>
          <m:r>
            <m:rPr>
              <m:nor/>
              <m:sty m:val="p"/>
            </m:rPr>
            <w:rPr>
              <w:b w:val="0"/>
              <w:i w:val="0"/>
              <w:lang w:bidi="ar"/>
            </w:rPr>
            <m:t xml:space="preserve"> // [11</m:t>
          </m:r>
          <m:r>
            <m:rPr>
              <m:nor/>
              <m:sty m:val="p"/>
            </m:rPr>
            <w:rPr>
              <w:rFonts w:hint="default"/>
              <w:b w:val="0"/>
              <w:i w:val="0"/>
              <w:lang w:val="en-US" w:eastAsia="zh-CN" w:bidi="ar"/>
            </w:rPr>
            <m:t>2</m:t>
          </m:r>
          <m:r>
            <m:rPr>
              <m:nor/>
              <m:sty m:val="p"/>
            </m:rPr>
            <w:rPr>
              <w:b w:val="0"/>
              <w:i w:val="0"/>
              <w:lang w:bidi="ar"/>
            </w:rPr>
            <m:t xml:space="preserve">] </m:t>
          </m:r>
          <m:sSub>
            <m:sSubPr>
              <m:ctrlPr>
                <w:rPr>
                  <w:rFonts w:ascii="DejaVu Math TeX Gyre" w:hAnsi="DejaVu Math TeX Gyre"/>
                  <w:iCs/>
                  <w:lang w:bidi="ar"/>
                </w:rPr>
              </m:ctrlPr>
            </m:sSubPr>
            <m:e>
              <m:r>
                <m:rPr>
                  <m:nor/>
                  <m:sty m:val="p"/>
                </m:rPr>
                <w:rPr>
                  <w:b w:val="0"/>
                  <w:i w:val="0"/>
                  <w:iCs/>
                  <w:lang w:bidi="ar"/>
                </w:rPr>
                <m:t>Ni</m:t>
              </m:r>
              <m:ctrlPr>
                <w:rPr>
                  <w:rFonts w:ascii="DejaVu Math TeX Gyre" w:hAnsi="DejaVu Math TeX Gyre"/>
                  <w:iCs/>
                  <w:lang w:bidi="ar"/>
                </w:rPr>
              </m:ctrlPr>
            </m:e>
            <m:sub>
              <m:r>
                <m:rPr>
                  <m:nor/>
                  <m:sty m:val="p"/>
                </m:rPr>
                <w:rPr>
                  <w:b w:val="0"/>
                  <w:i w:val="0"/>
                  <w:iCs/>
                  <w:lang w:bidi="ar"/>
                </w:rPr>
                <m:t>2</m:t>
              </m:r>
              <m:ctrlPr>
                <w:rPr>
                  <w:rFonts w:ascii="DejaVu Math TeX Gyre" w:hAnsi="DejaVu Math TeX Gyre"/>
                  <w:iCs/>
                  <w:lang w:bidi="ar"/>
                </w:rPr>
              </m:ctrlPr>
            </m:sub>
          </m:sSub>
          <m:r>
            <m:rPr>
              <m:nor/>
              <m:sty m:val="p"/>
            </m:rPr>
            <w:rPr>
              <w:b w:val="0"/>
              <w:i w:val="0"/>
              <w:iCs/>
              <w:lang w:bidi="ar"/>
            </w:rPr>
            <m:t>Si</m:t>
          </m:r>
        </m:oMath>
      </m:oMathPara>
    </w:p>
    <w:p w14:paraId="7841A6DD">
      <w:pPr>
        <w:pStyle w:val="14"/>
        <w:spacing w:beforeAutospacing="0" w:afterAutospacing="0" w:line="360" w:lineRule="auto"/>
        <w:ind w:firstLine="0" w:firstLineChars="0"/>
        <w:jc w:val="both"/>
      </w:pPr>
      <w:r>
        <w:rPr>
          <w:rFonts w:hint="default"/>
        </w:rPr>
        <w:t>This relationship suggests a specific lattice correspondence between the Cu matrix and the Ni</w:t>
      </w:r>
      <w:r>
        <w:rPr>
          <w:rFonts w:hint="default"/>
          <w:vertAlign w:val="subscript"/>
          <w:lang w:val="en-US"/>
        </w:rPr>
        <w:t>2</w:t>
      </w:r>
      <w:r>
        <w:rPr>
          <w:rFonts w:hint="default"/>
        </w:rPr>
        <w:t>Si precipitate.</w:t>
      </w:r>
      <w:r>
        <w:t xml:space="preserve"> </w:t>
      </w:r>
    </w:p>
    <w:p w14:paraId="690F7BFA">
      <w:pPr>
        <w:pStyle w:val="14"/>
        <w:spacing w:beforeAutospacing="0" w:afterAutospacing="0" w:line="360" w:lineRule="auto"/>
        <w:ind w:firstLine="0" w:firstLineChars="0"/>
        <w:jc w:val="both"/>
      </w:pPr>
      <w:r>
        <w:rPr>
          <w:rFonts w:hint="default"/>
        </w:rPr>
        <w:t>Such an orientation relationship may indicate a coherent or semi-coherent interfacial configuration, which is favorable for maintaining a fine precipitate dispersion during aging.</w:t>
      </w:r>
      <w:r>
        <w:rPr>
          <w:rFonts w:hint="default"/>
          <w:lang w:val="en-US"/>
        </w:rPr>
        <w:t xml:space="preserve"> </w:t>
      </w:r>
      <w:r>
        <w:rPr>
          <w:rFonts w:hint="default"/>
        </w:rPr>
        <w:t>The nanoscale precipitates are therefore expected to contribute to precipitation strengthening through interactions with gliding dislocations</w:t>
      </w:r>
      <w:r>
        <w:rPr>
          <w:rFonts w:hint="default"/>
          <w:lang w:val="en-US"/>
        </w:rPr>
        <w:t xml:space="preserve"> [7]</w:t>
      </w:r>
      <w:r>
        <w:rPr>
          <w:rFonts w:hint="default"/>
        </w:rPr>
        <w:t>.</w:t>
      </w:r>
      <w:r>
        <w:rPr>
          <w:rFonts w:hint="default"/>
          <w:lang w:val="en-US"/>
        </w:rPr>
        <w:t xml:space="preserve"> </w:t>
      </w:r>
      <w:r>
        <w:rPr>
          <w:rFonts w:hint="default"/>
        </w:rPr>
        <w:t>The bright-field TEM image in Fig. 9d further demonstrates the coexistence of retained dislocation walls, nano</w:t>
      </w:r>
      <w:r>
        <w:rPr>
          <w:rFonts w:hint="default"/>
          <w:lang w:val="en-US"/>
        </w:rPr>
        <w:t>-</w:t>
      </w:r>
      <w:r>
        <w:rPr>
          <w:rFonts w:hint="default"/>
        </w:rPr>
        <w:t>scale precipitates, and locally recovered/recrystallized regions.</w:t>
      </w:r>
      <w:r>
        <w:rPr>
          <w:rFonts w:hint="default"/>
          <w:lang w:val="en-US"/>
        </w:rPr>
        <w:t xml:space="preserve"> </w:t>
      </w:r>
      <w:r>
        <w:rPr>
          <w:rFonts w:hint="default"/>
        </w:rPr>
        <w:t>The persistence of dense deformation sub</w:t>
      </w:r>
      <w:r>
        <w:rPr>
          <w:rFonts w:hint="default"/>
          <w:lang w:val="en-US"/>
        </w:rPr>
        <w:t>-</w:t>
      </w:r>
      <w:r>
        <w:rPr>
          <w:rFonts w:hint="default"/>
        </w:rPr>
        <w:t>structures indicates incomplete recrystallization, whereas the presence of fine precipitates suggests that precipitation may retard dislocation recovery and sub-boundary migration, thereby suppressing excessive recovery and grain/subgrain coarsening.</w:t>
      </w:r>
      <w:r>
        <w:rPr>
          <w:rFonts w:hint="default"/>
          <w:lang w:val="en-US"/>
        </w:rPr>
        <w:t xml:space="preserve"> </w:t>
      </w:r>
      <w:r>
        <w:rPr>
          <w:rFonts w:hint="default"/>
        </w:rPr>
        <w:t>The HAADF-STEM image and STEM-EDS elemental maps in Fig. 9g and h show a relatively uniform distribution of Ni and Si, without obvious coarse segregation or continuous grain-boundary precipitation.</w:t>
      </w:r>
      <w:r>
        <w:rPr>
          <w:rFonts w:hint="default"/>
          <w:lang w:val="en-US"/>
        </w:rPr>
        <w:t xml:space="preserve"> </w:t>
      </w:r>
      <w:r>
        <w:rPr>
          <w:rFonts w:hint="default"/>
        </w:rPr>
        <w:t>This relatively homogeneous precipitation state is beneficial for both mechanical strengthening and electrical transport, as precipitation removes Ni and Si solutes from the Cu matrix and reduces solute-related electron scattering.</w:t>
      </w:r>
      <w:r>
        <w:rPr>
          <w:rFonts w:hint="default"/>
          <w:lang w:val="en-US"/>
        </w:rPr>
        <w:t xml:space="preserve"> </w:t>
      </w:r>
      <w:r>
        <w:rPr>
          <w:rFonts w:hint="default"/>
        </w:rPr>
        <w:t>The precipitate size distribution in Fig. 9i shows that the Ni</w:t>
      </w:r>
      <w:r>
        <w:rPr>
          <w:rFonts w:hint="default"/>
          <w:vertAlign w:val="subscript"/>
          <w:lang w:val="en-US"/>
        </w:rPr>
        <w:t>2</w:t>
      </w:r>
      <w:r>
        <w:rPr>
          <w:rFonts w:hint="default"/>
        </w:rPr>
        <w:t>Si precipitates have an average size of approximately 4.39 nm, with most particles distributed within the range of 3–5 nm.</w:t>
      </w:r>
      <w:r>
        <w:rPr>
          <w:rFonts w:hint="default"/>
          <w:lang w:val="en-US"/>
        </w:rPr>
        <w:t xml:space="preserve"> </w:t>
      </w:r>
      <w:r>
        <w:rPr>
          <w:rFonts w:hint="default"/>
        </w:rPr>
        <w:t>This narrow size distribution and limited coarsening are characteristic of a peak-aged state with high precipitate density.</w:t>
      </w:r>
      <w:r>
        <w:rPr>
          <w:rFonts w:hint="default"/>
          <w:lang w:val="en-US"/>
        </w:rPr>
        <w:t xml:space="preserve"> </w:t>
      </w:r>
      <w:r>
        <w:t>Therefore, the enhanced strength of the alloy originates from combined effects of retained deformation substructures and finely dispersed Ni</w:t>
      </w:r>
      <w:r>
        <w:rPr>
          <w:vertAlign w:val="subscript"/>
        </w:rPr>
        <w:t>2</w:t>
      </w:r>
      <w:r>
        <w:t>Si precipitates, while the improved conductivity is associated with solute depletion from the Cu matrix during precipitation</w:t>
      </w:r>
      <w:r>
        <w:rPr>
          <w:rFonts w:hint="default"/>
          <w:lang w:val="en-US"/>
        </w:rPr>
        <w:t xml:space="preserve"> [2-3]</w:t>
      </w:r>
      <w:r>
        <w:t>.</w:t>
      </w:r>
      <w:r>
        <w:rPr>
          <w:rFonts w:hint="default"/>
          <w:lang w:val="en-US"/>
        </w:rPr>
        <w:t xml:space="preserve"> </w:t>
      </w:r>
      <w:r>
        <w:rPr>
          <w:rFonts w:hint="default"/>
        </w:rPr>
        <w:t xml:space="preserve">The microstructural evidence in </w:t>
      </w:r>
      <w:r>
        <w:rPr>
          <w:rFonts w:hint="default"/>
          <w:lang w:val="en-US"/>
        </w:rPr>
        <w:t xml:space="preserve">the </w:t>
      </w:r>
      <w:r>
        <w:rPr>
          <w:rFonts w:hint="default"/>
        </w:rPr>
        <w:t>Fig.9 therefore provides mechanistic support for the strength–conductivity synergy achieved through CPSP-guided alloy design.</w:t>
      </w:r>
    </w:p>
    <w:p w14:paraId="7AA18C15">
      <w:pPr>
        <w:pStyle w:val="17"/>
        <w:spacing w:before="120" w:beforeLines="50" w:line="360" w:lineRule="auto"/>
        <w:ind w:left="0"/>
        <w:rPr>
          <w:rFonts w:hint="default" w:ascii="Times New Roman" w:hAnsi="Times New Roman" w:cs="Times New Roman"/>
          <w:sz w:val="24"/>
          <w:lang w:val="en-US"/>
        </w:rPr>
      </w:pPr>
      <w:r>
        <w:rPr>
          <w:rFonts w:ascii="Times New Roman" w:hAnsi="Times New Roman" w:cs="Times New Roman"/>
          <w:sz w:val="24"/>
        </w:rPr>
        <w:drawing>
          <wp:anchor distT="0" distB="0" distL="114300" distR="114300" simplePos="0" relativeHeight="251665408" behindDoc="0" locked="0" layoutInCell="1" allowOverlap="1">
            <wp:simplePos x="0" y="0"/>
            <wp:positionH relativeFrom="column">
              <wp:posOffset>207010</wp:posOffset>
            </wp:positionH>
            <wp:positionV relativeFrom="paragraph">
              <wp:posOffset>96520</wp:posOffset>
            </wp:positionV>
            <wp:extent cx="6171565" cy="6111240"/>
            <wp:effectExtent l="0" t="0" r="635" b="10160"/>
            <wp:wrapTopAndBottom/>
            <wp:docPr id="11" name="Picture 11" descr="组图_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组图_1 copy"/>
                    <pic:cNvPicPr>
                      <a:picLocks noChangeAspect="1"/>
                    </pic:cNvPicPr>
                  </pic:nvPicPr>
                  <pic:blipFill>
                    <a:blip r:embed="rId14"/>
                    <a:stretch>
                      <a:fillRect/>
                    </a:stretch>
                  </pic:blipFill>
                  <pic:spPr>
                    <a:xfrm>
                      <a:off x="0" y="0"/>
                      <a:ext cx="6171565" cy="6111240"/>
                    </a:xfrm>
                    <a:prstGeom prst="rect">
                      <a:avLst/>
                    </a:prstGeom>
                  </pic:spPr>
                </pic:pic>
              </a:graphicData>
            </a:graphic>
          </wp:anchor>
        </w:drawing>
      </w:r>
      <w:r>
        <w:rPr>
          <w:rFonts w:hint="default" w:ascii="Times New Roman Bold" w:hAnsi="Times New Roman Bold" w:cs="Times New Roman Bold"/>
          <w:b/>
          <w:bCs/>
          <w:sz w:val="24"/>
          <w:lang w:val="en-US"/>
        </w:rPr>
        <w:t xml:space="preserve">Fig. 9. TEM/STEM characterization and precipitation analysis of the peak-aged Cu–Ni–Si–Cr alloy after cold deformation. </w:t>
      </w:r>
      <w:r>
        <w:rPr>
          <w:rFonts w:hint="default" w:ascii="Times New Roman" w:hAnsi="Times New Roman" w:cs="Times New Roman"/>
          <w:sz w:val="24"/>
          <w:lang w:val="en-US"/>
        </w:rPr>
        <w:t xml:space="preserve">(a) Low-magnification TEM image showing retained high-density dislocation sub-structures and dislocation walls in the deformed Cu matrix. </w:t>
      </w:r>
      <w:r>
        <w:rPr>
          <w:rFonts w:ascii="Times New Roman" w:hAnsi="Times New Roman" w:cs="Times New Roman"/>
          <w:sz w:val="24"/>
        </w:rPr>
        <w:t xml:space="preserve">(b) HRTEM image of nanoscale precipitates embedded in the Cu matrix. </w:t>
      </w:r>
      <w:r>
        <w:rPr>
          <w:rFonts w:hint="default" w:ascii="Times New Roman" w:hAnsi="Times New Roman" w:cs="Times New Roman"/>
          <w:sz w:val="24"/>
        </w:rPr>
        <w:t>(c) Corresponding FFT pattern of the precipitate marked in (b), indexed as Ni</w:t>
      </w:r>
      <w:r>
        <w:rPr>
          <w:rFonts w:hint="default" w:ascii="Times New Roman" w:hAnsi="Times New Roman" w:cs="Times New Roman"/>
          <w:sz w:val="24"/>
          <w:vertAlign w:val="subscript"/>
          <w:lang w:val="en-US"/>
        </w:rPr>
        <w:t>3</w:t>
      </w:r>
      <w:r>
        <w:rPr>
          <w:rFonts w:hint="default" w:ascii="Times New Roman" w:hAnsi="Times New Roman" w:cs="Times New Roman"/>
          <w:sz w:val="24"/>
        </w:rPr>
        <w:t>Si viewed along the [110] zone axis.(d) Bright-field TEM image showing the coexistence of dislocation walls, nanoscale precipitates, and locally recrystallized regions.</w:t>
      </w:r>
      <w:r>
        <w:rPr>
          <w:rFonts w:hint="default" w:ascii="Times New Roman" w:hAnsi="Times New Roman" w:cs="Times New Roman"/>
          <w:sz w:val="24"/>
          <w:lang w:val="en-US"/>
        </w:rPr>
        <w:t xml:space="preserve"> </w:t>
      </w:r>
      <w:r>
        <w:rPr>
          <w:rFonts w:hint="default" w:ascii="Times New Roman" w:hAnsi="Times New Roman" w:cs="Times New Roman"/>
          <w:sz w:val="24"/>
        </w:rPr>
        <w:t>(e) HRTEM image of a representative nanoscale precipitate in the matrix.</w:t>
      </w:r>
      <w:r>
        <w:rPr>
          <w:rFonts w:hint="default" w:ascii="Times New Roman" w:hAnsi="Times New Roman" w:cs="Times New Roman"/>
          <w:sz w:val="24"/>
          <w:lang w:val="en-US"/>
        </w:rPr>
        <w:t xml:space="preserve"> </w:t>
      </w:r>
      <w:r>
        <w:rPr>
          <w:rFonts w:hint="default" w:ascii="Times New Roman" w:hAnsi="Times New Roman" w:cs="Times New Roman"/>
          <w:sz w:val="24"/>
        </w:rPr>
        <w:t>(f) Corresponding SAED/FFT pattern revealing the crystallographic relationship between the Cu matrix and Ni</w:t>
      </w:r>
      <w:r>
        <w:rPr>
          <w:rFonts w:hint="default" w:ascii="Times New Roman" w:hAnsi="Times New Roman" w:cs="Times New Roman"/>
          <w:sz w:val="24"/>
          <w:vertAlign w:val="subscript"/>
          <w:lang w:val="en-US"/>
        </w:rPr>
        <w:t>2</w:t>
      </w:r>
      <w:r>
        <w:rPr>
          <w:rFonts w:hint="default" w:ascii="Times New Roman" w:hAnsi="Times New Roman" w:cs="Times New Roman"/>
          <w:sz w:val="24"/>
        </w:rPr>
        <w:t>Si precipitate, with [110]Cu//[112]Ni</w:t>
      </w:r>
      <w:r>
        <w:rPr>
          <w:rFonts w:hint="default" w:ascii="Times New Roman" w:hAnsi="Times New Roman" w:cs="Times New Roman"/>
          <w:sz w:val="24"/>
          <w:vertAlign w:val="subscript"/>
          <w:lang w:val="en-US"/>
        </w:rPr>
        <w:t>2</w:t>
      </w:r>
      <w:r>
        <w:rPr>
          <w:rFonts w:hint="default" w:ascii="Times New Roman" w:hAnsi="Times New Roman" w:cs="Times New Roman"/>
          <w:sz w:val="24"/>
        </w:rPr>
        <w:t>Si.</w:t>
      </w:r>
      <w:r>
        <w:rPr>
          <w:rFonts w:hint="default" w:ascii="Times New Roman" w:hAnsi="Times New Roman" w:cs="Times New Roman"/>
          <w:sz w:val="24"/>
          <w:lang w:val="en-US"/>
        </w:rPr>
        <w:t xml:space="preserve"> </w:t>
      </w:r>
      <w:r>
        <w:rPr>
          <w:rFonts w:ascii="Times New Roman" w:hAnsi="Times New Roman" w:cs="Times New Roman"/>
          <w:sz w:val="24"/>
        </w:rPr>
        <w:t xml:space="preserve">(g) HAADF-STEM image of the aged microstructure. </w:t>
      </w:r>
      <w:r>
        <w:rPr>
          <w:rFonts w:hint="default" w:ascii="Times New Roman" w:hAnsi="Times New Roman" w:cs="Times New Roman"/>
          <w:sz w:val="24"/>
        </w:rPr>
        <w:t>(h) STEM-EDS elemental maps of Cu, Ni, Si, and Cr, showing the elemental distribu</w:t>
      </w:r>
      <w:r>
        <w:rPr>
          <w:rFonts w:hint="default" w:ascii="Times New Roman" w:hAnsi="Times New Roman" w:cs="Times New Roman"/>
          <w:sz w:val="24"/>
          <w:lang w:val="en-US"/>
        </w:rPr>
        <w:t>-</w:t>
      </w:r>
      <w:r>
        <w:rPr>
          <w:rFonts w:hint="default" w:ascii="Times New Roman" w:hAnsi="Times New Roman" w:cs="Times New Roman"/>
          <w:sz w:val="24"/>
        </w:rPr>
        <w:t>tion in the observed region.</w:t>
      </w:r>
      <w:r>
        <w:rPr>
          <w:rFonts w:hint="default" w:ascii="Times New Roman" w:hAnsi="Times New Roman" w:cs="Times New Roman"/>
          <w:sz w:val="24"/>
          <w:lang w:val="en-US"/>
        </w:rPr>
        <w:t xml:space="preserve"> (i) Size distribution of Ni</w:t>
      </w:r>
      <w:r>
        <w:rPr>
          <w:rFonts w:hint="default" w:ascii="Times New Roman" w:hAnsi="Times New Roman" w:cs="Times New Roman"/>
          <w:sz w:val="24"/>
          <w:vertAlign w:val="subscript"/>
          <w:lang w:val="en-US"/>
        </w:rPr>
        <w:t>2</w:t>
      </w:r>
      <w:r>
        <w:rPr>
          <w:rFonts w:hint="default" w:ascii="Times New Roman" w:hAnsi="Times New Roman" w:cs="Times New Roman"/>
          <w:sz w:val="24"/>
          <w:lang w:val="en-US"/>
        </w:rPr>
        <w:t xml:space="preserve">Si precipitates, showing an average precipitate size of approximately 4.39 nm. </w:t>
      </w:r>
    </w:p>
    <w:p w14:paraId="5F7B4812">
      <w:pPr>
        <w:pStyle w:val="14"/>
        <w:spacing w:beforeAutospacing="0" w:afterAutospacing="0" w:line="360" w:lineRule="auto"/>
        <w:jc w:val="left"/>
        <w:rPr>
          <w:rFonts w:eastAsiaTheme="minorEastAsia"/>
          <w:b/>
          <w:bCs w:val="0"/>
          <w:kern w:val="2"/>
        </w:rPr>
      </w:pPr>
      <w:r>
        <w:rPr>
          <w:rFonts w:eastAsiaTheme="minorEastAsia"/>
          <w:b/>
          <w:bCs w:val="0"/>
          <w:kern w:val="2"/>
        </w:rPr>
        <w:t xml:space="preserve">Discussions </w:t>
      </w:r>
    </w:p>
    <w:p w14:paraId="5DF6481C">
      <w:pPr>
        <w:pStyle w:val="14"/>
        <w:spacing w:beforeAutospacing="0" w:afterAutospacing="0" w:line="360" w:lineRule="auto"/>
        <w:ind w:firstLine="480" w:firstLineChars="200"/>
        <w:jc w:val="both"/>
        <w:rPr>
          <w:rFonts w:hint="default" w:cs="Times New Roman"/>
          <w:kern w:val="0"/>
          <w:sz w:val="24"/>
          <w:lang w:val="en-US" w:bidi="ar"/>
        </w:rPr>
      </w:pPr>
      <w:r>
        <w:rPr>
          <w:rFonts w:hint="default" w:cs="Times New Roman"/>
          <w:kern w:val="0"/>
          <w:sz w:val="24"/>
          <w:lang w:val="en-US" w:bidi="ar"/>
        </w:rPr>
        <w:t>The proposed framework provides a literature-centric knowledge organization strategy for copper alloy informatics. Conventional data-driven materials research is often dataset-centered, relying on manual literature collection and static dataset construction prior to machine-learning modeling. While such work-flows are effective for property prediction and alloy optimization, they provide limited support for under-standing the broader research landscape and knowledge evolution within a field [43-45]. In contrast, the proposed Corpus–Topic–Document framework enables systematic exploration of research activities and evolving trends across publishers, journals, institutions, funding agencies, and research themes (Supplemen-tary Figure 1), providing valuable insights for research planning and identification of emerging opportunities. Combined with document-level CPSP reconstruction, the framework establishes a unified pathway linking research landscape analysis, knowledge organization, and data-driven alloy discovery, thereby shifting alloy informatics from static dataset development toward reusable knowledge infrastructure construction.</w:t>
      </w:r>
    </w:p>
    <w:p w14:paraId="72372680">
      <w:pPr>
        <w:pStyle w:val="14"/>
        <w:spacing w:beforeAutospacing="0" w:afterAutospacing="0" w:line="360" w:lineRule="auto"/>
        <w:ind w:firstLine="480" w:firstLineChars="200"/>
        <w:jc w:val="both"/>
        <w:rPr>
          <w:rFonts w:hint="default" w:cs="Times New Roman"/>
          <w:kern w:val="0"/>
          <w:sz w:val="24"/>
          <w:lang w:val="en-US" w:bidi="ar"/>
        </w:rPr>
      </w:pPr>
      <w:r>
        <w:rPr>
          <w:rFonts w:hint="default" w:cs="Times New Roman"/>
          <w:kern w:val="0"/>
          <w:sz w:val="24"/>
          <w:lang w:val="en-US" w:bidi="ar"/>
        </w:rPr>
        <w:t xml:space="preserve">Within this framework, CPSP resources can be dynamically reorganized by alloy system, target property, and metallurgical task, enabling task-oriented dataset generation from a unified knowledge infra-structure rather than repeated construction of alloy-specific databases. In this sense, the CTD framework provides a unified pathway from scientific literature to alloy discovery by converting literature from a passive information source into a reusable knowledge infrastructure. Because the resulting repositories are machine-readable, semantically organized, and dynamically reconfigurable, they may also provide a foundation for future AI agents and autonomous scientific workflows [46]. </w:t>
      </w:r>
    </w:p>
    <w:p w14:paraId="70880673">
      <w:pPr>
        <w:pStyle w:val="14"/>
        <w:spacing w:beforeAutospacing="0" w:afterAutospacing="0" w:line="360" w:lineRule="auto"/>
        <w:ind w:firstLine="480" w:firstLineChars="200"/>
        <w:jc w:val="both"/>
        <w:rPr>
          <w:rFonts w:hint="default" w:cs="Times New Roman"/>
          <w:kern w:val="0"/>
          <w:sz w:val="24"/>
          <w:lang w:val="en-US" w:bidi="ar"/>
        </w:rPr>
      </w:pPr>
      <w:r>
        <w:rPr>
          <w:rFonts w:hint="default" w:cs="Times New Roman"/>
          <w:kern w:val="0"/>
          <w:sz w:val="24"/>
          <w:lang w:val="en-US" w:bidi="ar"/>
        </w:rPr>
        <w:t>Despite these advances, several limitations remain. First, the current framework should be interpreted within the scope of repository-level integration. Textual, tabular, and figure-derived information are primarily linked through shared metadata, such as DOI, alloy system, composition, processing route, and performance descriptors, rather than through fully automated entity-level alignment. Consequently, the reconstructed CPSP chains represent coordinated organization of heterogeneous knowledge sources rather than complete cross-modal semantic fusion. While text- and table-based CPSP reconstruction has achieved relatively high reliability, image-derived information is currently used mainly for figure categorization and repository organization. Quantitative extraction of structural descriptors, such as grain size, precipitate characteristics, dislocation density, and texture information, remains limited. Consequently, the current framework is more effective for composition-, processing-, and property-related information than for fine-grained structural knowledge reconstruction. In addition, downstream machine-learning validation was based on randomly partitioned datasets. Although duplicate records were removed and comparable processing routes were selected, latent correlations among literature-derived records may still affect model generalizability. Future efforts may focus on more rigorous validation strategies, quantitative image understanding, and entity-level cross-modal alignment [49–50]. These developments would further enhance the capability of the Corpus–Topic–Document framework to transform scientific literature into actionable knowledge resources, providing a scalable pathway from scientific literature to alloy discovery.</w:t>
      </w:r>
    </w:p>
    <w:p w14:paraId="3A48BE4D">
      <w:pPr>
        <w:spacing w:before="120" w:beforeLines="50" w:line="360" w:lineRule="auto"/>
        <w:rPr>
          <w:rFonts w:ascii="Times New Roman" w:hAnsi="Times New Roman" w:eastAsia="SimSun" w:cs="Times New Roman"/>
          <w:kern w:val="0"/>
          <w:sz w:val="24"/>
          <w:lang w:bidi="ar"/>
        </w:rPr>
      </w:pPr>
      <w:r>
        <w:rPr>
          <w:rFonts w:ascii="Times New Roman" w:hAnsi="Times New Roman" w:eastAsia="SimSun" w:cs="Times New Roman"/>
          <w:b/>
          <w:bCs/>
          <w:sz w:val="24"/>
        </w:rPr>
        <w:t>Conclusions</w:t>
      </w:r>
    </w:p>
    <w:p w14:paraId="073C59D6">
      <w:pPr>
        <w:widowControl/>
        <w:spacing w:line="360" w:lineRule="auto"/>
        <w:ind w:firstLine="480" w:firstLineChars="200"/>
        <w:rPr>
          <w:rFonts w:ascii="Times New Roman" w:hAnsi="Times New Roman" w:eastAsia="SimSun" w:cs="Times New Roman"/>
          <w:kern w:val="0"/>
          <w:sz w:val="24"/>
          <w:lang w:bidi="ar"/>
        </w:rPr>
      </w:pPr>
      <w:r>
        <w:rPr>
          <w:rFonts w:hint="default" w:ascii="Times New Roman" w:hAnsi="Times New Roman" w:eastAsia="SimSun" w:cs="Times New Roman"/>
          <w:kern w:val="0"/>
          <w:sz w:val="24"/>
          <w:lang w:bidi="ar"/>
        </w:rPr>
        <w:t>In this work, a Corpus–Topic–Document (CTD) framework was developed to transform fragmented scientific literature into machine-readable CPSP knowledge resources for copper alloy informatics.</w:t>
      </w:r>
      <w:r>
        <w:rPr>
          <w:rFonts w:hint="default" w:ascii="Times New Roman" w:hAnsi="Times New Roman" w:eastAsia="SimSun" w:cs="Times New Roman"/>
          <w:kern w:val="0"/>
          <w:sz w:val="24"/>
          <w:lang w:val="en-US" w:bidi="ar"/>
        </w:rPr>
        <w:t xml:space="preserve"> Through corpus-level semantic filtering, topic-level knowledge organization, and document-level CPSP reconstruc-tion, the framework establishes a hierarchical pathway for organizing and utilizing literature knowledge from coarse-grained corpus understanding, through intermediate-grained topic organization, to fine-grained CPSP reconstruction.The framework demonstrated the capability to reconstruct high-quality CPSP resources from large-scale literature and support reliable multi-modal knowledge extraction across textual, tabular, and graphical information sources.</w:t>
      </w:r>
      <w:r>
        <w:rPr>
          <w:rFonts w:hint="default" w:ascii="Times New Roman" w:hAnsi="Times New Roman" w:eastAsia="SimSun" w:cs="Times New Roman"/>
          <w:kern w:val="0"/>
          <w:sz w:val="24"/>
          <w:lang w:bidi="ar"/>
        </w:rPr>
        <w:t>The reconstructed CPSP resources were further utilized for machine-learning-guided alloy design and experimental validation, demonstrating their practical value for data-driven copper alloy development.</w:t>
      </w:r>
      <w:r>
        <w:rPr>
          <w:rFonts w:hint="default" w:ascii="Times New Roman" w:hAnsi="Times New Roman" w:eastAsia="SimSun" w:cs="Times New Roman"/>
          <w:kern w:val="0"/>
          <w:sz w:val="24"/>
          <w:lang w:val="en-US" w:bidi="ar"/>
        </w:rPr>
        <w:t xml:space="preserve"> </w:t>
      </w:r>
      <w:r>
        <w:rPr>
          <w:rFonts w:hint="default" w:ascii="Times New Roman" w:hAnsi="Times New Roman" w:eastAsia="SimSun" w:cs="Times New Roman"/>
          <w:kern w:val="0"/>
          <w:sz w:val="24"/>
          <w:lang w:bidi="ar"/>
        </w:rPr>
        <w:t>Microstructural characterization further confirmed that the optimized alloy performance originated from coupled deformation–precipitation interactions.</w:t>
      </w:r>
      <w:r>
        <w:rPr>
          <w:rFonts w:hint="default" w:ascii="Times New Roman" w:hAnsi="Times New Roman" w:eastAsia="SimSun" w:cs="Times New Roman"/>
          <w:kern w:val="0"/>
          <w:sz w:val="24"/>
          <w:lang w:val="en-US" w:bidi="ar"/>
        </w:rPr>
        <w:t xml:space="preserve"> More importantly, this work shifts alloy informatics from static dataset construction toward literature-centric knowledge infrastructure development, enabling dynamic CPSP resource organization, task-oriented dataset generation, and reusable knowledge support for alloy discovery. </w:t>
      </w:r>
      <w:r>
        <w:rPr>
          <w:rFonts w:hint="default" w:ascii="Times New Roman" w:hAnsi="Times New Roman" w:eastAsia="SimSun" w:cs="Times New Roman"/>
          <w:kern w:val="0"/>
          <w:sz w:val="24"/>
          <w:lang w:bidi="ar"/>
        </w:rPr>
        <w:t>Ultimately, the proposed Corpus–Topic–Document framework provides a scal</w:t>
      </w:r>
      <w:r>
        <w:rPr>
          <w:rFonts w:hint="default" w:ascii="Times New Roman" w:hAnsi="Times New Roman" w:eastAsia="SimSun" w:cs="Times New Roman"/>
          <w:kern w:val="0"/>
          <w:sz w:val="24"/>
          <w:lang w:val="en-US" w:bidi="ar"/>
        </w:rPr>
        <w:t>-</w:t>
      </w:r>
      <w:r>
        <w:rPr>
          <w:rFonts w:hint="default" w:ascii="Times New Roman" w:hAnsi="Times New Roman" w:eastAsia="SimSun" w:cs="Times New Roman"/>
          <w:kern w:val="0"/>
          <w:sz w:val="24"/>
          <w:lang w:bidi="ar"/>
        </w:rPr>
        <w:t>able pathway for transforming scientific literature into actionable knowledge resources, bridging scientific literature and alloy discovery through reusable CPSP knowledge infrastructures.</w:t>
      </w:r>
    </w:p>
    <w:p w14:paraId="4BFD5826">
      <w:pPr>
        <w:spacing w:before="120" w:beforeLines="50" w:line="360" w:lineRule="auto"/>
        <w:rPr>
          <w:rFonts w:ascii="Times New Roman" w:hAnsi="Times New Roman" w:eastAsia="SimSun" w:cs="Times New Roman"/>
          <w:b/>
          <w:bCs/>
          <w:sz w:val="24"/>
        </w:rPr>
      </w:pPr>
      <w:r>
        <w:rPr>
          <w:rFonts w:hint="eastAsia" w:ascii="Times New Roman" w:hAnsi="Times New Roman" w:eastAsia="SimSun" w:cs="Times New Roman"/>
          <w:b/>
          <w:bCs/>
          <w:sz w:val="24"/>
        </w:rPr>
        <w:t>Data availability</w:t>
      </w:r>
    </w:p>
    <w:p w14:paraId="512B74A8">
      <w:pPr>
        <w:spacing w:line="360" w:lineRule="auto"/>
        <w:rPr>
          <w:rFonts w:ascii="Times New Roman" w:hAnsi="Times New Roman" w:eastAsia="SimSun" w:cs="Times New Roman"/>
          <w:kern w:val="0"/>
          <w:sz w:val="24"/>
          <w:lang w:bidi="ar-SA"/>
        </w:rPr>
      </w:pPr>
      <w:r>
        <w:rPr>
          <w:rFonts w:ascii="Times New Roman" w:hAnsi="Times New Roman" w:cs="Times New Roman"/>
          <w:sz w:val="24"/>
        </w:rPr>
        <w:t xml:space="preserve">The data and code used in this study can be found on the GitHub via: </w:t>
      </w:r>
      <w:r>
        <w:rPr>
          <w:rFonts w:hint="default" w:ascii="Times New Roman" w:hAnsi="Times New Roman" w:eastAsia="SimSun" w:cs="Times New Roman"/>
          <w:kern w:val="0"/>
          <w:sz w:val="24"/>
        </w:rPr>
        <w:fldChar w:fldCharType="begin"/>
      </w:r>
      <w:r>
        <w:rPr>
          <w:rFonts w:hint="default" w:ascii="Times New Roman" w:hAnsi="Times New Roman" w:eastAsia="SimSun" w:cs="Times New Roman"/>
          <w:kern w:val="0"/>
          <w:sz w:val="24"/>
        </w:rPr>
        <w:instrText xml:space="preserve"> HYPERLINK "https://github.com/zhaozixuan6678/" </w:instrText>
      </w:r>
      <w:r>
        <w:rPr>
          <w:rFonts w:hint="default" w:ascii="Times New Roman" w:hAnsi="Times New Roman" w:eastAsia="SimSun" w:cs="Times New Roman"/>
          <w:kern w:val="0"/>
          <w:sz w:val="24"/>
        </w:rPr>
        <w:fldChar w:fldCharType="separate"/>
      </w:r>
      <w:r>
        <w:rPr>
          <w:rFonts w:hint="default" w:ascii="Times New Roman" w:hAnsi="Times New Roman" w:eastAsia="SimSun" w:cs="Times New Roman"/>
          <w:kern w:val="0"/>
          <w:sz w:val="24"/>
        </w:rPr>
        <w:t>https://github.com/zhaozixuan6678/</w:t>
      </w:r>
      <w:r>
        <w:rPr>
          <w:rFonts w:hint="default" w:ascii="Times New Roman" w:hAnsi="Times New Roman" w:eastAsia="SimSun" w:cs="Times New Roman"/>
          <w:kern w:val="0"/>
          <w:sz w:val="24"/>
        </w:rPr>
        <w:fldChar w:fldCharType="end"/>
      </w:r>
      <w:r>
        <w:rPr>
          <w:rFonts w:hint="default" w:ascii="Times New Roman" w:hAnsi="Times New Roman" w:eastAsia="SimSun" w:cs="Times New Roman"/>
          <w:kern w:val="0"/>
          <w:sz w:val="24"/>
          <w:lang w:val="en-US"/>
        </w:rPr>
        <w:t xml:space="preserve"> </w:t>
      </w:r>
      <w:r>
        <w:rPr>
          <w:rFonts w:hint="default" w:ascii="Times New Roman" w:hAnsi="Times New Roman" w:eastAsia="SimSun" w:cs="Times New Roman"/>
          <w:kern w:val="0"/>
          <w:sz w:val="24"/>
        </w:rPr>
        <w:t>Copper-CPSP-infrastructure</w:t>
      </w:r>
    </w:p>
    <w:p w14:paraId="0B273C7B">
      <w:pPr>
        <w:spacing w:before="120" w:beforeLines="50" w:line="360" w:lineRule="auto"/>
        <w:rPr>
          <w:rFonts w:ascii="Times New Roman" w:hAnsi="Times New Roman" w:eastAsia="SimSun" w:cs="Times New Roman"/>
          <w:b/>
          <w:bCs/>
          <w:sz w:val="24"/>
        </w:rPr>
      </w:pPr>
      <w:r>
        <w:rPr>
          <w:rFonts w:ascii="Times New Roman" w:hAnsi="Times New Roman" w:eastAsia="SimSun" w:cs="Times New Roman"/>
          <w:b/>
          <w:bCs/>
          <w:sz w:val="24"/>
        </w:rPr>
        <w:t>Acknowledgements</w:t>
      </w:r>
    </w:p>
    <w:p w14:paraId="7B48004A">
      <w:pPr>
        <w:spacing w:line="360" w:lineRule="auto"/>
        <w:rPr>
          <w:rFonts w:ascii="Times New Roman" w:hAnsi="Times New Roman" w:cs="Times New Roman"/>
          <w:sz w:val="24"/>
        </w:rPr>
      </w:pPr>
      <w:r>
        <w:rPr>
          <w:rFonts w:ascii="Times New Roman" w:hAnsi="Times New Roman" w:cs="Times New Roman"/>
          <w:sz w:val="24"/>
        </w:rPr>
        <w:t>The authors acknowledge the financial supports by the Advanced Materials-National Science and Technology Major Project (Grant No. 2025ZD0612100), the National Natural Science Foundation of China (Grant No. 52371038), the Science and Technology Innovation Program of Hunan Province (2023RC1019), and the High-Performance Computing Center of Central South University.</w:t>
      </w:r>
    </w:p>
    <w:p w14:paraId="14400D46">
      <w:pPr>
        <w:spacing w:line="360" w:lineRule="auto"/>
        <w:rPr>
          <w:rFonts w:ascii="Times New Roman Regular" w:hAnsi="Times New Roman Regular" w:cs="Times New Roman Regular"/>
          <w:sz w:val="24"/>
        </w:rPr>
      </w:pPr>
      <w:r>
        <w:rPr>
          <w:rFonts w:ascii="Times New Roman" w:hAnsi="Times New Roman" w:cs="Times New Roman"/>
          <w:b/>
          <w:bCs/>
          <w:sz w:val="24"/>
        </w:rPr>
        <w:t>Author Contributions</w:t>
      </w:r>
    </w:p>
    <w:p w14:paraId="7849E99A">
      <w:pPr>
        <w:pStyle w:val="14"/>
        <w:spacing w:beforeAutospacing="0" w:afterAutospacing="0" w:line="360" w:lineRule="auto"/>
        <w:jc w:val="both"/>
        <w:rPr>
          <w:rFonts w:ascii="Times New Roman Regular" w:hAnsi="Times New Roman Regular" w:cs="Times New Roman Regular" w:eastAsiaTheme="minorEastAsia"/>
        </w:rPr>
      </w:pPr>
      <w:r>
        <w:rPr>
          <w:rFonts w:hint="eastAsia" w:eastAsiaTheme="minorEastAsia"/>
          <w:kern w:val="2"/>
        </w:rPr>
        <w:t>Zixuan Zhao: Conceptualization, Data</w:t>
      </w:r>
      <w:r>
        <w:rPr>
          <w:rFonts w:eastAsiaTheme="minorEastAsia"/>
          <w:kern w:val="2"/>
        </w:rPr>
        <w:t xml:space="preserve"> </w:t>
      </w:r>
      <w:r>
        <w:rPr>
          <w:rFonts w:hint="eastAsia" w:eastAsiaTheme="minorEastAsia"/>
          <w:kern w:val="2"/>
        </w:rPr>
        <w:t>curation, Coding, Visualization, Modeling, Writing</w:t>
      </w:r>
      <w:r>
        <w:rPr>
          <w:rFonts w:eastAsiaTheme="minorEastAsia"/>
          <w:kern w:val="2"/>
        </w:rPr>
        <w:t>-</w:t>
      </w:r>
      <w:r>
        <w:rPr>
          <w:rFonts w:hint="eastAsia" w:eastAsiaTheme="minorEastAsia"/>
          <w:kern w:val="2"/>
        </w:rPr>
        <w:t>original draft.</w:t>
      </w:r>
      <w:r>
        <w:rPr>
          <w:rFonts w:eastAsiaTheme="minorEastAsia"/>
          <w:kern w:val="2"/>
        </w:rPr>
        <w:t xml:space="preserve"> Zhikang Xie: </w:t>
      </w:r>
      <w:r>
        <w:rPr>
          <w:rFonts w:hint="eastAsia" w:eastAsiaTheme="minorEastAsia"/>
          <w:kern w:val="2"/>
        </w:rPr>
        <w:t>Data curation</w:t>
      </w:r>
      <w:r>
        <w:rPr>
          <w:rFonts w:eastAsiaTheme="minorEastAsia"/>
          <w:kern w:val="2"/>
        </w:rPr>
        <w:t xml:space="preserve">, Experimental Validation. </w:t>
      </w:r>
      <w:r>
        <w:rPr>
          <w:rFonts w:hint="eastAsia" w:eastAsiaTheme="minorEastAsia"/>
          <w:kern w:val="2"/>
        </w:rPr>
        <w:t>Fei Tan</w:t>
      </w:r>
      <w:r>
        <w:rPr>
          <w:rFonts w:eastAsiaTheme="minorEastAsia"/>
          <w:kern w:val="2"/>
        </w:rPr>
        <w:t xml:space="preserve">: Experimental Validation, </w:t>
      </w:r>
      <w:r>
        <w:rPr>
          <w:rFonts w:hint="eastAsia" w:eastAsiaTheme="minorEastAsia"/>
          <w:kern w:val="2"/>
        </w:rPr>
        <w:t>Data analysis</w:t>
      </w:r>
      <w:r>
        <w:rPr>
          <w:rFonts w:eastAsiaTheme="minorEastAsia"/>
          <w:kern w:val="2"/>
        </w:rPr>
        <w:t xml:space="preserve">, Peiyun Chen, Xiang Liu, Wenqin Xu, Tianze Hu: Experimental Validation. </w:t>
      </w:r>
      <w:r>
        <w:rPr>
          <w:rFonts w:hint="eastAsia" w:eastAsiaTheme="minorEastAsia"/>
          <w:kern w:val="2"/>
        </w:rPr>
        <w:t>Weimin</w:t>
      </w:r>
      <w:r>
        <w:rPr>
          <w:rFonts w:eastAsiaTheme="minorEastAsia"/>
          <w:kern w:val="2"/>
        </w:rPr>
        <w:t xml:space="preserve"> Wu, </w:t>
      </w:r>
      <w:r>
        <w:rPr>
          <w:rFonts w:hint="eastAsia" w:eastAsiaTheme="minorEastAsia"/>
          <w:kern w:val="2"/>
        </w:rPr>
        <w:t>Yanpeng Ye</w:t>
      </w:r>
      <w:r>
        <w:rPr>
          <w:rFonts w:eastAsiaTheme="minorEastAsia"/>
          <w:kern w:val="2"/>
        </w:rPr>
        <w:t xml:space="preserve">, </w:t>
      </w:r>
      <w:r>
        <w:rPr>
          <w:rFonts w:hint="eastAsia" w:eastAsiaTheme="minorEastAsia"/>
          <w:kern w:val="2"/>
        </w:rPr>
        <w:t>Wei Chen</w:t>
      </w:r>
      <w:r>
        <w:rPr>
          <w:rFonts w:eastAsiaTheme="minorEastAsia"/>
          <w:kern w:val="2"/>
        </w:rPr>
        <w:t xml:space="preserve">: </w:t>
      </w:r>
      <w:r>
        <w:rPr>
          <w:rFonts w:hint="eastAsia" w:eastAsiaTheme="minorEastAsia"/>
          <w:kern w:val="2"/>
        </w:rPr>
        <w:t>Modeling</w:t>
      </w:r>
      <w:r>
        <w:rPr>
          <w:rFonts w:eastAsiaTheme="minorEastAsia"/>
          <w:kern w:val="2"/>
        </w:rPr>
        <w:t xml:space="preserve">. Byungju Lee, </w:t>
      </w:r>
      <w:r>
        <w:rPr>
          <w:rFonts w:hint="eastAsia" w:eastAsiaTheme="minorEastAsia"/>
          <w:kern w:val="2"/>
        </w:rPr>
        <w:t>Tong Xie</w:t>
      </w:r>
      <w:r>
        <w:rPr>
          <w:rFonts w:eastAsiaTheme="minorEastAsia"/>
          <w:kern w:val="2"/>
        </w:rPr>
        <w:t xml:space="preserve">, </w:t>
      </w:r>
      <w:r>
        <w:rPr>
          <w:rFonts w:hint="eastAsia" w:eastAsiaTheme="minorEastAsia"/>
          <w:kern w:val="2"/>
        </w:rPr>
        <w:t>Guofu</w:t>
      </w:r>
      <w:r>
        <w:rPr>
          <w:rFonts w:eastAsiaTheme="minorEastAsia"/>
          <w:kern w:val="2"/>
        </w:rPr>
        <w:t xml:space="preserve"> </w:t>
      </w:r>
      <w:r>
        <w:rPr>
          <w:rFonts w:hint="eastAsia" w:eastAsiaTheme="minorEastAsia"/>
          <w:kern w:val="2"/>
        </w:rPr>
        <w:t>Xu</w:t>
      </w:r>
      <w:r>
        <w:rPr>
          <w:rFonts w:eastAsiaTheme="minorEastAsia"/>
          <w:kern w:val="2"/>
        </w:rPr>
        <w:t xml:space="preserve">: </w:t>
      </w:r>
      <w:r>
        <w:rPr>
          <w:rFonts w:hint="eastAsia" w:eastAsiaTheme="minorEastAsia"/>
          <w:kern w:val="2"/>
        </w:rPr>
        <w:t>Writing</w:t>
      </w:r>
      <w:r>
        <w:rPr>
          <w:rFonts w:eastAsiaTheme="minorEastAsia"/>
          <w:kern w:val="2"/>
        </w:rPr>
        <w:t>-review. Yanbin Jiang, Zhou Li: Resources, Project administration, Funding acquisition, Supervision.</w:t>
      </w:r>
    </w:p>
    <w:p w14:paraId="4693BB78">
      <w:pPr>
        <w:pStyle w:val="14"/>
        <w:numPr>
          <w:ilvl w:val="0"/>
          <w:numId w:val="3"/>
        </w:numPr>
        <w:spacing w:beforeAutospacing="0" w:afterAutospacing="0" w:line="360" w:lineRule="auto"/>
        <w:rPr>
          <w:b/>
          <w:bCs/>
        </w:rPr>
      </w:pPr>
      <w:r>
        <w:rPr>
          <w:b/>
          <w:bCs/>
        </w:rPr>
        <w:t>References</w:t>
      </w:r>
      <w:r>
        <w:rPr>
          <w:rFonts w:hint="eastAsia"/>
          <w:b/>
          <w:bCs/>
        </w:rPr>
        <w:t>：</w:t>
      </w:r>
    </w:p>
    <w:p w14:paraId="2C8BD49E">
      <w:pPr>
        <w:pStyle w:val="14"/>
        <w:numPr>
          <w:ilvl w:val="0"/>
          <w:numId w:val="4"/>
        </w:numPr>
        <w:spacing w:beforeAutospacing="0" w:afterAutospacing="0" w:line="360" w:lineRule="auto"/>
        <w:jc w:val="both"/>
        <w:rPr>
          <w:rStyle w:val="13"/>
          <w:sz w:val="22"/>
          <w:szCs w:val="22"/>
        </w:rPr>
      </w:pPr>
      <w:r>
        <w:rPr>
          <w:rFonts w:hint="eastAsia"/>
          <w:sz w:val="22"/>
          <w:szCs w:val="22"/>
        </w:rPr>
        <w:t xml:space="preserve">Wilkinson MD, Dumontier M, Aalbersberg IJ, Appleton G, Axton M, Baak A, et al., 2016. The FAIR Guiding Principles for scientific data management and stewardship. Scientific Data. 3, 160018. </w:t>
      </w:r>
      <w:r>
        <w:fldChar w:fldCharType="begin"/>
      </w:r>
      <w:r>
        <w:instrText xml:space="preserve"> HYPERLINK "https://doi.org/" </w:instrText>
      </w:r>
      <w:r>
        <w:fldChar w:fldCharType="separate"/>
      </w:r>
      <w:r>
        <w:rPr>
          <w:rStyle w:val="13"/>
          <w:rFonts w:hint="eastAsia"/>
          <w:sz w:val="22"/>
          <w:szCs w:val="22"/>
        </w:rPr>
        <w:t>https://doi.org/</w:t>
      </w:r>
      <w:r>
        <w:rPr>
          <w:rStyle w:val="13"/>
          <w:rFonts w:hint="eastAsia"/>
          <w:sz w:val="22"/>
          <w:szCs w:val="22"/>
        </w:rPr>
        <w:fldChar w:fldCharType="end"/>
      </w:r>
      <w:r>
        <w:rPr>
          <w:rStyle w:val="13"/>
          <w:rFonts w:hint="eastAsia"/>
          <w:sz w:val="22"/>
          <w:szCs w:val="22"/>
        </w:rPr>
        <w:t>10.1038/</w:t>
      </w:r>
      <w:r>
        <w:rPr>
          <w:rStyle w:val="13"/>
          <w:rFonts w:hint="eastAsia"/>
          <w:sz w:val="22"/>
          <w:szCs w:val="22"/>
          <w:lang w:val="en-US" w:eastAsia="zh-CN"/>
        </w:rPr>
        <w:t xml:space="preserve"> </w:t>
      </w:r>
      <w:r>
        <w:rPr>
          <w:rStyle w:val="13"/>
          <w:rFonts w:hint="eastAsia"/>
          <w:sz w:val="22"/>
          <w:szCs w:val="22"/>
        </w:rPr>
        <w:t>sdata.2016.18.</w:t>
      </w:r>
    </w:p>
    <w:p w14:paraId="0B688C11">
      <w:pPr>
        <w:pStyle w:val="14"/>
        <w:numPr>
          <w:ilvl w:val="0"/>
          <w:numId w:val="4"/>
        </w:numPr>
        <w:spacing w:beforeAutospacing="0" w:afterAutospacing="0" w:line="360" w:lineRule="auto"/>
        <w:jc w:val="both"/>
        <w:rPr>
          <w:sz w:val="22"/>
          <w:szCs w:val="22"/>
        </w:rPr>
      </w:pPr>
      <w:r>
        <w:rPr>
          <w:rFonts w:hint="eastAsia"/>
          <w:sz w:val="22"/>
          <w:szCs w:val="22"/>
        </w:rPr>
        <w:t xml:space="preserve">Yang H, Ma Z, Lei C, Meng L, Fang Y, Liu J, et al., 2020. High strength and high conductivity Cu alloys: A review. Science China Technological Sciences. 63, 2505-17. </w:t>
      </w:r>
      <w:r>
        <w:fldChar w:fldCharType="begin"/>
      </w:r>
      <w:r>
        <w:instrText xml:space="preserve"> HYPERLINK "https://doi.org/10.1007/s11431-020-1633-8." </w:instrText>
      </w:r>
      <w:r>
        <w:fldChar w:fldCharType="separate"/>
      </w:r>
      <w:r>
        <w:rPr>
          <w:rStyle w:val="13"/>
          <w:rFonts w:hint="eastAsia"/>
          <w:sz w:val="22"/>
          <w:szCs w:val="22"/>
        </w:rPr>
        <w:t>https://doi.org/10.1007/s11431-020-1633-8.</w:t>
      </w:r>
      <w:r>
        <w:rPr>
          <w:rStyle w:val="13"/>
          <w:rFonts w:hint="eastAsia"/>
          <w:sz w:val="22"/>
          <w:szCs w:val="22"/>
        </w:rPr>
        <w:fldChar w:fldCharType="end"/>
      </w:r>
    </w:p>
    <w:p w14:paraId="44D21369">
      <w:pPr>
        <w:pStyle w:val="14"/>
        <w:numPr>
          <w:ilvl w:val="0"/>
          <w:numId w:val="4"/>
        </w:numPr>
        <w:spacing w:beforeAutospacing="0" w:afterAutospacing="0" w:line="360" w:lineRule="auto"/>
        <w:jc w:val="both"/>
      </w:pPr>
      <w:r>
        <w:rPr>
          <w:rFonts w:hint="eastAsia"/>
          <w:sz w:val="22"/>
          <w:szCs w:val="22"/>
        </w:rPr>
        <w:t>Gorsse S, Ouvrard B, Gouné M, Poulon-Quintin A, 2015. Microstructural design of new high conductivity</w:t>
      </w:r>
      <w:r>
        <w:rPr>
          <w:sz w:val="22"/>
          <w:szCs w:val="22"/>
        </w:rPr>
        <w:t>-</w:t>
      </w:r>
      <w:r>
        <w:rPr>
          <w:rFonts w:hint="eastAsia"/>
          <w:sz w:val="22"/>
          <w:szCs w:val="22"/>
        </w:rPr>
        <w:t xml:space="preserve">high strength Cu-based alloy. Journal of Alloys and Compounds. 633, 42-7. </w:t>
      </w:r>
      <w:r>
        <w:fldChar w:fldCharType="begin"/>
      </w:r>
      <w:r>
        <w:instrText xml:space="preserve"> HYPERLINK "https://doi.org/https://doi.org/10.1016/j.jallcom.2015.01.234." </w:instrText>
      </w:r>
      <w:r>
        <w:fldChar w:fldCharType="separate"/>
      </w:r>
      <w:r>
        <w:rPr>
          <w:rStyle w:val="13"/>
          <w:rFonts w:hint="eastAsia"/>
          <w:sz w:val="22"/>
          <w:szCs w:val="22"/>
        </w:rPr>
        <w:t>https://doi.org/https://doi.org/10.1016/j.</w:t>
      </w:r>
      <w:r>
        <w:rPr>
          <w:rStyle w:val="13"/>
          <w:rFonts w:hint="eastAsia"/>
          <w:sz w:val="22"/>
          <w:szCs w:val="22"/>
          <w:lang w:val="en-US" w:eastAsia="zh-CN"/>
        </w:rPr>
        <w:t xml:space="preserve"> </w:t>
      </w:r>
      <w:r>
        <w:rPr>
          <w:rStyle w:val="13"/>
          <w:rFonts w:hint="eastAsia"/>
          <w:sz w:val="22"/>
          <w:szCs w:val="22"/>
        </w:rPr>
        <w:t>jallcom.2015.01.234.</w:t>
      </w:r>
      <w:r>
        <w:rPr>
          <w:rStyle w:val="13"/>
          <w:rFonts w:hint="eastAsia"/>
          <w:sz w:val="22"/>
          <w:szCs w:val="22"/>
        </w:rPr>
        <w:fldChar w:fldCharType="end"/>
      </w:r>
    </w:p>
    <w:p w14:paraId="4A3F7591">
      <w:pPr>
        <w:pStyle w:val="14"/>
        <w:numPr>
          <w:ilvl w:val="0"/>
          <w:numId w:val="4"/>
        </w:numPr>
        <w:spacing w:beforeAutospacing="0" w:afterAutospacing="0" w:line="360" w:lineRule="auto"/>
        <w:jc w:val="both"/>
        <w:rPr>
          <w:sz w:val="22"/>
          <w:szCs w:val="22"/>
        </w:rPr>
      </w:pPr>
      <w:r>
        <w:rPr>
          <w:rFonts w:hint="eastAsia"/>
          <w:sz w:val="22"/>
          <w:szCs w:val="22"/>
        </w:rPr>
        <w:t xml:space="preserve">Wu C, Liao M, Zhou X, Chen J, Qian X, Wang Y, et al., 2026. Exploring the Pareto front of strength-conductivity trade-off: interpretable machine learning for property prediction and composition design in high-strength high-conductivity Cu alloys. Journal of Materials Informatics. 6, 6. </w:t>
      </w:r>
    </w:p>
    <w:p w14:paraId="7F8E0E05">
      <w:pPr>
        <w:pStyle w:val="14"/>
        <w:numPr>
          <w:ilvl w:val="0"/>
          <w:numId w:val="4"/>
        </w:numPr>
        <w:spacing w:beforeAutospacing="0" w:afterAutospacing="0" w:line="360" w:lineRule="auto"/>
        <w:jc w:val="both"/>
        <w:rPr>
          <w:sz w:val="22"/>
          <w:szCs w:val="22"/>
        </w:rPr>
      </w:pPr>
      <w:r>
        <w:rPr>
          <w:rFonts w:hint="eastAsia"/>
          <w:sz w:val="22"/>
          <w:szCs w:val="22"/>
        </w:rPr>
        <w:t xml:space="preserve">Zhang H, Fu H, He X, Wang C, Jiang L, Chen L-Q, et al., 2020. Dramatically Enhanced Combination of Ultimate Tensile Strength and Electric Conductivity of Alloys via Machine Learning Screening. Acta Materialia. 200, 803-10. </w:t>
      </w:r>
      <w:r>
        <w:fldChar w:fldCharType="begin"/>
      </w:r>
      <w:r>
        <w:instrText xml:space="preserve"> HYPERLINK "https://doi.org/https://doi.org/" </w:instrText>
      </w:r>
      <w:r>
        <w:fldChar w:fldCharType="separate"/>
      </w:r>
      <w:r>
        <w:rPr>
          <w:rStyle w:val="13"/>
          <w:rFonts w:hint="eastAsia"/>
          <w:sz w:val="22"/>
          <w:szCs w:val="22"/>
        </w:rPr>
        <w:t>https://doi.org/https://doi.org/</w:t>
      </w:r>
      <w:r>
        <w:rPr>
          <w:rStyle w:val="13"/>
          <w:rFonts w:hint="eastAsia"/>
          <w:sz w:val="22"/>
          <w:szCs w:val="22"/>
        </w:rPr>
        <w:fldChar w:fldCharType="end"/>
      </w:r>
      <w:r>
        <w:rPr>
          <w:rFonts w:hint="eastAsia"/>
          <w:sz w:val="22"/>
          <w:szCs w:val="22"/>
        </w:rPr>
        <w:t>10.1016/</w:t>
      </w:r>
      <w:r>
        <w:rPr>
          <w:sz w:val="22"/>
          <w:szCs w:val="22"/>
        </w:rPr>
        <w:t xml:space="preserve"> </w:t>
      </w:r>
      <w:r>
        <w:rPr>
          <w:rFonts w:hint="eastAsia"/>
          <w:sz w:val="22"/>
          <w:szCs w:val="22"/>
        </w:rPr>
        <w:t>j.actamat.2020.09.068.</w:t>
      </w:r>
    </w:p>
    <w:p w14:paraId="07BCC790">
      <w:pPr>
        <w:pStyle w:val="14"/>
        <w:numPr>
          <w:ilvl w:val="0"/>
          <w:numId w:val="4"/>
        </w:numPr>
        <w:spacing w:beforeAutospacing="0" w:afterAutospacing="0" w:line="360" w:lineRule="auto"/>
        <w:jc w:val="both"/>
        <w:rPr>
          <w:sz w:val="22"/>
          <w:szCs w:val="22"/>
        </w:rPr>
      </w:pPr>
      <w:r>
        <w:rPr>
          <w:rFonts w:hint="eastAsia"/>
          <w:sz w:val="22"/>
          <w:szCs w:val="22"/>
        </w:rPr>
        <w:t xml:space="preserve">Wang C, Fu H, Jiang L, Xue D, Xie J, 2019. A property-oriented design strategy for high performance copper alloys via machine learning. npj Computational Materials. 5, 87. </w:t>
      </w:r>
      <w:r>
        <w:fldChar w:fldCharType="begin"/>
      </w:r>
      <w:r>
        <w:instrText xml:space="preserve"> HYPERLINK "https://doi.org/" </w:instrText>
      </w:r>
      <w:r>
        <w:fldChar w:fldCharType="separate"/>
      </w:r>
      <w:r>
        <w:rPr>
          <w:rStyle w:val="13"/>
          <w:rFonts w:hint="eastAsia"/>
          <w:sz w:val="22"/>
          <w:szCs w:val="22"/>
        </w:rPr>
        <w:t>https://doi.org/</w:t>
      </w:r>
      <w:r>
        <w:rPr>
          <w:rStyle w:val="13"/>
          <w:rFonts w:hint="eastAsia"/>
          <w:sz w:val="22"/>
          <w:szCs w:val="22"/>
        </w:rPr>
        <w:fldChar w:fldCharType="end"/>
      </w:r>
      <w:r>
        <w:rPr>
          <w:rFonts w:hint="eastAsia"/>
          <w:sz w:val="22"/>
          <w:szCs w:val="22"/>
        </w:rPr>
        <w:t>10.1038/s41524-019-0227-7.</w:t>
      </w:r>
    </w:p>
    <w:p w14:paraId="70408898">
      <w:pPr>
        <w:pStyle w:val="14"/>
        <w:numPr>
          <w:ilvl w:val="0"/>
          <w:numId w:val="4"/>
        </w:numPr>
        <w:spacing w:beforeAutospacing="0" w:afterAutospacing="0" w:line="360" w:lineRule="auto"/>
        <w:jc w:val="both"/>
        <w:rPr>
          <w:sz w:val="22"/>
          <w:szCs w:val="22"/>
        </w:rPr>
      </w:pPr>
      <w:r>
        <w:rPr>
          <w:rFonts w:hint="eastAsia"/>
          <w:sz w:val="22"/>
          <w:szCs w:val="22"/>
        </w:rPr>
        <w:t xml:space="preserve">Qin Z, Zhao H, Zhang S, Fan Y, Dong X, Lan Z, et al., 2024. Design of high performance Cu-Ni-Si alloys via a multiobjective strategy based on machine learning. Materials Today Communications. 39, 108833. </w:t>
      </w:r>
      <w:r>
        <w:fldChar w:fldCharType="begin"/>
      </w:r>
      <w:r>
        <w:instrText xml:space="preserve"> HYPERLINK "https://doi.org/https://doi.org/10.1016/" </w:instrText>
      </w:r>
      <w:r>
        <w:fldChar w:fldCharType="separate"/>
      </w:r>
      <w:r>
        <w:rPr>
          <w:rStyle w:val="13"/>
          <w:rFonts w:hint="eastAsia"/>
          <w:sz w:val="22"/>
          <w:szCs w:val="22"/>
        </w:rPr>
        <w:t>https://doi.org/</w:t>
      </w:r>
      <w:r>
        <w:rPr>
          <w:rStyle w:val="13"/>
          <w:rFonts w:hint="eastAsia"/>
          <w:sz w:val="22"/>
          <w:szCs w:val="22"/>
          <w:lang w:val="en-US" w:eastAsia="zh-CN"/>
        </w:rPr>
        <w:t xml:space="preserve"> </w:t>
      </w:r>
      <w:r>
        <w:rPr>
          <w:rStyle w:val="13"/>
          <w:rFonts w:hint="eastAsia"/>
          <w:sz w:val="22"/>
          <w:szCs w:val="22"/>
        </w:rPr>
        <w:t>https://doi.org/10.1016/</w:t>
      </w:r>
      <w:r>
        <w:rPr>
          <w:rStyle w:val="13"/>
          <w:rFonts w:hint="eastAsia"/>
          <w:sz w:val="22"/>
          <w:szCs w:val="22"/>
        </w:rPr>
        <w:fldChar w:fldCharType="end"/>
      </w:r>
      <w:r>
        <w:rPr>
          <w:rFonts w:hint="eastAsia"/>
          <w:sz w:val="22"/>
          <w:szCs w:val="22"/>
        </w:rPr>
        <w:t>j.mtcomm.2024.108833.</w:t>
      </w:r>
    </w:p>
    <w:p w14:paraId="76C532A4">
      <w:pPr>
        <w:pStyle w:val="14"/>
        <w:numPr>
          <w:ilvl w:val="0"/>
          <w:numId w:val="4"/>
        </w:numPr>
        <w:spacing w:beforeAutospacing="0" w:afterAutospacing="0" w:line="360" w:lineRule="auto"/>
        <w:jc w:val="both"/>
        <w:rPr>
          <w:sz w:val="22"/>
          <w:szCs w:val="22"/>
        </w:rPr>
      </w:pPr>
      <w:r>
        <w:rPr>
          <w:rFonts w:hint="eastAsia"/>
          <w:sz w:val="22"/>
          <w:szCs w:val="22"/>
        </w:rPr>
        <w:t xml:space="preserve">Jiang L, Fu H, Wang C, Li W, Xie J, 2019. Enhanced Mechanical and Electrical Properties of a Cu-Ni-Si Alloy by Thermo-mechanical Processing. Metallurgical and Materials Transactions A. 51, 331-41. </w:t>
      </w:r>
      <w:r>
        <w:fldChar w:fldCharType="begin"/>
      </w:r>
      <w:r>
        <w:instrText xml:space="preserve"> HYPERLINK "https://doi.org/" </w:instrText>
      </w:r>
      <w:r>
        <w:fldChar w:fldCharType="separate"/>
      </w:r>
      <w:r>
        <w:rPr>
          <w:rStyle w:val="13"/>
          <w:rFonts w:hint="eastAsia"/>
          <w:sz w:val="22"/>
          <w:szCs w:val="22"/>
        </w:rPr>
        <w:t>https://doi.org/</w:t>
      </w:r>
      <w:r>
        <w:rPr>
          <w:rStyle w:val="13"/>
          <w:rFonts w:hint="eastAsia"/>
          <w:sz w:val="22"/>
          <w:szCs w:val="22"/>
        </w:rPr>
        <w:fldChar w:fldCharType="end"/>
      </w:r>
      <w:r>
        <w:rPr>
          <w:rFonts w:hint="eastAsia"/>
          <w:sz w:val="22"/>
          <w:szCs w:val="22"/>
        </w:rPr>
        <w:t>10.1007/</w:t>
      </w:r>
      <w:r>
        <w:rPr>
          <w:rFonts w:hint="eastAsia"/>
          <w:sz w:val="22"/>
          <w:szCs w:val="22"/>
          <w:lang w:val="en-US" w:eastAsia="zh-CN"/>
        </w:rPr>
        <w:t xml:space="preserve"> </w:t>
      </w:r>
      <w:r>
        <w:rPr>
          <w:rFonts w:hint="eastAsia"/>
          <w:sz w:val="22"/>
          <w:szCs w:val="22"/>
        </w:rPr>
        <w:t>s11661-019-05507-3.</w:t>
      </w:r>
    </w:p>
    <w:p w14:paraId="0634AE80">
      <w:pPr>
        <w:pStyle w:val="14"/>
        <w:numPr>
          <w:ilvl w:val="0"/>
          <w:numId w:val="4"/>
        </w:numPr>
        <w:spacing w:beforeAutospacing="0" w:afterAutospacing="0" w:line="360" w:lineRule="auto"/>
        <w:jc w:val="both"/>
        <w:rPr>
          <w:sz w:val="22"/>
          <w:szCs w:val="22"/>
        </w:rPr>
      </w:pPr>
      <w:r>
        <w:rPr>
          <w:rFonts w:hint="eastAsia"/>
          <w:sz w:val="22"/>
          <w:szCs w:val="22"/>
        </w:rPr>
        <w:t xml:space="preserve">Yi J, Jia Y, Zhao Y, Xiao Z, He K, Wang Q, et al., 2019. Precipitation behavior of Cu-3.0Ni-0.72Si alloy. Acta Materialia. 166, 261-70. </w:t>
      </w:r>
      <w:r>
        <w:fldChar w:fldCharType="begin"/>
      </w:r>
      <w:r>
        <w:instrText xml:space="preserve"> HYPERLINK "https://doi.org/https://doi.org/10.1016/" </w:instrText>
      </w:r>
      <w:r>
        <w:fldChar w:fldCharType="separate"/>
      </w:r>
      <w:r>
        <w:rPr>
          <w:rStyle w:val="13"/>
          <w:rFonts w:hint="eastAsia"/>
          <w:sz w:val="22"/>
          <w:szCs w:val="22"/>
        </w:rPr>
        <w:t>https://doi.org/https://doi.org/10.1016/</w:t>
      </w:r>
      <w:r>
        <w:rPr>
          <w:rStyle w:val="13"/>
          <w:rFonts w:hint="eastAsia"/>
          <w:sz w:val="22"/>
          <w:szCs w:val="22"/>
        </w:rPr>
        <w:fldChar w:fldCharType="end"/>
      </w:r>
      <w:r>
        <w:rPr>
          <w:sz w:val="22"/>
          <w:szCs w:val="22"/>
        </w:rPr>
        <w:t xml:space="preserve"> </w:t>
      </w:r>
      <w:r>
        <w:rPr>
          <w:rFonts w:hint="eastAsia"/>
          <w:sz w:val="22"/>
          <w:szCs w:val="22"/>
        </w:rPr>
        <w:t>j.actamat.2018.12.047.</w:t>
      </w:r>
    </w:p>
    <w:p w14:paraId="2E170DC9">
      <w:pPr>
        <w:pStyle w:val="14"/>
        <w:numPr>
          <w:ilvl w:val="0"/>
          <w:numId w:val="4"/>
        </w:numPr>
        <w:spacing w:beforeAutospacing="0" w:afterAutospacing="0" w:line="360" w:lineRule="auto"/>
        <w:jc w:val="both"/>
        <w:rPr>
          <w:sz w:val="22"/>
          <w:szCs w:val="22"/>
        </w:rPr>
      </w:pPr>
      <w:r>
        <w:rPr>
          <w:rFonts w:hint="eastAsia"/>
          <w:sz w:val="22"/>
          <w:szCs w:val="22"/>
        </w:rPr>
        <w:t>Choi J, Lee B, 2024. Accelerating materials language processing with large language models. Communications Materials. 5, 13. https://doi.org/10.1038/s43246-024-00449-9.</w:t>
      </w:r>
    </w:p>
    <w:p w14:paraId="4578B515">
      <w:pPr>
        <w:pStyle w:val="14"/>
        <w:numPr>
          <w:ilvl w:val="0"/>
          <w:numId w:val="4"/>
        </w:numPr>
        <w:spacing w:beforeAutospacing="0" w:afterAutospacing="0" w:line="360" w:lineRule="auto"/>
        <w:jc w:val="both"/>
        <w:rPr>
          <w:sz w:val="22"/>
          <w:szCs w:val="22"/>
        </w:rPr>
      </w:pPr>
      <w:r>
        <w:rPr>
          <w:rFonts w:hint="eastAsia"/>
          <w:sz w:val="22"/>
          <w:szCs w:val="22"/>
        </w:rPr>
        <w:t xml:space="preserve">Xie T, Wan Y, Huang W, Zhou Y, Liu Y, Linghu Q, et al., 2023. Large Language Models as Master Key: Unlocking the Secrets of Materials Science with GPT. ArXiv. abs/2304.02213, </w:t>
      </w:r>
    </w:p>
    <w:p w14:paraId="42C7B108">
      <w:pPr>
        <w:pStyle w:val="14"/>
        <w:numPr>
          <w:ilvl w:val="0"/>
          <w:numId w:val="4"/>
        </w:numPr>
        <w:spacing w:beforeAutospacing="0" w:afterAutospacing="0" w:line="360" w:lineRule="auto"/>
        <w:jc w:val="both"/>
        <w:rPr>
          <w:sz w:val="22"/>
          <w:szCs w:val="22"/>
        </w:rPr>
      </w:pPr>
      <w:r>
        <w:rPr>
          <w:rFonts w:hint="eastAsia"/>
          <w:sz w:val="22"/>
          <w:szCs w:val="22"/>
        </w:rPr>
        <w:t xml:space="preserve">Gupta T, Zaki M, Krishnan NMA, Mausam, 2022. MatSciBERT: A materials domain language model for text mining and information extraction. npj Computational Materials. 8, 102. </w:t>
      </w:r>
      <w:r>
        <w:fldChar w:fldCharType="begin"/>
      </w:r>
      <w:r>
        <w:instrText xml:space="preserve"> HYPERLINK "https://doi.org/10.1038/s41524-022-00784-w." </w:instrText>
      </w:r>
      <w:r>
        <w:fldChar w:fldCharType="separate"/>
      </w:r>
      <w:r>
        <w:rPr>
          <w:rStyle w:val="13"/>
          <w:rFonts w:hint="eastAsia"/>
          <w:sz w:val="22"/>
          <w:szCs w:val="22"/>
        </w:rPr>
        <w:t>https://doi.org/10.1038/s41524-022-00784-w.</w:t>
      </w:r>
      <w:r>
        <w:rPr>
          <w:rStyle w:val="13"/>
          <w:rFonts w:hint="eastAsia"/>
          <w:sz w:val="22"/>
          <w:szCs w:val="22"/>
        </w:rPr>
        <w:fldChar w:fldCharType="end"/>
      </w:r>
    </w:p>
    <w:p w14:paraId="01DF67E9">
      <w:pPr>
        <w:pStyle w:val="14"/>
        <w:numPr>
          <w:ilvl w:val="0"/>
          <w:numId w:val="4"/>
        </w:numPr>
        <w:spacing w:beforeAutospacing="0" w:afterAutospacing="0" w:line="360" w:lineRule="auto"/>
        <w:jc w:val="both"/>
        <w:rPr>
          <w:sz w:val="22"/>
          <w:szCs w:val="22"/>
        </w:rPr>
      </w:pPr>
      <w:r>
        <w:rPr>
          <w:rFonts w:hint="eastAsia"/>
          <w:sz w:val="22"/>
          <w:szCs w:val="22"/>
        </w:rPr>
        <w:t>Zhao Z, Tan F, Xie T, Chen W, Yu J, Ye Y, et al., 2026. Automated distillation of composition–processing–structure–performance linkages from fragmented and multi-modal materials literature. Materials &amp; Design. 267, 116250. https://doi.org/https://doi.org/10.1016/j.matdes.2026.116250.</w:t>
      </w:r>
    </w:p>
    <w:p w14:paraId="72A20D9D">
      <w:pPr>
        <w:pStyle w:val="14"/>
        <w:numPr>
          <w:ilvl w:val="0"/>
          <w:numId w:val="4"/>
        </w:numPr>
        <w:spacing w:beforeAutospacing="0" w:afterAutospacing="0" w:line="360" w:lineRule="auto"/>
        <w:jc w:val="both"/>
        <w:rPr>
          <w:sz w:val="22"/>
          <w:szCs w:val="22"/>
        </w:rPr>
      </w:pPr>
      <w:r>
        <w:rPr>
          <w:rFonts w:hint="eastAsia"/>
          <w:sz w:val="22"/>
          <w:szCs w:val="22"/>
        </w:rPr>
        <w:t xml:space="preserve">Choi J, Lee B, 2024. Quantitative Topic Analysis of Materials Science Literature Using Natural Language Processing. ACS Appl Mater Interfaces.16,1957-68. </w:t>
      </w:r>
      <w:r>
        <w:fldChar w:fldCharType="begin"/>
      </w:r>
      <w:r>
        <w:instrText xml:space="preserve"> HYPERLINK "https://doi.org/" </w:instrText>
      </w:r>
      <w:r>
        <w:fldChar w:fldCharType="separate"/>
      </w:r>
      <w:r>
        <w:rPr>
          <w:rStyle w:val="13"/>
          <w:rFonts w:hint="eastAsia"/>
          <w:sz w:val="22"/>
          <w:szCs w:val="22"/>
        </w:rPr>
        <w:t>https://doi.org/</w:t>
      </w:r>
      <w:r>
        <w:rPr>
          <w:rStyle w:val="13"/>
          <w:rFonts w:hint="eastAsia"/>
          <w:sz w:val="22"/>
          <w:szCs w:val="22"/>
        </w:rPr>
        <w:fldChar w:fldCharType="end"/>
      </w:r>
      <w:r>
        <w:rPr>
          <w:rFonts w:hint="eastAsia"/>
          <w:sz w:val="22"/>
          <w:szCs w:val="22"/>
        </w:rPr>
        <w:t>10. 1021/acsami.3c12301.</w:t>
      </w:r>
    </w:p>
    <w:p w14:paraId="4DF1342D">
      <w:pPr>
        <w:pStyle w:val="14"/>
        <w:numPr>
          <w:ilvl w:val="0"/>
          <w:numId w:val="4"/>
        </w:numPr>
        <w:spacing w:beforeAutospacing="0" w:afterAutospacing="0" w:line="360" w:lineRule="auto"/>
        <w:jc w:val="both"/>
        <w:rPr>
          <w:sz w:val="22"/>
          <w:szCs w:val="22"/>
          <w:highlight w:val="none"/>
        </w:rPr>
      </w:pPr>
      <w:r>
        <w:rPr>
          <w:rFonts w:hint="eastAsia"/>
          <w:sz w:val="22"/>
          <w:szCs w:val="22"/>
          <w:highlight w:val="none"/>
        </w:rPr>
        <w:t xml:space="preserve">Grootendorst MR, 2022. BERTopic: Neural topic modeling with a class-based TF-IDF procedure. ArXiv. abs/2203.05794, </w:t>
      </w:r>
    </w:p>
    <w:p w14:paraId="396B81BB">
      <w:pPr>
        <w:pStyle w:val="14"/>
        <w:numPr>
          <w:ilvl w:val="0"/>
          <w:numId w:val="4"/>
        </w:numPr>
        <w:spacing w:beforeAutospacing="0" w:afterAutospacing="0" w:line="360" w:lineRule="auto"/>
        <w:jc w:val="both"/>
        <w:rPr>
          <w:sz w:val="22"/>
          <w:szCs w:val="22"/>
        </w:rPr>
      </w:pPr>
      <w:r>
        <w:rPr>
          <w:rFonts w:hint="eastAsia"/>
          <w:sz w:val="22"/>
          <w:szCs w:val="22"/>
        </w:rPr>
        <w:t xml:space="preserve">McInnes L, Healy J, 2018. UMAP: Uniform Manifold Approximation and Projection for Dimension Reduction. ArXiv. abs/1802.03426, </w:t>
      </w:r>
    </w:p>
    <w:p w14:paraId="6C5CC589">
      <w:pPr>
        <w:pStyle w:val="14"/>
        <w:numPr>
          <w:ilvl w:val="0"/>
          <w:numId w:val="4"/>
        </w:numPr>
        <w:spacing w:beforeAutospacing="0" w:afterAutospacing="0" w:line="360" w:lineRule="auto"/>
        <w:jc w:val="both"/>
        <w:rPr>
          <w:sz w:val="22"/>
          <w:szCs w:val="22"/>
        </w:rPr>
      </w:pPr>
      <w:r>
        <w:rPr>
          <w:rFonts w:hint="eastAsia"/>
          <w:sz w:val="22"/>
          <w:szCs w:val="22"/>
        </w:rPr>
        <w:t xml:space="preserve">Yun P, Fu H, Zhang H, Jiang L, Xiao X, Zhu S, et al., 2025. Mechanical and Electrical Properties dataset of Cu-Cr-X alloys generated with automated figure data extraction. Scientific Data. 12, 2023. </w:t>
      </w:r>
      <w:r>
        <w:rPr>
          <w:rFonts w:hint="eastAsia"/>
          <w:sz w:val="22"/>
          <w:szCs w:val="22"/>
        </w:rPr>
        <w:fldChar w:fldCharType="begin"/>
      </w:r>
      <w:r>
        <w:rPr>
          <w:rFonts w:hint="eastAsia"/>
          <w:sz w:val="22"/>
          <w:szCs w:val="22"/>
        </w:rPr>
        <w:instrText xml:space="preserve"> HYPERLINK "https://doi.org/10.1038/s41597-" </w:instrText>
      </w:r>
      <w:r>
        <w:rPr>
          <w:rFonts w:hint="eastAsia"/>
          <w:sz w:val="22"/>
          <w:szCs w:val="22"/>
        </w:rPr>
        <w:fldChar w:fldCharType="separate"/>
      </w:r>
      <w:r>
        <w:rPr>
          <w:rStyle w:val="13"/>
          <w:rFonts w:hint="eastAsia"/>
          <w:sz w:val="22"/>
          <w:szCs w:val="22"/>
        </w:rPr>
        <w:t>https://doi.org/10.1038/</w:t>
      </w:r>
      <w:r>
        <w:rPr>
          <w:rStyle w:val="13"/>
          <w:rFonts w:hint="default"/>
          <w:sz w:val="22"/>
          <w:szCs w:val="22"/>
          <w:lang w:val="en-US"/>
        </w:rPr>
        <w:t xml:space="preserve"> </w:t>
      </w:r>
      <w:r>
        <w:rPr>
          <w:rStyle w:val="13"/>
          <w:rFonts w:hint="eastAsia"/>
          <w:sz w:val="22"/>
          <w:szCs w:val="22"/>
        </w:rPr>
        <w:t>s41597-</w:t>
      </w:r>
      <w:r>
        <w:rPr>
          <w:rFonts w:hint="eastAsia"/>
          <w:sz w:val="22"/>
          <w:szCs w:val="22"/>
        </w:rPr>
        <w:fldChar w:fldCharType="end"/>
      </w:r>
      <w:r>
        <w:rPr>
          <w:rFonts w:hint="eastAsia"/>
          <w:sz w:val="22"/>
          <w:szCs w:val="22"/>
        </w:rPr>
        <w:t>025-06295-9.</w:t>
      </w:r>
    </w:p>
    <w:p w14:paraId="3E131A79">
      <w:pPr>
        <w:pStyle w:val="14"/>
        <w:numPr>
          <w:ilvl w:val="0"/>
          <w:numId w:val="4"/>
        </w:numPr>
        <w:spacing w:beforeAutospacing="0" w:afterAutospacing="0" w:line="360" w:lineRule="auto"/>
        <w:jc w:val="both"/>
        <w:rPr>
          <w:sz w:val="22"/>
          <w:szCs w:val="22"/>
        </w:rPr>
      </w:pPr>
      <w:r>
        <w:rPr>
          <w:rFonts w:hint="eastAsia"/>
          <w:sz w:val="22"/>
          <w:szCs w:val="22"/>
        </w:rPr>
        <w:t xml:space="preserve">Gorsse S, Gouné M, Lin W-C, Girard L, 2023. Dataset of mechanical properties and electrical conductivity of copper-based alloys. Scientific Data. 10, 504. </w:t>
      </w:r>
      <w:r>
        <w:fldChar w:fldCharType="begin"/>
      </w:r>
      <w:r>
        <w:instrText xml:space="preserve"> HYPERLINK "https://doi.org/10.1038/" </w:instrText>
      </w:r>
      <w:r>
        <w:fldChar w:fldCharType="separate"/>
      </w:r>
      <w:r>
        <w:rPr>
          <w:rStyle w:val="13"/>
          <w:rFonts w:hint="eastAsia"/>
          <w:sz w:val="22"/>
          <w:szCs w:val="22"/>
        </w:rPr>
        <w:t>https://doi.org/10. 1038/</w:t>
      </w:r>
      <w:r>
        <w:rPr>
          <w:rStyle w:val="13"/>
          <w:rFonts w:hint="eastAsia"/>
          <w:sz w:val="22"/>
          <w:szCs w:val="22"/>
        </w:rPr>
        <w:fldChar w:fldCharType="end"/>
      </w:r>
      <w:r>
        <w:rPr>
          <w:rFonts w:hint="eastAsia"/>
          <w:sz w:val="22"/>
          <w:szCs w:val="22"/>
        </w:rPr>
        <w:t>s41597-023-02411-9.</w:t>
      </w:r>
    </w:p>
    <w:p w14:paraId="7DEB579D">
      <w:pPr>
        <w:pStyle w:val="14"/>
        <w:numPr>
          <w:ilvl w:val="0"/>
          <w:numId w:val="4"/>
        </w:numPr>
        <w:spacing w:beforeAutospacing="0" w:afterAutospacing="0" w:line="360" w:lineRule="auto"/>
        <w:jc w:val="both"/>
        <w:rPr>
          <w:sz w:val="22"/>
          <w:szCs w:val="22"/>
        </w:rPr>
      </w:pPr>
      <w:r>
        <w:rPr>
          <w:rFonts w:hint="eastAsia"/>
          <w:sz w:val="22"/>
          <w:szCs w:val="22"/>
        </w:rPr>
        <w:t xml:space="preserve">Ding X, Li Y, Chen S, 2024. Maximum margin and global criterion based-recursive feature selection. Neural Networks. 169, 597-606. </w:t>
      </w:r>
      <w:r>
        <w:fldChar w:fldCharType="begin"/>
      </w:r>
      <w:r>
        <w:instrText xml:space="preserve"> HYPERLINK "https://doi.org/https://doi.org/10.1016/" </w:instrText>
      </w:r>
      <w:r>
        <w:fldChar w:fldCharType="separate"/>
      </w:r>
      <w:r>
        <w:rPr>
          <w:rStyle w:val="13"/>
          <w:rFonts w:hint="eastAsia"/>
          <w:sz w:val="22"/>
          <w:szCs w:val="22"/>
        </w:rPr>
        <w:t>https://doi.org/https://doi.org/10.1016/</w:t>
      </w:r>
      <w:r>
        <w:rPr>
          <w:rStyle w:val="13"/>
          <w:rFonts w:hint="eastAsia"/>
          <w:sz w:val="22"/>
          <w:szCs w:val="22"/>
        </w:rPr>
        <w:fldChar w:fldCharType="end"/>
      </w:r>
      <w:r>
        <w:rPr>
          <w:rFonts w:hint="eastAsia"/>
          <w:sz w:val="22"/>
          <w:szCs w:val="22"/>
        </w:rPr>
        <w:t>j. neunet.2023.10.037.</w:t>
      </w:r>
    </w:p>
    <w:p w14:paraId="488D2310">
      <w:pPr>
        <w:pStyle w:val="14"/>
        <w:numPr>
          <w:ilvl w:val="0"/>
          <w:numId w:val="4"/>
        </w:numPr>
        <w:spacing w:beforeAutospacing="0" w:afterAutospacing="0" w:line="360" w:lineRule="auto"/>
        <w:jc w:val="both"/>
        <w:rPr>
          <w:sz w:val="22"/>
          <w:szCs w:val="22"/>
        </w:rPr>
      </w:pPr>
      <w:r>
        <w:rPr>
          <w:rFonts w:hint="eastAsia"/>
          <w:sz w:val="22"/>
          <w:szCs w:val="22"/>
        </w:rPr>
        <w:t xml:space="preserve">Zhang S, Wang WY, Wang X, Li G, Ren Y, Gao X, et al., 2024. Large language models enabled intelligent microstructure optimization and defects classification of welded titanium alloys. Journal of Materials Informatics. 4, 34. </w:t>
      </w:r>
    </w:p>
    <w:p w14:paraId="6986EE8F">
      <w:pPr>
        <w:pStyle w:val="14"/>
        <w:numPr>
          <w:ilvl w:val="0"/>
          <w:numId w:val="4"/>
        </w:numPr>
        <w:spacing w:beforeAutospacing="0" w:afterAutospacing="0" w:line="360" w:lineRule="auto"/>
        <w:jc w:val="both"/>
        <w:rPr>
          <w:sz w:val="22"/>
          <w:szCs w:val="22"/>
        </w:rPr>
      </w:pPr>
      <w:r>
        <w:rPr>
          <w:rFonts w:hint="eastAsia"/>
          <w:sz w:val="22"/>
          <w:szCs w:val="22"/>
        </w:rPr>
        <w:t>Miret S, Krishnan NMA, 2025. Enabling large language models for real-world materials discovery. Nature Machine Intelligence. 7, 991-8. https://doi.org/10.1038/s42256-025-01058-y.</w:t>
      </w:r>
    </w:p>
    <w:p w14:paraId="787AC44E">
      <w:pPr>
        <w:pStyle w:val="14"/>
        <w:numPr>
          <w:ilvl w:val="0"/>
          <w:numId w:val="4"/>
        </w:numPr>
        <w:spacing w:beforeAutospacing="0" w:afterAutospacing="0" w:line="360" w:lineRule="auto"/>
        <w:jc w:val="both"/>
        <w:rPr>
          <w:sz w:val="22"/>
          <w:szCs w:val="22"/>
        </w:rPr>
      </w:pPr>
      <w:r>
        <w:rPr>
          <w:rFonts w:hint="eastAsia"/>
          <w:sz w:val="22"/>
          <w:szCs w:val="22"/>
        </w:rPr>
        <w:t xml:space="preserve">Liu N, Jafarzadeh S, Lattimer BY, Ni S, Lua J, Yu Y, 2025. Harnessing large language models for data-scarce learning of polymer properties. Nature Computational Science. 5, 245-54. </w:t>
      </w:r>
      <w:r>
        <w:fldChar w:fldCharType="begin"/>
      </w:r>
      <w:r>
        <w:instrText xml:space="preserve"> HYPERLINK "https://doi.org/" </w:instrText>
      </w:r>
      <w:r>
        <w:fldChar w:fldCharType="separate"/>
      </w:r>
      <w:r>
        <w:rPr>
          <w:rStyle w:val="13"/>
          <w:rFonts w:hint="eastAsia"/>
          <w:sz w:val="22"/>
          <w:szCs w:val="22"/>
        </w:rPr>
        <w:t>https://doi.org/</w:t>
      </w:r>
      <w:r>
        <w:rPr>
          <w:rStyle w:val="13"/>
          <w:rFonts w:hint="eastAsia"/>
          <w:sz w:val="22"/>
          <w:szCs w:val="22"/>
        </w:rPr>
        <w:fldChar w:fldCharType="end"/>
      </w:r>
      <w:r>
        <w:rPr>
          <w:rFonts w:hint="eastAsia"/>
          <w:sz w:val="22"/>
          <w:szCs w:val="22"/>
        </w:rPr>
        <w:t>10.1038/</w:t>
      </w:r>
      <w:r>
        <w:rPr>
          <w:sz w:val="22"/>
          <w:szCs w:val="22"/>
        </w:rPr>
        <w:t xml:space="preserve"> </w:t>
      </w:r>
      <w:r>
        <w:rPr>
          <w:rFonts w:hint="eastAsia"/>
          <w:sz w:val="22"/>
          <w:szCs w:val="22"/>
        </w:rPr>
        <w:t>s43588-025-00768-y.</w:t>
      </w:r>
    </w:p>
    <w:p w14:paraId="18C9D4CE">
      <w:pPr>
        <w:pStyle w:val="14"/>
        <w:numPr>
          <w:ilvl w:val="0"/>
          <w:numId w:val="4"/>
        </w:numPr>
        <w:spacing w:beforeAutospacing="0" w:afterAutospacing="0" w:line="360" w:lineRule="auto"/>
        <w:jc w:val="both"/>
        <w:rPr>
          <w:sz w:val="22"/>
          <w:szCs w:val="22"/>
        </w:rPr>
      </w:pPr>
      <w:r>
        <w:rPr>
          <w:rFonts w:hint="eastAsia"/>
          <w:sz w:val="22"/>
          <w:szCs w:val="22"/>
        </w:rPr>
        <w:t>Blei DM, Ng AY, Jordan MI, 2003. Latent dirichlet allocation. J Mach Learn Res. 3, 993</w:t>
      </w:r>
      <w:r>
        <w:rPr>
          <w:sz w:val="22"/>
          <w:szCs w:val="22"/>
        </w:rPr>
        <w:t>-</w:t>
      </w:r>
      <w:r>
        <w:rPr>
          <w:rFonts w:hint="eastAsia"/>
          <w:sz w:val="22"/>
          <w:szCs w:val="22"/>
        </w:rPr>
        <w:t xml:space="preserve">1022. </w:t>
      </w:r>
    </w:p>
    <w:p w14:paraId="11F5AF0B">
      <w:pPr>
        <w:pStyle w:val="14"/>
        <w:numPr>
          <w:ilvl w:val="0"/>
          <w:numId w:val="4"/>
        </w:numPr>
        <w:spacing w:beforeAutospacing="0" w:afterAutospacing="0" w:line="360" w:lineRule="auto"/>
        <w:jc w:val="both"/>
        <w:rPr>
          <w:sz w:val="22"/>
          <w:szCs w:val="22"/>
        </w:rPr>
      </w:pPr>
      <w:r>
        <w:rPr>
          <w:rFonts w:hint="eastAsia"/>
          <w:sz w:val="22"/>
          <w:szCs w:val="22"/>
        </w:rPr>
        <w:t>Polak MP, Morgan D, 2024. Extracting accurate materials data from research papers with conversational language models and prompt engineering. Nature Communications. 15, 1569. https://doi.org/10.1038/s41467-024-45914-8.</w:t>
      </w:r>
    </w:p>
    <w:p w14:paraId="1948E20F">
      <w:pPr>
        <w:pStyle w:val="14"/>
        <w:numPr>
          <w:ilvl w:val="0"/>
          <w:numId w:val="4"/>
        </w:numPr>
        <w:spacing w:beforeAutospacing="0" w:afterAutospacing="0" w:line="360" w:lineRule="auto"/>
        <w:jc w:val="both"/>
        <w:rPr>
          <w:sz w:val="22"/>
          <w:szCs w:val="22"/>
        </w:rPr>
      </w:pPr>
      <w:r>
        <w:rPr>
          <w:rFonts w:hint="eastAsia"/>
          <w:sz w:val="22"/>
          <w:szCs w:val="22"/>
        </w:rPr>
        <w:t>Boiko DA, MacKnight R, Kline B, Gomes G, 2023. Autonomous chemical research with large language models. Nature. 624, 570-8. https://doi.org/10.1038/s41586-023-06792-0.</w:t>
      </w:r>
    </w:p>
    <w:p w14:paraId="1C15219C">
      <w:pPr>
        <w:pStyle w:val="14"/>
        <w:numPr>
          <w:ilvl w:val="0"/>
          <w:numId w:val="4"/>
        </w:numPr>
        <w:spacing w:beforeAutospacing="0" w:afterAutospacing="0" w:line="360" w:lineRule="auto"/>
        <w:jc w:val="both"/>
        <w:rPr>
          <w:sz w:val="22"/>
          <w:szCs w:val="22"/>
        </w:rPr>
      </w:pPr>
      <w:r>
        <w:rPr>
          <w:rFonts w:hint="eastAsia"/>
          <w:sz w:val="22"/>
          <w:szCs w:val="22"/>
        </w:rPr>
        <w:t>Wang S, Wan Y, Song N, Liu Y, Xie T, Hoex B, 2024. Automatically Generated Datasets: Present and Potential Self-Cleaning Coating Materials. Scientific Data.11,146. https: //doi.org/10.1038/s41597-024-02983-0.</w:t>
      </w:r>
    </w:p>
    <w:p w14:paraId="71B70E13">
      <w:pPr>
        <w:pStyle w:val="14"/>
        <w:numPr>
          <w:ilvl w:val="0"/>
          <w:numId w:val="4"/>
        </w:numPr>
        <w:spacing w:beforeAutospacing="0" w:afterAutospacing="0" w:line="360" w:lineRule="auto"/>
        <w:jc w:val="both"/>
        <w:rPr>
          <w:sz w:val="22"/>
          <w:szCs w:val="22"/>
        </w:rPr>
      </w:pPr>
      <w:r>
        <w:rPr>
          <w:rFonts w:hint="eastAsia"/>
          <w:sz w:val="22"/>
          <w:szCs w:val="22"/>
        </w:rPr>
        <w:t xml:space="preserve">Yi GH, Choi J, Song H, Miano O, Choi J, Bang K, et al., 2025. MaTableGPT: GPT-Based Table Data Extractor from Materials Science Literature (Adv. Sci. 16/2025). Advanced Science. 12, 2570114. </w:t>
      </w:r>
      <w:r>
        <w:fldChar w:fldCharType="begin"/>
      </w:r>
      <w:r>
        <w:instrText xml:space="preserve"> HYPERLINK "https://doi.org/https://doi.org/" </w:instrText>
      </w:r>
      <w:r>
        <w:fldChar w:fldCharType="separate"/>
      </w:r>
      <w:r>
        <w:rPr>
          <w:rStyle w:val="13"/>
          <w:rFonts w:hint="eastAsia"/>
          <w:sz w:val="22"/>
          <w:szCs w:val="22"/>
        </w:rPr>
        <w:t>https://doi.org/https://doi.org/</w:t>
      </w:r>
      <w:r>
        <w:rPr>
          <w:rStyle w:val="13"/>
          <w:rFonts w:hint="eastAsia"/>
          <w:sz w:val="22"/>
          <w:szCs w:val="22"/>
        </w:rPr>
        <w:fldChar w:fldCharType="end"/>
      </w:r>
      <w:r>
        <w:rPr>
          <w:rStyle w:val="13"/>
          <w:rFonts w:hint="eastAsia"/>
          <w:sz w:val="22"/>
          <w:szCs w:val="22"/>
          <w:lang w:val="en-US" w:eastAsia="zh-CN"/>
        </w:rPr>
        <w:t xml:space="preserve"> </w:t>
      </w:r>
      <w:r>
        <w:rPr>
          <w:rFonts w:hint="eastAsia"/>
          <w:sz w:val="22"/>
          <w:szCs w:val="22"/>
        </w:rPr>
        <w:t>10.1002/advs.</w:t>
      </w:r>
      <w:r>
        <w:rPr>
          <w:sz w:val="22"/>
          <w:szCs w:val="22"/>
        </w:rPr>
        <w:t xml:space="preserve"> </w:t>
      </w:r>
      <w:r>
        <w:rPr>
          <w:rFonts w:hint="eastAsia"/>
          <w:sz w:val="22"/>
          <w:szCs w:val="22"/>
        </w:rPr>
        <w:t>202570114.</w:t>
      </w:r>
    </w:p>
    <w:p w14:paraId="16A3D5C8">
      <w:pPr>
        <w:pStyle w:val="14"/>
        <w:numPr>
          <w:ilvl w:val="0"/>
          <w:numId w:val="4"/>
        </w:numPr>
        <w:spacing w:beforeAutospacing="0" w:afterAutospacing="0" w:line="360" w:lineRule="auto"/>
        <w:jc w:val="both"/>
        <w:rPr>
          <w:sz w:val="22"/>
          <w:szCs w:val="22"/>
        </w:rPr>
      </w:pPr>
      <w:r>
        <w:rPr>
          <w:rFonts w:hint="eastAsia"/>
          <w:sz w:val="22"/>
          <w:szCs w:val="22"/>
        </w:rPr>
        <w:t>Fu H, Zhang Y, Zhang M, Yun X, 2023. Microstructure evolution, precipitation behavior, and mechanical properties of continuously extruded Cu</w:t>
      </w:r>
      <w:r>
        <w:rPr>
          <w:sz w:val="22"/>
          <w:szCs w:val="22"/>
        </w:rPr>
        <w:t>-</w:t>
      </w:r>
      <w:r>
        <w:rPr>
          <w:rFonts w:hint="eastAsia"/>
          <w:sz w:val="22"/>
          <w:szCs w:val="22"/>
        </w:rPr>
        <w:t>Ni</w:t>
      </w:r>
      <w:r>
        <w:rPr>
          <w:sz w:val="22"/>
          <w:szCs w:val="22"/>
        </w:rPr>
        <w:t>-</w:t>
      </w:r>
      <w:r>
        <w:rPr>
          <w:rFonts w:hint="eastAsia"/>
          <w:sz w:val="22"/>
          <w:szCs w:val="22"/>
        </w:rPr>
        <w:t xml:space="preserve">Si alloys at different aging treatments. Journal of Materials Processing Technology. 317,117986. </w:t>
      </w:r>
      <w:r>
        <w:fldChar w:fldCharType="begin"/>
      </w:r>
      <w:r>
        <w:instrText xml:space="preserve"> HYPERLINK "https://doi.org/" </w:instrText>
      </w:r>
      <w:r>
        <w:fldChar w:fldCharType="separate"/>
      </w:r>
      <w:r>
        <w:rPr>
          <w:rStyle w:val="13"/>
          <w:rFonts w:hint="eastAsia"/>
          <w:sz w:val="22"/>
          <w:szCs w:val="22"/>
        </w:rPr>
        <w:t>https://doi.org/</w:t>
      </w:r>
      <w:r>
        <w:rPr>
          <w:rStyle w:val="13"/>
          <w:rFonts w:hint="eastAsia"/>
          <w:sz w:val="22"/>
          <w:szCs w:val="22"/>
        </w:rPr>
        <w:fldChar w:fldCharType="end"/>
      </w:r>
      <w:r>
        <w:rPr>
          <w:rFonts w:hint="eastAsia"/>
          <w:sz w:val="22"/>
          <w:szCs w:val="22"/>
        </w:rPr>
        <w:t>https://doi. org/10.1016/j.jmatprotec.2023.117986.</w:t>
      </w:r>
    </w:p>
    <w:p w14:paraId="264D1C45">
      <w:pPr>
        <w:pStyle w:val="14"/>
        <w:numPr>
          <w:ilvl w:val="0"/>
          <w:numId w:val="4"/>
        </w:numPr>
        <w:spacing w:beforeAutospacing="0" w:afterAutospacing="0" w:line="360" w:lineRule="auto"/>
        <w:jc w:val="both"/>
        <w:rPr>
          <w:sz w:val="22"/>
          <w:szCs w:val="22"/>
        </w:rPr>
      </w:pPr>
      <w:r>
        <w:rPr>
          <w:rFonts w:hint="eastAsia"/>
          <w:sz w:val="22"/>
          <w:szCs w:val="22"/>
        </w:rPr>
        <w:t xml:space="preserve">Jiang Yb, Zhang Tt, Lei Y, Liu Xh, Cao Y, Xie Jx, et al., 2020. Microstructure evolution and mechanical properties of Cu-0.36Be-0.46Co alloy fabricated by heating-cooling combin-ed mold horizontal continuous casting during cold rolling. Transactions of Nonferrous Metals Society of China. 30, 958-71. </w:t>
      </w:r>
      <w:r>
        <w:fldChar w:fldCharType="begin"/>
      </w:r>
      <w:r>
        <w:instrText xml:space="preserve"> HYPERLINK "https://doi.org/https://doi.org/10.1016/S1003-6326(20)" </w:instrText>
      </w:r>
      <w:r>
        <w:fldChar w:fldCharType="separate"/>
      </w:r>
      <w:r>
        <w:rPr>
          <w:rStyle w:val="13"/>
          <w:rFonts w:hint="eastAsia"/>
          <w:sz w:val="22"/>
          <w:szCs w:val="22"/>
        </w:rPr>
        <w:t>https://doi.org/https://doi.org/</w:t>
      </w:r>
      <w:r>
        <w:rPr>
          <w:rStyle w:val="13"/>
          <w:rFonts w:hint="eastAsia"/>
          <w:sz w:val="22"/>
          <w:szCs w:val="22"/>
          <w:lang w:val="en-US" w:eastAsia="zh-CN"/>
        </w:rPr>
        <w:t xml:space="preserve"> </w:t>
      </w:r>
      <w:r>
        <w:rPr>
          <w:rStyle w:val="13"/>
          <w:rFonts w:hint="eastAsia"/>
          <w:sz w:val="22"/>
          <w:szCs w:val="22"/>
        </w:rPr>
        <w:t>10.1016/S1003-6326(20)</w:t>
      </w:r>
      <w:r>
        <w:rPr>
          <w:rStyle w:val="13"/>
          <w:rFonts w:hint="eastAsia"/>
          <w:sz w:val="22"/>
          <w:szCs w:val="22"/>
        </w:rPr>
        <w:fldChar w:fldCharType="end"/>
      </w:r>
      <w:r>
        <w:rPr>
          <w:rFonts w:hint="eastAsia"/>
          <w:sz w:val="22"/>
          <w:szCs w:val="22"/>
        </w:rPr>
        <w:t>65268-2.</w:t>
      </w:r>
    </w:p>
    <w:p w14:paraId="774248E6">
      <w:pPr>
        <w:pStyle w:val="14"/>
        <w:numPr>
          <w:ilvl w:val="0"/>
          <w:numId w:val="4"/>
        </w:numPr>
        <w:spacing w:beforeAutospacing="0" w:afterAutospacing="0" w:line="360" w:lineRule="auto"/>
        <w:jc w:val="both"/>
        <w:rPr>
          <w:sz w:val="22"/>
          <w:szCs w:val="22"/>
        </w:rPr>
      </w:pPr>
      <w:r>
        <w:rPr>
          <w:rFonts w:hint="eastAsia"/>
          <w:sz w:val="22"/>
          <w:szCs w:val="22"/>
        </w:rPr>
        <w:t>Lu X, Luo S, Li J, Chen M, Yao T, Xu Z, et al., 2025. FIND: a forward</w:t>
      </w:r>
      <w:r>
        <w:rPr>
          <w:sz w:val="22"/>
          <w:szCs w:val="22"/>
        </w:rPr>
        <w:t>-</w:t>
      </w:r>
      <w:r>
        <w:rPr>
          <w:rFonts w:hint="eastAsia"/>
          <w:sz w:val="22"/>
          <w:szCs w:val="22"/>
        </w:rPr>
        <w:t xml:space="preserve">inverse navigation and discovery platform for hydrogen storage alloys powered by data-driven machine learning. Journal of Materials Informatics. 5, 48. </w:t>
      </w:r>
    </w:p>
    <w:p w14:paraId="44F3847C">
      <w:pPr>
        <w:pStyle w:val="14"/>
        <w:numPr>
          <w:ilvl w:val="0"/>
          <w:numId w:val="4"/>
        </w:numPr>
        <w:spacing w:beforeAutospacing="0" w:afterAutospacing="0" w:line="360" w:lineRule="auto"/>
        <w:jc w:val="both"/>
        <w:rPr>
          <w:sz w:val="22"/>
          <w:szCs w:val="22"/>
        </w:rPr>
      </w:pPr>
      <w:r>
        <w:rPr>
          <w:rFonts w:hint="eastAsia"/>
          <w:sz w:val="22"/>
          <w:szCs w:val="22"/>
        </w:rPr>
        <w:t xml:space="preserve">Yoshizawa T, Ishida S, Sato T, Ohta M, Honma T, Terayama K, 2025. A data-driven generative strategy to avoid reward hacking in multi-objective molecular design. Nature Communications. 16, 2409. </w:t>
      </w:r>
      <w:r>
        <w:rPr>
          <w:rFonts w:hint="eastAsia"/>
          <w:sz w:val="22"/>
          <w:szCs w:val="22"/>
        </w:rPr>
        <w:fldChar w:fldCharType="begin"/>
      </w:r>
      <w:r>
        <w:rPr>
          <w:rFonts w:hint="eastAsia"/>
          <w:sz w:val="22"/>
          <w:szCs w:val="22"/>
        </w:rPr>
        <w:instrText xml:space="preserve"> HYPERLINK "https://doi.org/10.1038/" </w:instrText>
      </w:r>
      <w:r>
        <w:rPr>
          <w:rFonts w:hint="eastAsia"/>
          <w:sz w:val="22"/>
          <w:szCs w:val="22"/>
        </w:rPr>
        <w:fldChar w:fldCharType="separate"/>
      </w:r>
      <w:r>
        <w:rPr>
          <w:rStyle w:val="13"/>
          <w:rFonts w:hint="eastAsia"/>
          <w:sz w:val="22"/>
          <w:szCs w:val="22"/>
        </w:rPr>
        <w:t>https://doi.org/10.1038/</w:t>
      </w:r>
      <w:r>
        <w:rPr>
          <w:rFonts w:hint="eastAsia"/>
          <w:sz w:val="22"/>
          <w:szCs w:val="22"/>
        </w:rPr>
        <w:fldChar w:fldCharType="end"/>
      </w:r>
      <w:r>
        <w:rPr>
          <w:rFonts w:hint="eastAsia"/>
          <w:sz w:val="22"/>
          <w:szCs w:val="22"/>
          <w:lang w:val="en-US" w:eastAsia="zh-CN"/>
        </w:rPr>
        <w:t xml:space="preserve"> </w:t>
      </w:r>
      <w:r>
        <w:rPr>
          <w:rFonts w:hint="eastAsia"/>
          <w:sz w:val="22"/>
          <w:szCs w:val="22"/>
        </w:rPr>
        <w:t>s41467-025-57582-3.</w:t>
      </w:r>
    </w:p>
    <w:p w14:paraId="4D2E564C">
      <w:pPr>
        <w:pStyle w:val="14"/>
        <w:numPr>
          <w:ilvl w:val="0"/>
          <w:numId w:val="4"/>
        </w:numPr>
        <w:spacing w:beforeAutospacing="0" w:afterAutospacing="0" w:line="360" w:lineRule="auto"/>
        <w:jc w:val="both"/>
        <w:rPr>
          <w:sz w:val="22"/>
          <w:szCs w:val="22"/>
        </w:rPr>
      </w:pPr>
      <w:r>
        <w:rPr>
          <w:rFonts w:hint="eastAsia"/>
          <w:sz w:val="22"/>
          <w:szCs w:val="22"/>
        </w:rPr>
        <w:t xml:space="preserve">Yao T, Huang J, Yan Y, Yang Y, Wang Z, Shao X, et al., 2025. From large language models to AI agents in energy materials research: enabling discovery, design, and automation. AI Agent. 1, 9. </w:t>
      </w:r>
    </w:p>
    <w:p w14:paraId="05B185DE">
      <w:pPr>
        <w:pStyle w:val="14"/>
        <w:numPr>
          <w:ilvl w:val="0"/>
          <w:numId w:val="4"/>
        </w:numPr>
        <w:spacing w:beforeAutospacing="0" w:afterAutospacing="0" w:line="360" w:lineRule="auto"/>
        <w:jc w:val="both"/>
        <w:rPr>
          <w:sz w:val="22"/>
          <w:szCs w:val="22"/>
        </w:rPr>
      </w:pPr>
      <w:r>
        <w:rPr>
          <w:rFonts w:hint="eastAsia"/>
          <w:sz w:val="22"/>
          <w:szCs w:val="22"/>
        </w:rPr>
        <w:t xml:space="preserve">Wang G, Peng L, Li K, Zhu L, Zhou J, Miao N, et al., 2021. ALKEMIE: An intelligent computational platform for accelerating materials discovery and design. Computational Materials Science. 186, 110064. </w:t>
      </w:r>
      <w:r>
        <w:fldChar w:fldCharType="begin"/>
      </w:r>
      <w:r>
        <w:instrText xml:space="preserve"> HYPERLINK "https://doi.org/https://doi.org/10.1016/" </w:instrText>
      </w:r>
      <w:r>
        <w:fldChar w:fldCharType="separate"/>
      </w:r>
      <w:r>
        <w:rPr>
          <w:rStyle w:val="13"/>
          <w:rFonts w:hint="eastAsia"/>
          <w:sz w:val="22"/>
          <w:szCs w:val="22"/>
        </w:rPr>
        <w:t>https:</w:t>
      </w:r>
      <w:r>
        <w:rPr>
          <w:rStyle w:val="13"/>
          <w:sz w:val="22"/>
          <w:szCs w:val="22"/>
        </w:rPr>
        <w:t xml:space="preserve"> </w:t>
      </w:r>
      <w:r>
        <w:rPr>
          <w:rStyle w:val="13"/>
          <w:rFonts w:hint="eastAsia"/>
          <w:sz w:val="22"/>
          <w:szCs w:val="22"/>
        </w:rPr>
        <w:t>//doi.org/https://doi.org/10.1016/</w:t>
      </w:r>
      <w:r>
        <w:rPr>
          <w:rStyle w:val="13"/>
          <w:rFonts w:hint="eastAsia"/>
          <w:sz w:val="22"/>
          <w:szCs w:val="22"/>
        </w:rPr>
        <w:fldChar w:fldCharType="end"/>
      </w:r>
      <w:r>
        <w:rPr>
          <w:sz w:val="22"/>
          <w:szCs w:val="22"/>
        </w:rPr>
        <w:t xml:space="preserve"> </w:t>
      </w:r>
      <w:r>
        <w:rPr>
          <w:rFonts w:hint="eastAsia"/>
          <w:sz w:val="22"/>
          <w:szCs w:val="22"/>
        </w:rPr>
        <w:t>j.commatsci.2020.</w:t>
      </w:r>
      <w:r>
        <w:rPr>
          <w:sz w:val="22"/>
          <w:szCs w:val="22"/>
        </w:rPr>
        <w:t xml:space="preserve"> </w:t>
      </w:r>
      <w:r>
        <w:rPr>
          <w:rFonts w:hint="eastAsia"/>
          <w:sz w:val="22"/>
          <w:szCs w:val="22"/>
        </w:rPr>
        <w:t>110064.</w:t>
      </w:r>
    </w:p>
    <w:p w14:paraId="06694A7A">
      <w:pPr>
        <w:pStyle w:val="14"/>
        <w:numPr>
          <w:ilvl w:val="0"/>
          <w:numId w:val="4"/>
        </w:numPr>
        <w:spacing w:beforeAutospacing="0" w:afterAutospacing="0" w:line="360" w:lineRule="auto"/>
        <w:jc w:val="both"/>
        <w:rPr>
          <w:sz w:val="22"/>
          <w:szCs w:val="22"/>
        </w:rPr>
      </w:pPr>
      <w:r>
        <w:rPr>
          <w:rFonts w:hint="eastAsia"/>
          <w:sz w:val="22"/>
          <w:szCs w:val="22"/>
        </w:rPr>
        <w:t xml:space="preserve">Wang Y, Wang F, Yan G, Wang J, Niu G, Feng J, et al., 2025. MatSci-ML Studio: an interactive workflow toolkit for automated machine learning in materials science. Journal of Materials Informatics. 5, 51. </w:t>
      </w:r>
    </w:p>
    <w:p w14:paraId="105ADFF9">
      <w:pPr>
        <w:pStyle w:val="14"/>
        <w:numPr>
          <w:ilvl w:val="0"/>
          <w:numId w:val="4"/>
        </w:numPr>
        <w:spacing w:beforeAutospacing="0" w:afterAutospacing="0" w:line="360" w:lineRule="auto"/>
        <w:jc w:val="both"/>
        <w:rPr>
          <w:sz w:val="22"/>
          <w:szCs w:val="22"/>
        </w:rPr>
      </w:pPr>
      <w:r>
        <w:rPr>
          <w:rFonts w:hint="eastAsia"/>
          <w:sz w:val="22"/>
          <w:szCs w:val="22"/>
        </w:rPr>
        <w:t xml:space="preserve">Wang X, Zeng Q, Xu D-H, Zhang L, Jiang G, Yang M, 2026. Accelerating materials discovery via AI-Agent integration of large language models and simulation tools. Journal of Materials Informatics. 6, 9. </w:t>
      </w:r>
    </w:p>
    <w:p w14:paraId="094F0909">
      <w:pPr>
        <w:pStyle w:val="14"/>
        <w:numPr>
          <w:ilvl w:val="0"/>
          <w:numId w:val="4"/>
        </w:numPr>
        <w:spacing w:beforeAutospacing="0" w:afterAutospacing="0" w:line="360" w:lineRule="auto"/>
        <w:jc w:val="both"/>
        <w:rPr>
          <w:sz w:val="22"/>
          <w:szCs w:val="22"/>
        </w:rPr>
      </w:pPr>
      <w:r>
        <w:rPr>
          <w:rFonts w:hint="eastAsia"/>
          <w:sz w:val="22"/>
          <w:szCs w:val="22"/>
        </w:rPr>
        <w:t xml:space="preserve">Tan F, Zhao Z, Jiang Y, Zhang W, Xie T, Chen W, et al., 2026. Dual Engine-driven Strategy for Advanced Copper Alloy Design employing Large Language Models. Acta Materialia. 306, 121886. </w:t>
      </w:r>
      <w:r>
        <w:rPr>
          <w:rFonts w:hint="eastAsia"/>
          <w:sz w:val="22"/>
          <w:szCs w:val="22"/>
        </w:rPr>
        <w:fldChar w:fldCharType="begin"/>
      </w:r>
      <w:r>
        <w:rPr>
          <w:rFonts w:hint="eastAsia"/>
          <w:sz w:val="22"/>
          <w:szCs w:val="22"/>
        </w:rPr>
        <w:instrText xml:space="preserve"> HYPERLINK "https://doi.org/10.1016/" </w:instrText>
      </w:r>
      <w:r>
        <w:rPr>
          <w:rFonts w:hint="eastAsia"/>
          <w:sz w:val="22"/>
          <w:szCs w:val="22"/>
        </w:rPr>
        <w:fldChar w:fldCharType="separate"/>
      </w:r>
      <w:r>
        <w:rPr>
          <w:rStyle w:val="13"/>
          <w:rFonts w:hint="eastAsia"/>
          <w:sz w:val="22"/>
          <w:szCs w:val="22"/>
        </w:rPr>
        <w:t>https://doi.org/10.1016/</w:t>
      </w:r>
      <w:r>
        <w:rPr>
          <w:rFonts w:hint="eastAsia"/>
          <w:sz w:val="22"/>
          <w:szCs w:val="22"/>
        </w:rPr>
        <w:fldChar w:fldCharType="end"/>
      </w:r>
      <w:r>
        <w:rPr>
          <w:rFonts w:hint="default"/>
          <w:sz w:val="22"/>
          <w:szCs w:val="22"/>
          <w:lang w:val="en-US"/>
        </w:rPr>
        <w:t xml:space="preserve"> </w:t>
      </w:r>
      <w:r>
        <w:rPr>
          <w:rFonts w:hint="eastAsia"/>
          <w:sz w:val="22"/>
          <w:szCs w:val="22"/>
        </w:rPr>
        <w:t>j.actamat.2025.121886.</w:t>
      </w:r>
    </w:p>
    <w:p w14:paraId="381A4CE0">
      <w:pPr>
        <w:pStyle w:val="14"/>
        <w:numPr>
          <w:ilvl w:val="0"/>
          <w:numId w:val="4"/>
        </w:numPr>
        <w:spacing w:beforeAutospacing="0" w:afterAutospacing="0" w:line="360" w:lineRule="auto"/>
        <w:jc w:val="both"/>
        <w:rPr>
          <w:sz w:val="22"/>
          <w:szCs w:val="22"/>
        </w:rPr>
      </w:pPr>
      <w:r>
        <w:rPr>
          <w:rFonts w:hint="eastAsia"/>
          <w:sz w:val="22"/>
          <w:szCs w:val="22"/>
        </w:rPr>
        <w:t xml:space="preserve">Barbieri MC, Grisci BI, Dorn M, 2024. Analysis and comparison of feature selection methods towards performance and stability. Expert Systems with Applications. 249, 123667. </w:t>
      </w:r>
      <w:r>
        <w:fldChar w:fldCharType="begin"/>
      </w:r>
      <w:r>
        <w:instrText xml:space="preserve"> HYPERLINK "https://doi.org/" </w:instrText>
      </w:r>
      <w:r>
        <w:fldChar w:fldCharType="separate"/>
      </w:r>
      <w:r>
        <w:rPr>
          <w:rStyle w:val="13"/>
          <w:rFonts w:hint="eastAsia"/>
          <w:sz w:val="22"/>
          <w:szCs w:val="22"/>
        </w:rPr>
        <w:t>https://doi.org/</w:t>
      </w:r>
      <w:r>
        <w:rPr>
          <w:rStyle w:val="13"/>
          <w:rFonts w:hint="eastAsia"/>
          <w:sz w:val="22"/>
          <w:szCs w:val="22"/>
        </w:rPr>
        <w:fldChar w:fldCharType="end"/>
      </w:r>
      <w:r>
        <w:rPr>
          <w:rFonts w:hint="eastAsia"/>
          <w:sz w:val="22"/>
          <w:szCs w:val="22"/>
        </w:rPr>
        <w:t>https://doi.org/10.</w:t>
      </w:r>
      <w:r>
        <w:rPr>
          <w:sz w:val="22"/>
          <w:szCs w:val="22"/>
        </w:rPr>
        <w:t xml:space="preserve"> </w:t>
      </w:r>
      <w:r>
        <w:rPr>
          <w:rFonts w:hint="eastAsia"/>
          <w:sz w:val="22"/>
          <w:szCs w:val="22"/>
        </w:rPr>
        <w:t>1016/j.eswa.2024.123667.</w:t>
      </w:r>
    </w:p>
    <w:p w14:paraId="64040676">
      <w:pPr>
        <w:pStyle w:val="14"/>
        <w:numPr>
          <w:ilvl w:val="0"/>
          <w:numId w:val="4"/>
        </w:numPr>
        <w:spacing w:beforeAutospacing="0" w:afterAutospacing="0" w:line="360" w:lineRule="auto"/>
        <w:jc w:val="both"/>
        <w:rPr>
          <w:sz w:val="22"/>
          <w:szCs w:val="22"/>
        </w:rPr>
      </w:pPr>
      <w:r>
        <w:rPr>
          <w:rFonts w:hint="eastAsia"/>
          <w:sz w:val="22"/>
          <w:szCs w:val="22"/>
        </w:rPr>
        <w:t xml:space="preserve">Zhong X, Gallagher B, Liu S, Kailkhura B, Hiszpanski A, Han TY-J, 2022. Explainable machine learning in materials science. npj Computational Materials. 8, 204. </w:t>
      </w:r>
      <w:r>
        <w:fldChar w:fldCharType="begin"/>
      </w:r>
      <w:r>
        <w:instrText xml:space="preserve"> HYPERLINK "https://doi.org/" </w:instrText>
      </w:r>
      <w:r>
        <w:fldChar w:fldCharType="separate"/>
      </w:r>
      <w:r>
        <w:rPr>
          <w:rStyle w:val="13"/>
          <w:rFonts w:hint="eastAsia"/>
          <w:sz w:val="22"/>
          <w:szCs w:val="22"/>
        </w:rPr>
        <w:t>https://doi.org/</w:t>
      </w:r>
      <w:r>
        <w:rPr>
          <w:rStyle w:val="13"/>
          <w:rFonts w:hint="eastAsia"/>
          <w:sz w:val="22"/>
          <w:szCs w:val="22"/>
        </w:rPr>
        <w:fldChar w:fldCharType="end"/>
      </w:r>
      <w:r>
        <w:rPr>
          <w:rFonts w:hint="eastAsia"/>
          <w:sz w:val="22"/>
          <w:szCs w:val="22"/>
        </w:rPr>
        <w:t xml:space="preserve"> 10.1038/s41524-022-00884-7.</w:t>
      </w:r>
    </w:p>
    <w:p w14:paraId="0978DBF3">
      <w:pPr>
        <w:pStyle w:val="14"/>
        <w:numPr>
          <w:ilvl w:val="0"/>
          <w:numId w:val="4"/>
        </w:numPr>
        <w:spacing w:beforeAutospacing="0" w:afterAutospacing="0" w:line="360" w:lineRule="auto"/>
        <w:jc w:val="both"/>
        <w:rPr>
          <w:sz w:val="22"/>
          <w:szCs w:val="22"/>
        </w:rPr>
      </w:pPr>
      <w:r>
        <w:rPr>
          <w:rFonts w:hint="eastAsia"/>
          <w:sz w:val="22"/>
          <w:szCs w:val="22"/>
        </w:rPr>
        <w:t>Chen W, Zheng H, Jiang Y, Tan F, Wang M, Lei Q, et al., 2026. Data-augmented machine learning design and performance-enhancing quaternary synergistic mechanism of novel Cu-Be alloy. npj Computational Materials. https://doi.org/10.1038/s41524-026-02000-5.</w:t>
      </w:r>
    </w:p>
    <w:p w14:paraId="7C9AAF26">
      <w:pPr>
        <w:pStyle w:val="14"/>
        <w:numPr>
          <w:ilvl w:val="0"/>
          <w:numId w:val="4"/>
        </w:numPr>
        <w:spacing w:beforeAutospacing="0" w:afterAutospacing="0" w:line="360" w:lineRule="auto"/>
        <w:jc w:val="both"/>
        <w:rPr>
          <w:sz w:val="22"/>
          <w:szCs w:val="22"/>
        </w:rPr>
      </w:pPr>
      <w:r>
        <w:rPr>
          <w:rFonts w:hint="eastAsia"/>
          <w:sz w:val="22"/>
          <w:szCs w:val="22"/>
        </w:rPr>
        <w:t>Chen W, Jiang Y-B, Tan F, Zhao Z-X, Ma M-Z, Wang M, et al., 2025. Design of high-performance Cu</w:t>
      </w:r>
      <w:r>
        <w:rPr>
          <w:sz w:val="22"/>
          <w:szCs w:val="22"/>
        </w:rPr>
        <w:t>-</w:t>
      </w:r>
      <w:r>
        <w:rPr>
          <w:rFonts w:hint="eastAsia"/>
          <w:sz w:val="22"/>
          <w:szCs w:val="22"/>
        </w:rPr>
        <w:t xml:space="preserve">Be alloy based on machine learning with integrated phase diagram information. Rare Metals. 44, 5824-43. </w:t>
      </w:r>
      <w:r>
        <w:rPr>
          <w:rFonts w:hint="eastAsia"/>
          <w:sz w:val="22"/>
          <w:szCs w:val="22"/>
        </w:rPr>
        <w:fldChar w:fldCharType="begin"/>
      </w:r>
      <w:r>
        <w:rPr>
          <w:rFonts w:hint="eastAsia"/>
          <w:sz w:val="22"/>
          <w:szCs w:val="22"/>
        </w:rPr>
        <w:instrText xml:space="preserve"> HYPERLINK "https://doi.org/" </w:instrText>
      </w:r>
      <w:r>
        <w:rPr>
          <w:rFonts w:hint="eastAsia"/>
          <w:sz w:val="22"/>
          <w:szCs w:val="22"/>
        </w:rPr>
        <w:fldChar w:fldCharType="separate"/>
      </w:r>
      <w:r>
        <w:rPr>
          <w:rStyle w:val="13"/>
          <w:rFonts w:hint="eastAsia"/>
          <w:sz w:val="22"/>
          <w:szCs w:val="22"/>
        </w:rPr>
        <w:t>https://doi.org/</w:t>
      </w:r>
      <w:r>
        <w:rPr>
          <w:rFonts w:hint="eastAsia"/>
          <w:sz w:val="22"/>
          <w:szCs w:val="22"/>
        </w:rPr>
        <w:fldChar w:fldCharType="end"/>
      </w:r>
      <w:r>
        <w:rPr>
          <w:rFonts w:hint="eastAsia"/>
          <w:sz w:val="22"/>
          <w:szCs w:val="22"/>
          <w:lang w:val="en-US" w:eastAsia="zh-CN"/>
        </w:rPr>
        <w:t xml:space="preserve"> </w:t>
      </w:r>
      <w:r>
        <w:rPr>
          <w:rFonts w:hint="eastAsia"/>
          <w:sz w:val="22"/>
          <w:szCs w:val="22"/>
        </w:rPr>
        <w:t>10.1007/s12598-025-03331-w.</w:t>
      </w:r>
    </w:p>
    <w:p w14:paraId="553E35A5">
      <w:pPr>
        <w:pStyle w:val="14"/>
        <w:numPr>
          <w:ilvl w:val="0"/>
          <w:numId w:val="4"/>
        </w:numPr>
        <w:spacing w:beforeAutospacing="0" w:afterAutospacing="0" w:line="360" w:lineRule="auto"/>
        <w:jc w:val="both"/>
        <w:rPr>
          <w:sz w:val="22"/>
          <w:szCs w:val="22"/>
        </w:rPr>
      </w:pPr>
      <w:r>
        <w:rPr>
          <w:rFonts w:hint="eastAsia"/>
          <w:sz w:val="22"/>
          <w:szCs w:val="22"/>
        </w:rPr>
        <w:t>Rao Z, Tung P-Y, Xie R, Wei Y, Zhang H, Ferrari A, et al., 2022. Machine learning</w:t>
      </w:r>
      <w:r>
        <w:rPr>
          <w:sz w:val="22"/>
          <w:szCs w:val="22"/>
        </w:rPr>
        <w:t>-</w:t>
      </w:r>
      <w:r>
        <w:rPr>
          <w:rFonts w:hint="eastAsia"/>
          <w:sz w:val="22"/>
          <w:szCs w:val="22"/>
        </w:rPr>
        <w:t>enabled high-entropy alloy discovery.Science.378,78-85.</w:t>
      </w:r>
      <w:r>
        <w:fldChar w:fldCharType="begin"/>
      </w:r>
      <w:r>
        <w:instrText xml:space="preserve"> HYPERLINK "https://doi.org/doi:10.1126/" </w:instrText>
      </w:r>
      <w:r>
        <w:fldChar w:fldCharType="separate"/>
      </w:r>
      <w:r>
        <w:rPr>
          <w:rStyle w:val="13"/>
          <w:rFonts w:hint="eastAsia"/>
          <w:sz w:val="22"/>
          <w:szCs w:val="22"/>
        </w:rPr>
        <w:t>https://doi.org/doi:10.1126/</w:t>
      </w:r>
      <w:r>
        <w:rPr>
          <w:rStyle w:val="13"/>
          <w:rFonts w:hint="eastAsia"/>
          <w:sz w:val="22"/>
          <w:szCs w:val="22"/>
        </w:rPr>
        <w:fldChar w:fldCharType="end"/>
      </w:r>
      <w:r>
        <w:rPr>
          <w:rFonts w:hint="eastAsia"/>
          <w:sz w:val="22"/>
          <w:szCs w:val="22"/>
        </w:rPr>
        <w:t xml:space="preserve"> science. abo4940.</w:t>
      </w:r>
    </w:p>
    <w:p w14:paraId="4E9CEA0F">
      <w:pPr>
        <w:pStyle w:val="14"/>
        <w:numPr>
          <w:ilvl w:val="0"/>
          <w:numId w:val="4"/>
        </w:numPr>
        <w:spacing w:beforeAutospacing="0" w:afterAutospacing="0" w:line="360" w:lineRule="auto"/>
        <w:jc w:val="both"/>
        <w:rPr>
          <w:sz w:val="22"/>
          <w:szCs w:val="22"/>
        </w:rPr>
      </w:pPr>
      <w:r>
        <w:rPr>
          <w:rFonts w:hint="eastAsia"/>
          <w:sz w:val="22"/>
          <w:szCs w:val="22"/>
        </w:rPr>
        <w:t xml:space="preserve">Junhao Y, Zhen L, Yujia Y, Anyi Y, Wenjie L, Dan S, et al., 2024. Applications of machine learning method in high-performance materials design: a review. Journal of Materials Informatics. 4, 14. </w:t>
      </w:r>
    </w:p>
    <w:p w14:paraId="74CC2999">
      <w:pPr>
        <w:pStyle w:val="14"/>
        <w:numPr>
          <w:ilvl w:val="0"/>
          <w:numId w:val="4"/>
        </w:numPr>
        <w:spacing w:beforeAutospacing="0" w:afterAutospacing="0" w:line="360" w:lineRule="auto"/>
        <w:jc w:val="both"/>
        <w:rPr>
          <w:sz w:val="22"/>
          <w:szCs w:val="22"/>
        </w:rPr>
      </w:pPr>
      <w:r>
        <w:rPr>
          <w:sz w:val="22"/>
          <w:szCs w:val="22"/>
        </w:rPr>
        <w:t xml:space="preserve">Xiang J, Li Y, Zhang X, He Y, Sun Q, 2025. Local large language model-assisted literature mining for on-surface reactions. Materials Genome Engineering Advances. 3, e88. </w:t>
      </w:r>
      <w:r>
        <w:fldChar w:fldCharType="begin"/>
      </w:r>
      <w:r>
        <w:instrText xml:space="preserve"> HYPERLINK "https://doi.org/https://doi.org/10.1002/" </w:instrText>
      </w:r>
      <w:r>
        <w:fldChar w:fldCharType="separate"/>
      </w:r>
      <w:r>
        <w:rPr>
          <w:rStyle w:val="13"/>
          <w:sz w:val="22"/>
          <w:szCs w:val="22"/>
        </w:rPr>
        <w:t>https://doi.org/https://doi.org/10.1002/</w:t>
      </w:r>
      <w:r>
        <w:rPr>
          <w:rStyle w:val="13"/>
          <w:sz w:val="22"/>
          <w:szCs w:val="22"/>
        </w:rPr>
        <w:fldChar w:fldCharType="end"/>
      </w:r>
      <w:r>
        <w:rPr>
          <w:sz w:val="22"/>
          <w:szCs w:val="22"/>
        </w:rPr>
        <w:t xml:space="preserve"> mgea.88.</w:t>
      </w:r>
    </w:p>
    <w:p w14:paraId="5764BEDA">
      <w:pPr>
        <w:pStyle w:val="14"/>
        <w:numPr>
          <w:ilvl w:val="0"/>
          <w:numId w:val="4"/>
        </w:numPr>
        <w:spacing w:beforeAutospacing="0" w:afterAutospacing="0" w:line="360" w:lineRule="auto"/>
        <w:jc w:val="both"/>
        <w:rPr>
          <w:sz w:val="22"/>
          <w:szCs w:val="22"/>
        </w:rPr>
      </w:pPr>
      <w:r>
        <w:rPr>
          <w:sz w:val="22"/>
          <w:szCs w:val="22"/>
        </w:rPr>
        <w:t>Lu Z, Kapoor I, Araki T, Chen L, Song T, Li Y, et al., 2026. Semantic Intelligence in Metallurgy: A Dual-Stage Language Model Framework for Processing-Aware Magnesium Alloy Design. Materials Genome Engineering Advances. 4, e70056. https://doi.org/https://doi.org/10.1002/mgea.70056.</w:t>
      </w:r>
    </w:p>
    <w:p w14:paraId="4EFA9D2B">
      <w:pPr>
        <w:pStyle w:val="14"/>
        <w:numPr>
          <w:ilvl w:val="0"/>
          <w:numId w:val="4"/>
        </w:numPr>
        <w:spacing w:beforeAutospacing="0" w:afterAutospacing="0" w:line="360" w:lineRule="auto"/>
        <w:jc w:val="both"/>
        <w:rPr>
          <w:sz w:val="22"/>
          <w:szCs w:val="22"/>
        </w:rPr>
      </w:pPr>
      <w:r>
        <w:rPr>
          <w:sz w:val="22"/>
          <w:szCs w:val="22"/>
        </w:rPr>
        <w:t>Jin X, Luo H, Wang X, Cheng H, Fan C, Li X, et al., 2024. Data mining accelerated the design strategy of high-entropy alloys with the largest hardness based on genetic algorithm optimization. Materials Genome Engineering Advances. 2, e49. https://doi.org/https://doi.org/10.1002/mgea.49.</w:t>
      </w:r>
    </w:p>
    <w:p w14:paraId="7F6C4AA4">
      <w:pPr>
        <w:pStyle w:val="14"/>
        <w:numPr>
          <w:ilvl w:val="0"/>
          <w:numId w:val="4"/>
        </w:numPr>
        <w:spacing w:beforeAutospacing="0" w:afterAutospacing="0" w:line="360" w:lineRule="auto"/>
        <w:jc w:val="both"/>
        <w:rPr>
          <w:sz w:val="22"/>
          <w:szCs w:val="22"/>
        </w:rPr>
      </w:pPr>
      <w:r>
        <w:rPr>
          <w:rFonts w:hint="eastAsia"/>
          <w:sz w:val="22"/>
          <w:szCs w:val="22"/>
        </w:rPr>
        <w:t>Ma J, Cao B, Dong S, Tian Y, Wang M, Xiong J, et al., 2024. MLMD: a programming-free AI platform to predict and design materials. npj Computational Materials. 10, 59. https://doi.org/10.1038/s41524-024-01243-4.</w:t>
      </w:r>
    </w:p>
    <w:p w14:paraId="7878757A">
      <w:pPr>
        <w:pStyle w:val="14"/>
        <w:numPr>
          <w:ilvl w:val="0"/>
          <w:numId w:val="4"/>
        </w:numPr>
        <w:spacing w:beforeAutospacing="0" w:afterAutospacing="0" w:line="360" w:lineRule="auto"/>
        <w:jc w:val="both"/>
        <w:rPr>
          <w:sz w:val="22"/>
          <w:szCs w:val="22"/>
          <w:lang w:bidi="ar"/>
        </w:rPr>
      </w:pPr>
      <w:r>
        <w:rPr>
          <w:sz w:val="22"/>
          <w:szCs w:val="22"/>
        </w:rPr>
        <w:t xml:space="preserve">Zhang B, Li X, Xu H, Jin Z, Wu Q, Li C, 2026. TopoMAS: Large Language Model Driven Topological Materials Multi-Agent System. Materials Genome Engineering Advances. 4, e70045. </w:t>
      </w:r>
      <w:r>
        <w:fldChar w:fldCharType="begin"/>
      </w:r>
      <w:r>
        <w:instrText xml:space="preserve"> HYPERLINK "https://doi.org/https://doi.org/" </w:instrText>
      </w:r>
      <w:r>
        <w:fldChar w:fldCharType="separate"/>
      </w:r>
      <w:r>
        <w:rPr>
          <w:rStyle w:val="13"/>
          <w:sz w:val="22"/>
          <w:szCs w:val="22"/>
        </w:rPr>
        <w:t>https://doi.org/https://doi. org/</w:t>
      </w:r>
      <w:r>
        <w:rPr>
          <w:rStyle w:val="13"/>
          <w:sz w:val="22"/>
          <w:szCs w:val="22"/>
        </w:rPr>
        <w:fldChar w:fldCharType="end"/>
      </w:r>
      <w:r>
        <w:rPr>
          <w:sz w:val="22"/>
          <w:szCs w:val="22"/>
        </w:rPr>
        <w:t>10.1002</w:t>
      </w:r>
      <w:r>
        <w:rPr>
          <w:rFonts w:hint="eastAsia"/>
          <w:sz w:val="22"/>
          <w:szCs w:val="22"/>
          <w:lang w:val="en-US" w:eastAsia="zh-CN"/>
        </w:rPr>
        <w:t xml:space="preserve"> </w:t>
      </w:r>
      <w:r>
        <w:rPr>
          <w:sz w:val="22"/>
          <w:szCs w:val="22"/>
        </w:rPr>
        <w:t>/mgea.70045.</w:t>
      </w:r>
    </w:p>
    <w:p w14:paraId="403FCBEC">
      <w:pPr>
        <w:pStyle w:val="14"/>
        <w:numPr>
          <w:ilvl w:val="0"/>
          <w:numId w:val="4"/>
        </w:numPr>
        <w:spacing w:beforeAutospacing="0" w:afterAutospacing="0" w:line="360" w:lineRule="auto"/>
        <w:jc w:val="both"/>
        <w:rPr>
          <w:sz w:val="22"/>
          <w:szCs w:val="22"/>
          <w:lang w:bidi="ar"/>
        </w:rPr>
      </w:pPr>
      <w:r>
        <w:rPr>
          <w:sz w:val="22"/>
          <w:szCs w:val="22"/>
          <w:lang w:bidi="ar"/>
        </w:rPr>
        <w:t>Wang WY, Zhang S, Li G, Lu J, Ren Y, Wang X, et al., 2024. Artificial intelligence enabled smart design and manufacturing of advanced materials: The endless Frontier in AI+ era. Materials Genome Engineering Advances. 2, e56. https://doi.org/https://doi.org/10.1002/mgea.56.</w:t>
      </w:r>
    </w:p>
    <w:p w14:paraId="6A7EE749">
      <w:pPr>
        <w:pStyle w:val="14"/>
        <w:numPr>
          <w:ilvl w:val="0"/>
          <w:numId w:val="4"/>
        </w:numPr>
        <w:spacing w:beforeAutospacing="0" w:afterAutospacing="0" w:line="360" w:lineRule="auto"/>
        <w:jc w:val="both"/>
        <w:rPr>
          <w:sz w:val="22"/>
          <w:szCs w:val="22"/>
        </w:rPr>
      </w:pPr>
      <w:r>
        <w:rPr>
          <w:sz w:val="22"/>
          <w:szCs w:val="22"/>
        </w:rPr>
        <w:t xml:space="preserve">Jiang M, AitTamerd M, He Z, Bi W, Zhao M, Li S, et al., 2026. MatImageAgent: A Large Language Multimodal Agent for Materials Characterization Images. Materials Genome Engineering Advances. n/a, e70058. </w:t>
      </w:r>
      <w:r>
        <w:fldChar w:fldCharType="begin"/>
      </w:r>
      <w:r>
        <w:instrText xml:space="preserve"> HYPERLINK "https://doi.org/https://doi.org/10.1002/mgea.70058." </w:instrText>
      </w:r>
      <w:r>
        <w:fldChar w:fldCharType="separate"/>
      </w:r>
      <w:r>
        <w:rPr>
          <w:rStyle w:val="13"/>
          <w:sz w:val="22"/>
          <w:szCs w:val="22"/>
        </w:rPr>
        <w:t>https://doi.org/</w:t>
      </w:r>
      <w:r>
        <w:rPr>
          <w:rStyle w:val="13"/>
          <w:rFonts w:hint="eastAsia"/>
          <w:sz w:val="22"/>
          <w:szCs w:val="22"/>
          <w:lang w:val="en-US" w:eastAsia="zh-CN"/>
        </w:rPr>
        <w:t xml:space="preserve"> </w:t>
      </w:r>
      <w:r>
        <w:rPr>
          <w:rStyle w:val="13"/>
          <w:sz w:val="22"/>
          <w:szCs w:val="22"/>
        </w:rPr>
        <w:t>https://doi.org/10.1002/mgea.70058.</w:t>
      </w:r>
      <w:r>
        <w:rPr>
          <w:rStyle w:val="13"/>
          <w:sz w:val="22"/>
          <w:szCs w:val="22"/>
        </w:rPr>
        <w:fldChar w:fldCharType="end"/>
      </w:r>
    </w:p>
    <w:p w14:paraId="217BD175">
      <w:pPr>
        <w:pStyle w:val="14"/>
        <w:numPr>
          <w:ilvl w:val="0"/>
          <w:numId w:val="4"/>
        </w:numPr>
        <w:spacing w:beforeAutospacing="0" w:afterAutospacing="0" w:line="360" w:lineRule="auto"/>
        <w:jc w:val="both"/>
        <w:rPr>
          <w:sz w:val="22"/>
          <w:szCs w:val="22"/>
        </w:rPr>
      </w:pPr>
      <w:r>
        <w:rPr>
          <w:sz w:val="22"/>
          <w:szCs w:val="22"/>
        </w:rPr>
        <w:t xml:space="preserve">Han S, Wang C, Zhang Y, Xu W, Di H, 2024. Employing deep learning in non-parametric inverse visuali-zation of elastic–plastic mechanisms in dual-phase steels. Materials Genome Engineering Advances. 2, e29. </w:t>
      </w:r>
      <w:r>
        <w:rPr>
          <w:sz w:val="22"/>
          <w:szCs w:val="22"/>
        </w:rPr>
        <w:fldChar w:fldCharType="begin"/>
      </w:r>
      <w:r>
        <w:rPr>
          <w:sz w:val="22"/>
          <w:szCs w:val="22"/>
        </w:rPr>
        <w:instrText xml:space="preserve"> HYPERLINK "https://doi.org/" </w:instrText>
      </w:r>
      <w:r>
        <w:rPr>
          <w:sz w:val="22"/>
          <w:szCs w:val="22"/>
        </w:rPr>
        <w:fldChar w:fldCharType="separate"/>
      </w:r>
      <w:r>
        <w:rPr>
          <w:rStyle w:val="13"/>
          <w:sz w:val="22"/>
          <w:szCs w:val="22"/>
        </w:rPr>
        <w:t>https://doi.org/</w:t>
      </w:r>
      <w:r>
        <w:rPr>
          <w:sz w:val="22"/>
          <w:szCs w:val="22"/>
        </w:rPr>
        <w:fldChar w:fldCharType="end"/>
      </w:r>
      <w:r>
        <w:rPr>
          <w:rFonts w:hint="eastAsia"/>
          <w:sz w:val="22"/>
          <w:szCs w:val="22"/>
          <w:lang w:val="en-US" w:eastAsia="zh-CN"/>
        </w:rPr>
        <w:t xml:space="preserve">  </w:t>
      </w:r>
      <w:r>
        <w:rPr>
          <w:sz w:val="22"/>
          <w:szCs w:val="22"/>
        </w:rPr>
        <w:t>https://doi.org/10.1002/mgea.29.</w:t>
      </w:r>
    </w:p>
    <w:sectPr>
      <w:pgSz w:w="11906" w:h="16838"/>
      <w:pgMar w:top="720" w:right="720" w:bottom="720" w:left="720" w:header="720" w:footer="720" w:gutter="0"/>
      <w:lnNumType w:countBy="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auto"/>
    <w:pitch w:val="default"/>
    <w:sig w:usb0="00000000" w:usb1="00000000" w:usb2="00000010" w:usb3="00000000" w:csb0="00040001" w:csb1="00000000"/>
  </w:font>
  <w:font w:name="Calibri Light">
    <w:altName w:val="Helvetica Neue"/>
    <w:panose1 w:val="020F0302020204030204"/>
    <w:charset w:val="00"/>
    <w:family w:val="swiss"/>
    <w:pitch w:val="default"/>
    <w:sig w:usb0="00000000" w:usb1="00000000" w:usb2="00000009" w:usb3="00000000" w:csb0="200001FF" w:csb1="00000000"/>
  </w:font>
  <w:font w:name="Helvetica">
    <w:panose1 w:val="00000000000000000000"/>
    <w:charset w:val="00"/>
    <w:family w:val="auto"/>
    <w:pitch w:val="default"/>
    <w:sig w:usb0="E00002FF" w:usb1="5000785B" w:usb2="00000000" w:usb3="00000000" w:csb0="2000019F" w:csb1="4F010000"/>
  </w:font>
  <w:font w:name="Palatino Linotype">
    <w:altName w:val="苹方-简"/>
    <w:panose1 w:val="02040502050505030304"/>
    <w:charset w:val="00"/>
    <w:family w:val="roman"/>
    <w:pitch w:val="default"/>
    <w:sig w:usb0="00000000" w:usb1="00000000" w:usb2="00000000" w:usb3="00000000" w:csb0="2000019F" w:csb1="00000000"/>
  </w:font>
  <w:font w:name="苹方-简">
    <w:panose1 w:val="020B0400000000000000"/>
    <w:charset w:val="86"/>
    <w:family w:val="auto"/>
    <w:pitch w:val="default"/>
    <w:sig w:usb0="A00002FF" w:usb1="7ACFFDFB" w:usb2="00000017" w:usb3="00000000" w:csb0="00040001" w:csb1="00000000"/>
  </w:font>
  <w:font w:name="Times New Roman Bold">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Times New Roman Regular">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E6801"/>
    <w:multiLevelType w:val="singleLevel"/>
    <w:tmpl w:val="9DFE6801"/>
    <w:lvl w:ilvl="0" w:tentative="0">
      <w:start w:val="1"/>
      <w:numFmt w:val="bullet"/>
      <w:lvlText w:val=""/>
      <w:lvlJc w:val="left"/>
      <w:pPr>
        <w:tabs>
          <w:tab w:val="left" w:pos="420"/>
        </w:tabs>
        <w:ind w:left="420" w:hanging="420"/>
      </w:pPr>
      <w:rPr>
        <w:rFonts w:hint="default" w:ascii="Wingdings" w:hAnsi="Wingdings"/>
      </w:rPr>
    </w:lvl>
  </w:abstractNum>
  <w:abstractNum w:abstractNumId="1">
    <w:nsid w:val="AB3FB90C"/>
    <w:multiLevelType w:val="singleLevel"/>
    <w:tmpl w:val="AB3FB90C"/>
    <w:lvl w:ilvl="0" w:tentative="0">
      <w:start w:val="1"/>
      <w:numFmt w:val="decimal"/>
      <w:suff w:val="space"/>
      <w:lvlText w:val="[%1]"/>
      <w:lvlJc w:val="left"/>
    </w:lvl>
  </w:abstractNum>
  <w:abstractNum w:abstractNumId="2">
    <w:nsid w:val="BFB353A0"/>
    <w:multiLevelType w:val="singleLevel"/>
    <w:tmpl w:val="BFB353A0"/>
    <w:lvl w:ilvl="0" w:tentative="0">
      <w:start w:val="1"/>
      <w:numFmt w:val="decimal"/>
      <w:suff w:val="space"/>
      <w:lvlText w:val="%1."/>
      <w:lvlJc w:val="left"/>
    </w:lvl>
  </w:abstractNum>
  <w:abstractNum w:abstractNumId="3">
    <w:nsid w:val="FFB283C7"/>
    <w:multiLevelType w:val="singleLevel"/>
    <w:tmpl w:val="FFB283C7"/>
    <w:lvl w:ilvl="0" w:tentative="0">
      <w:start w:val="3"/>
      <w:numFmt w:val="decimal"/>
      <w:suff w:val="space"/>
      <w:lvlText w:val="%1."/>
      <w:lvlJc w:val="left"/>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trackRevisions w:val="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EE1"/>
    <w:rsid w:val="00157416"/>
    <w:rsid w:val="00172A27"/>
    <w:rsid w:val="002060B9"/>
    <w:rsid w:val="0020773F"/>
    <w:rsid w:val="004502FE"/>
    <w:rsid w:val="00974B7C"/>
    <w:rsid w:val="00AD3541"/>
    <w:rsid w:val="00B755B6"/>
    <w:rsid w:val="00D84950"/>
    <w:rsid w:val="12707117"/>
    <w:rsid w:val="1DFF0F43"/>
    <w:rsid w:val="29FB56D1"/>
    <w:rsid w:val="2BCB752A"/>
    <w:rsid w:val="2FF23BF4"/>
    <w:rsid w:val="3BF71360"/>
    <w:rsid w:val="3DFAA137"/>
    <w:rsid w:val="3EDF9D35"/>
    <w:rsid w:val="3F5FF591"/>
    <w:rsid w:val="3F7EA418"/>
    <w:rsid w:val="3FEF82A5"/>
    <w:rsid w:val="3FF77924"/>
    <w:rsid w:val="3FFF4A4D"/>
    <w:rsid w:val="477C6915"/>
    <w:rsid w:val="49E79EF6"/>
    <w:rsid w:val="4FFE129A"/>
    <w:rsid w:val="5BBF8C61"/>
    <w:rsid w:val="5CB6E05D"/>
    <w:rsid w:val="5DF93162"/>
    <w:rsid w:val="5E5DD4B7"/>
    <w:rsid w:val="5F4DF01A"/>
    <w:rsid w:val="5F5B1927"/>
    <w:rsid w:val="5FA79439"/>
    <w:rsid w:val="5FDFBAD2"/>
    <w:rsid w:val="5FEC464F"/>
    <w:rsid w:val="666FEDB1"/>
    <w:rsid w:val="675D0FBD"/>
    <w:rsid w:val="677BD1E5"/>
    <w:rsid w:val="67F10399"/>
    <w:rsid w:val="6BD7C22A"/>
    <w:rsid w:val="6DF3BCF0"/>
    <w:rsid w:val="6DFBE4C4"/>
    <w:rsid w:val="72772D33"/>
    <w:rsid w:val="737F17B3"/>
    <w:rsid w:val="755DD69B"/>
    <w:rsid w:val="75DD07D6"/>
    <w:rsid w:val="767E7457"/>
    <w:rsid w:val="776F740E"/>
    <w:rsid w:val="77774C5D"/>
    <w:rsid w:val="7779E938"/>
    <w:rsid w:val="778F5E4E"/>
    <w:rsid w:val="77F7552A"/>
    <w:rsid w:val="77FB9376"/>
    <w:rsid w:val="7B7F3B36"/>
    <w:rsid w:val="7BDE8FE1"/>
    <w:rsid w:val="7CC78ACC"/>
    <w:rsid w:val="7DFBEF75"/>
    <w:rsid w:val="7E77681D"/>
    <w:rsid w:val="7E7F8A20"/>
    <w:rsid w:val="7EBFA81A"/>
    <w:rsid w:val="7EEB6E82"/>
    <w:rsid w:val="7EF78795"/>
    <w:rsid w:val="7F7DD7D7"/>
    <w:rsid w:val="7FBBE7A6"/>
    <w:rsid w:val="7FCBB12A"/>
    <w:rsid w:val="7FEB0E42"/>
    <w:rsid w:val="7FFD08AC"/>
    <w:rsid w:val="AE374D01"/>
    <w:rsid w:val="AFBE2BD4"/>
    <w:rsid w:val="BBDFFF72"/>
    <w:rsid w:val="BD7F9649"/>
    <w:rsid w:val="BEFDDE3D"/>
    <w:rsid w:val="D3F2B782"/>
    <w:rsid w:val="D5BF5F1D"/>
    <w:rsid w:val="DAF9E020"/>
    <w:rsid w:val="DFF9C676"/>
    <w:rsid w:val="DFFC2687"/>
    <w:rsid w:val="E7FF6E1E"/>
    <w:rsid w:val="EBEB443F"/>
    <w:rsid w:val="EDEFD1DB"/>
    <w:rsid w:val="EDFF6EA2"/>
    <w:rsid w:val="EDFF9839"/>
    <w:rsid w:val="EE3B90AB"/>
    <w:rsid w:val="EE555197"/>
    <w:rsid w:val="EF549D8A"/>
    <w:rsid w:val="F2F9FE6D"/>
    <w:rsid w:val="F3C7796D"/>
    <w:rsid w:val="F4F7963E"/>
    <w:rsid w:val="F5B5C735"/>
    <w:rsid w:val="F5BFD046"/>
    <w:rsid w:val="F6FE488E"/>
    <w:rsid w:val="F79B2D4C"/>
    <w:rsid w:val="F7D4BDAA"/>
    <w:rsid w:val="F7DFCF3C"/>
    <w:rsid w:val="F7EFC41A"/>
    <w:rsid w:val="F8FD69FF"/>
    <w:rsid w:val="FAD7A536"/>
    <w:rsid w:val="FBD9E6DE"/>
    <w:rsid w:val="FBFFFBE9"/>
    <w:rsid w:val="FCEF3FE9"/>
    <w:rsid w:val="FEDB0E97"/>
    <w:rsid w:val="FF6EA67D"/>
    <w:rsid w:val="FF71FFB0"/>
    <w:rsid w:val="FFB753B5"/>
    <w:rsid w:val="FFE64D2D"/>
    <w:rsid w:val="FFEF9CE1"/>
    <w:rsid w:val="FFEFCC07"/>
    <w:rsid w:val="FFFF99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24"/>
    <w:uiPriority w:val="0"/>
    <w:rPr>
      <w:rFonts w:asciiTheme="majorHAnsi" w:hAnsiTheme="majorHAnsi" w:eastAsiaTheme="majorEastAsia" w:cstheme="majorBidi"/>
      <w:sz w:val="18"/>
      <w:szCs w:val="18"/>
    </w:rPr>
  </w:style>
  <w:style w:type="character" w:styleId="8">
    <w:name w:val="annotation reference"/>
    <w:basedOn w:val="5"/>
    <w:qFormat/>
    <w:uiPriority w:val="0"/>
    <w:rPr>
      <w:sz w:val="18"/>
      <w:szCs w:val="18"/>
    </w:rPr>
  </w:style>
  <w:style w:type="paragraph" w:styleId="9">
    <w:name w:val="annotation text"/>
    <w:basedOn w:val="1"/>
    <w:link w:val="22"/>
    <w:uiPriority w:val="0"/>
    <w:pPr>
      <w:jc w:val="left"/>
    </w:pPr>
  </w:style>
  <w:style w:type="paragraph" w:styleId="10">
    <w:name w:val="annotation subject"/>
    <w:basedOn w:val="9"/>
    <w:next w:val="9"/>
    <w:link w:val="23"/>
    <w:qFormat/>
    <w:uiPriority w:val="0"/>
    <w:rPr>
      <w:b/>
      <w:bCs/>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tabs>
        <w:tab w:val="center" w:pos="4153"/>
        <w:tab w:val="right" w:pos="8306"/>
      </w:tabs>
      <w:snapToGrid w:val="0"/>
    </w:pPr>
    <w:rPr>
      <w:sz w:val="18"/>
      <w:szCs w:val="18"/>
    </w:rPr>
  </w:style>
  <w:style w:type="character" w:styleId="13">
    <w:name w:val="Hyperlink"/>
    <w:basedOn w:val="5"/>
    <w:qFormat/>
    <w:uiPriority w:val="0"/>
    <w:rPr>
      <w:color w:val="0000FF"/>
      <w:u w:val="single"/>
    </w:rPr>
  </w:style>
  <w:style w:type="paragraph" w:styleId="14">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5">
    <w:name w:val="Strong"/>
    <w:basedOn w:val="5"/>
    <w:qFormat/>
    <w:uiPriority w:val="0"/>
    <w:rPr>
      <w:b/>
      <w:bCs/>
    </w:rPr>
  </w:style>
  <w:style w:type="table" w:styleId="16">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List Paragraph"/>
    <w:basedOn w:val="1"/>
    <w:qFormat/>
    <w:uiPriority w:val="34"/>
    <w:pPr>
      <w:ind w:left="720"/>
      <w:contextualSpacing/>
    </w:pPr>
  </w:style>
  <w:style w:type="paragraph" w:customStyle="1" w:styleId="18">
    <w:name w:val="p1"/>
    <w:qFormat/>
    <w:uiPriority w:val="0"/>
    <w:rPr>
      <w:rFonts w:ascii="Helvetica" w:hAnsi="Helvetica" w:eastAsia="Helvetica" w:cs="Times New Roman"/>
      <w:sz w:val="24"/>
      <w:szCs w:val="24"/>
      <w:lang w:val="en-US" w:eastAsia="zh-CN" w:bidi="ar-SA"/>
    </w:rPr>
  </w:style>
  <w:style w:type="paragraph" w:customStyle="1" w:styleId="19">
    <w:name w:val="OAE_4.2_table_body"/>
    <w:qFormat/>
    <w:uiPriority w:val="0"/>
    <w:pPr>
      <w:adjustRightInd w:val="0"/>
      <w:snapToGrid w:val="0"/>
    </w:pPr>
    <w:rPr>
      <w:rFonts w:ascii="Palatino Linotype" w:hAnsi="Palatino Linotype" w:eastAsia="Times New Roman" w:cstheme="minorBidi"/>
      <w:snapToGrid w:val="0"/>
      <w:color w:val="000000"/>
      <w:sz w:val="21"/>
      <w:szCs w:val="22"/>
      <w:lang w:val="en-US" w:eastAsia="de-DE" w:bidi="en-US"/>
    </w:rPr>
  </w:style>
  <w:style w:type="table" w:customStyle="1" w:styleId="20">
    <w:name w:val="M_deck_5_table_body_three_lines"/>
    <w:basedOn w:val="6"/>
    <w:qFormat/>
    <w:uiPriority w:val="99"/>
    <w:pPr>
      <w:adjustRightInd w:val="0"/>
      <w:snapToGrid w:val="0"/>
      <w:spacing w:line="300" w:lineRule="exact"/>
      <w:jc w:val="center"/>
    </w:pPr>
    <w:rPr>
      <w:lang w:val="de-DE" w:eastAsia="de-DE"/>
    </w:rPr>
    <w:tblPr>
      <w:jc w:val="center"/>
      <w:tblBorders>
        <w:bottom w:val="single" w:color="auto" w:sz="8" w:space="0"/>
      </w:tblBorders>
    </w:tblPr>
    <w:trPr>
      <w:jc w:val="center"/>
    </w:trPr>
    <w:tcPr>
      <w:vAlign w:val="center"/>
    </w:tcPr>
    <w:tblStylePr w:type="firstRow">
      <w:pPr>
        <w:wordWrap/>
        <w:adjustRightInd w:val="0"/>
        <w:snapToGrid w:val="0"/>
        <w:spacing w:beforeLines="0" w:beforeAutospacing="0" w:afterLines="0" w:afterAutospacing="0" w:line="300" w:lineRule="exact"/>
        <w:ind w:left="0" w:leftChars="0" w:right="0" w:rightChars="0" w:firstLine="0" w:firstLineChars="0"/>
        <w:contextualSpacing w:val="0"/>
        <w:jc w:val="center"/>
        <w:outlineLvl w:val="9"/>
      </w:pPr>
      <w:rPr>
        <w:rFonts w:ascii="Times New Roman" w:hAnsi="Times New Roman" w:eastAsia="Times New Roman"/>
        <w:b w:val="0"/>
        <w:i w:val="0"/>
        <w:snapToGrid w:val="0"/>
        <w:sz w:val="22"/>
      </w:rPr>
      <w:tcPr>
        <w:tcBorders>
          <w:top w:val="single" w:color="auto" w:sz="8" w:space="0"/>
          <w:left w:val="nil"/>
          <w:bottom w:val="single" w:color="auto" w:sz="4" w:space="0"/>
          <w:right w:val="nil"/>
          <w:insideH w:val="nil"/>
          <w:insideV w:val="nil"/>
          <w:tl2br w:val="nil"/>
          <w:tr2bl w:val="nil"/>
        </w:tcBorders>
      </w:tcPr>
    </w:tblStylePr>
  </w:style>
  <w:style w:type="paragraph" w:customStyle="1" w:styleId="21">
    <w:name w:val="MTDisplayEquation"/>
    <w:basedOn w:val="1"/>
    <w:next w:val="1"/>
    <w:qFormat/>
    <w:uiPriority w:val="0"/>
    <w:pPr>
      <w:tabs>
        <w:tab w:val="center" w:pos="4320"/>
        <w:tab w:val="right" w:pos="8640"/>
      </w:tabs>
    </w:pPr>
  </w:style>
  <w:style w:type="character" w:customStyle="1" w:styleId="22">
    <w:name w:val="메모 텍스트 Char"/>
    <w:basedOn w:val="5"/>
    <w:link w:val="9"/>
    <w:qFormat/>
    <w:uiPriority w:val="0"/>
    <w:rPr>
      <w:rFonts w:asciiTheme="minorHAnsi" w:hAnsiTheme="minorHAnsi" w:eastAsiaTheme="minorEastAsia" w:cstheme="minorBidi"/>
      <w:kern w:val="2"/>
      <w:sz w:val="21"/>
      <w:szCs w:val="24"/>
      <w:lang w:eastAsia="zh-CN"/>
    </w:rPr>
  </w:style>
  <w:style w:type="character" w:customStyle="1" w:styleId="23">
    <w:name w:val="메모 주제 Char"/>
    <w:basedOn w:val="22"/>
    <w:link w:val="10"/>
    <w:qFormat/>
    <w:uiPriority w:val="0"/>
    <w:rPr>
      <w:rFonts w:asciiTheme="minorHAnsi" w:hAnsiTheme="minorHAnsi" w:eastAsiaTheme="minorEastAsia" w:cstheme="minorBidi"/>
      <w:b/>
      <w:bCs/>
      <w:kern w:val="2"/>
      <w:sz w:val="21"/>
      <w:szCs w:val="24"/>
      <w:lang w:eastAsia="zh-CN"/>
    </w:rPr>
  </w:style>
  <w:style w:type="character" w:customStyle="1" w:styleId="24">
    <w:name w:val="풍선 도움말 텍스트 Char"/>
    <w:basedOn w:val="5"/>
    <w:link w:val="7"/>
    <w:qFormat/>
    <w:uiPriority w:val="0"/>
    <w:rPr>
      <w:rFonts w:asciiTheme="majorHAnsi" w:hAnsiTheme="majorHAnsi" w:eastAsiaTheme="majorEastAsia" w:cstheme="majorBidi"/>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2162</Words>
  <Characters>15645</Characters>
  <Lines>552</Lines>
  <Paragraphs>155</Paragraphs>
  <TotalTime>14</TotalTime>
  <ScaleCrop>false</ScaleCrop>
  <LinksUpToDate>false</LinksUpToDate>
  <CharactersWithSpaces>18064</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2026-05-08T20:53:00Z</dcterms:created>
  <dc:creator>Me</dc:creator>
  <cp:lastModifiedBy>Me</cp:lastModifiedBy>
  <dcterms:modified xsi:type="dcterms:W3CDTF">2026-08-19T16:00:23Z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1033-12.1.26046.26046</vt:lpwstr>
  </property>
  <property fmtid="{D5CDD505-2E9C-101B-9397-08002B2CF9AE}" pid="3" name="ICV">
    <vt:lpwstr>52F180B5C98D2C926778406AE136ECA8_43</vt:lpwstr>
  </property>
  <property fmtid="{D5CDD505-2E9C-101B-9397-08002B2CF9AE}" pid="4" name="KSOTemplateDocerSaveRecord">
    <vt:lpwstr>eyJoZGlkIjoiOGU5N2Y3YTU1M2FmMDc0Njk0ZDRkNDFhZDcwY2FiYzciLCJ1c2VySWQiOiI1OTkyNjYyMDQifQ==</vt:lpwstr>
  </property>
</Properties>
</file>