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D</w:t>
        <w:br/>
        <w:t>Compatibility Rule</w:t>
      </w:r>
    </w:p>
    <w:p>
      <w:pPr>
        <w:pStyle w:val="Heading1"/>
      </w:pPr>
      <w:r>
        <w:t>Objective</w:t>
      </w:r>
    </w:p>
    <w:p>
      <w:r>
        <w:t>Guarantee product-family consistency through the architecture, not by checking wrong families with an exception.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GameApplication receives one GameFactory.</w:t>
      </w:r>
    </w:p>
    <w:p>
      <w:pPr>
        <w:pStyle w:val="ListBullet"/>
      </w:pPr>
      <w:r>
        <w:t>Character, Weapon and Enemy are all created from that same factory.</w:t>
      </w:r>
    </w:p>
    <w:p>
      <w:pPr>
        <w:pStyle w:val="ListBullet"/>
      </w:pPr>
      <w:r>
        <w:t>Getters support later compatibility tests.</w:t>
      </w:r>
    </w:p>
    <w:p>
      <w:pPr>
        <w:pStyle w:val="Heading1"/>
      </w:pPr>
      <w:r>
        <w:t>Defense explanation</w:t>
      </w:r>
    </w:p>
    <w:p>
      <w:r>
        <w:t>The client has one factory reference, not three independent family choices. Therefore its normal construction path creates one compatible family.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