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093260" cy="1093260"/>
            <wp:effectExtent b="0" l="0" r="0" t="0"/>
            <wp:docPr descr="image" title="" id="10" name="Picture"/>
            <a:graphic>
              <a:graphicData uri="http://schemas.openxmlformats.org/drawingml/2006/picture">
                <pic:pic>
                  <pic:nvPicPr>
                    <pic:cNvPr descr="Images/logo_nsysu_thesis.jpg" id="11" name="Picture"/>
                    <pic:cNvPicPr>
                      <a:picLocks noChangeArrowheads="1" noChangeAspect="1"/>
                    </pic:cNvPicPr>
                  </pic:nvPicPr>
                  <pic:blipFill>
                    <a:blip r:embed="rId9"/>
                    <a:stretch>
                      <a:fillRect/>
                    </a:stretch>
                  </pic:blipFill>
                  <pic:spPr bwMode="auto">
                    <a:xfrm>
                      <a:off x="0" y="0"/>
                      <a:ext cx="1093260" cy="1093260"/>
                    </a:xfrm>
                    <a:prstGeom prst="rect">
                      <a:avLst/>
                    </a:prstGeom>
                    <a:noFill/>
                    <a:ln w="9525">
                      <a:noFill/>
                      <a:headEnd/>
                      <a:tailEnd/>
                    </a:ln>
                  </pic:spPr>
                </pic:pic>
              </a:graphicData>
            </a:graphic>
          </wp:inline>
        </w:drawing>
      </w:r>
      <w:r>
        <w:br/>
      </w:r>
      <w:r>
        <w:rPr>
          <w:rFonts w:hint="eastAsia"/>
        </w:rPr>
        <w:t xml:space="preserve">國立中山大學電信工程國際碩士學位學程</w:t>
      </w:r>
      <w:r>
        <w:br/>
      </w:r>
    </w:p>
    <w:p>
      <w:pPr>
        <w:pStyle w:val="BodyText"/>
      </w:pPr>
      <w:r>
        <w:rPr>
          <w:rFonts w:hint="eastAsia"/>
        </w:rPr>
        <w:t xml:space="preserve">碩士論文</w:t>
      </w:r>
      <w:r>
        <w:br/>
      </w:r>
    </w:p>
    <w:p>
      <w:pPr>
        <w:pStyle w:val="BodyText"/>
      </w:pPr>
      <w:r>
        <w:t xml:space="preserve">Master’s Program in Telecommunication Engineering</w:t>
      </w:r>
      <w:r>
        <w:br/>
      </w:r>
    </w:p>
    <w:p>
      <w:pPr>
        <w:pStyle w:val="BodyText"/>
      </w:pPr>
      <w:r>
        <w:t xml:space="preserve">National Sun Yat-sen University</w:t>
      </w:r>
      <w:r>
        <w:br/>
      </w:r>
    </w:p>
    <w:p>
      <w:pPr>
        <w:pStyle w:val="BodyText"/>
      </w:pPr>
      <w:r>
        <w:t xml:space="preserve">Master Thesis</w:t>
      </w:r>
      <w:r>
        <w:br/>
      </w:r>
    </w:p>
    <w:p>
      <w:pPr>
        <w:pStyle w:val="BodyText"/>
      </w:pPr>
      <w:r>
        <w:t xml:space="preserve">Chinese Thesis/Dissertation Title</w:t>
      </w:r>
      <w:r>
        <w:br/>
      </w:r>
      <w:r>
        <w:t xml:space="preserve"> </w:t>
      </w:r>
      <w:r>
        <w:t xml:space="preserve">Thesis/Dissertation Title</w:t>
      </w:r>
      <w:r>
        <w:br/>
      </w:r>
    </w:p>
    <w:p>
      <w:pPr>
        <w:pStyle w:val="BodyText"/>
      </w:pPr>
      <w:r>
        <w:rPr>
          <w:rFonts w:hint="eastAsia"/>
        </w:rPr>
        <w:t xml:space="preserve">研究生：</w:t>
      </w:r>
      <w:r>
        <w:t xml:space="preserve"> </w:t>
      </w:r>
      <w:r>
        <w:rPr>
          <w:rFonts w:hint="eastAsia"/>
        </w:rPr>
        <w:t xml:space="preserve">趙爾凡</w:t>
      </w:r>
    </w:p>
    <w:p>
      <w:pPr>
        <w:pStyle w:val="BodyText"/>
      </w:pPr>
      <w:r>
        <w:t xml:space="preserve">Muhammad Zharfan Wiranata</w:t>
      </w:r>
    </w:p>
    <w:p>
      <w:pPr>
        <w:pStyle w:val="BodyText"/>
      </w:pPr>
      <w:r>
        <w:rPr>
          <w:rFonts w:hint="eastAsia"/>
        </w:rPr>
        <w:t xml:space="preserve">指導教授：</w:t>
      </w:r>
      <w:r>
        <w:t xml:space="preserve"> </w:t>
      </w:r>
      <w:r>
        <w:rPr>
          <w:rFonts w:hint="eastAsia"/>
        </w:rPr>
        <w:t xml:space="preserve">洪子聖</w:t>
      </w:r>
      <w:r>
        <w:t xml:space="preserve"> </w:t>
      </w:r>
      <w:r>
        <w:rPr>
          <w:rFonts w:hint="eastAsia"/>
        </w:rPr>
        <w:t xml:space="preserve">博士</w:t>
      </w:r>
    </w:p>
    <w:p>
      <w:pPr>
        <w:pStyle w:val="BodyText"/>
      </w:pPr>
      <w:r>
        <w:t xml:space="preserve">Dr. Tzyy-Sheng Horng</w:t>
      </w:r>
    </w:p>
    <w:p>
      <w:pPr>
        <w:pStyle w:val="BodyText"/>
      </w:pPr>
      <w:r>
        <w:rPr>
          <w:rFonts w:hint="eastAsia"/>
        </w:rPr>
        <w:t xml:space="preserve">中華民國114年5月</w:t>
      </w:r>
      <w:r>
        <w:br/>
      </w:r>
      <w:r>
        <w:t xml:space="preserve">January 2025</w:t>
      </w:r>
      <w:r>
        <w:br/>
      </w:r>
    </w:p>
    <w:p>
      <w:pPr>
        <w:pStyle w:val="BodyText"/>
      </w:pPr>
      <w:r>
        <w:t xml:space="preserve">Thesis Validation Letter</w:t>
      </w:r>
      <w:r>
        <w:t xml:space="preserve"> </w:t>
      </w:r>
    </w:p>
    <w:p>
      <w:pPr>
        <w:pStyle w:val="BodyText"/>
      </w:pPr>
      <w:r>
        <w:t xml:space="preserve">Validation letter</w:t>
      </w:r>
    </w:p>
    <w:p>
      <w:pPr>
        <w:pStyle w:val="BodyText"/>
      </w:pPr>
      <w:r>
        <w:t xml:space="preserve">Acknowledgements</w:t>
      </w:r>
    </w:p>
    <w:p>
      <w:pPr>
        <w:pStyle w:val="BodyText"/>
      </w:pPr>
      <w:r>
        <w:rPr>
          <w:i/>
          <w:iCs/>
        </w:rPr>
        <w:t xml:space="preserve">bismi al-ll_ahi al-rra.hm_ani al-rra.hImi</w:t>
      </w:r>
    </w:p>
    <w:p>
      <w:pPr>
        <w:pStyle w:val="BodyText"/>
      </w:pPr>
      <w:r>
        <w:t xml:space="preserve">Alhamdulllahirabbil’alamin, finally got to this point, a splash of success that You gave me Rabb Allah SWT is the Almighty, endlessly thanking you. Prayers and greetings to the Prophet Muhammad SAW and his noble friends.</w:t>
      </w:r>
    </w:p>
    <w:p>
      <w:pPr>
        <w:pStyle w:val="BodyText"/>
      </w:pPr>
      <w:r>
        <w:t xml:space="preserve">In accordance with the words of the Prophet Muhammad SAW that when we have an advantage we might help the other people, as mentioned in hadith narrated by Ath-Thabrani:</w:t>
      </w:r>
    </w:p>
    <w:p>
      <w:pPr>
        <w:pStyle w:val="BodyText"/>
      </w:pPr>
      <w:r>
        <w:rPr>
          <w:i/>
          <w:iCs/>
        </w:rPr>
        <w:t xml:space="preserve">a.habba Al-nnaasi ’il_A al-ll_ahi ta‘aa l_A aanfa‘uhum lil-nnaasi..</w:t>
      </w:r>
    </w:p>
    <w:p>
      <w:pPr>
        <w:pStyle w:val="BodyText"/>
      </w:pPr>
      <w:r>
        <w:t xml:space="preserve">"The most loved Man/Woman by Allah is the most beneficial to humans beings.." (Narrated by Ath-Thabrani in Al Mu’jam Al Kabir no. 13280).</w:t>
      </w:r>
    </w:p>
    <w:p>
      <w:pPr>
        <w:pStyle w:val="BodyText"/>
      </w:pPr>
      <w:r>
        <w:t xml:space="preserve">Hopefully, this NSYSU Thesis LaTEX template can be useful for all of us, and you’ll get the best results for your thesis.</w:t>
      </w:r>
    </w:p>
    <w:p>
      <w:pPr>
        <w:pStyle w:val="BodyText"/>
      </w:pPr>
      <w:r>
        <w:t xml:space="preserve">Author :</w:t>
      </w:r>
    </w:p>
    <w:p>
      <w:pPr>
        <w:pStyle w:val="BodyText"/>
      </w:pPr>
      <w:r>
        <w:t xml:space="preserve">- Dony Darmawan Putra</w:t>
      </w:r>
    </w:p>
    <w:p>
      <w:pPr>
        <w:pStyle w:val="BodyText"/>
      </w:pPr>
      <w:r>
        <w:t xml:space="preserve">- Hasan Albinsaid</w:t>
      </w:r>
    </w:p>
    <w:p>
      <w:pPr>
        <w:pStyle w:val="BodyText"/>
      </w:pPr>
      <w:r>
        <w:rPr>
          <w:rFonts w:hint="eastAsia"/>
        </w:rPr>
        <w:t xml:space="preserve">摘</w:t>
      </w:r>
      <w:r>
        <w:t xml:space="preserve"> </w:t>
      </w:r>
      <w:r>
        <w:rPr>
          <w:rFonts w:hint="eastAsia"/>
        </w:rPr>
        <w:t xml:space="preserve">要</w:t>
      </w:r>
    </w:p>
    <w:p>
      <w:pPr>
        <w:pStyle w:val="BodyText"/>
      </w:pPr>
      <w:r>
        <w:t xml:space="preserve">This is Abstract, but in chinese language.</w:t>
      </w:r>
    </w:p>
    <w:p>
      <w:pPr>
        <w:pStyle w:val="BodyText"/>
      </w:pPr>
      <w:r>
        <w:t xml:space="preserve">Abstract</w:t>
      </w:r>
    </w:p>
    <w:p>
      <w:pPr>
        <w:pStyle w:val="BodyText"/>
      </w:pPr>
      <w:r>
        <w:t xml:space="preserve">This is Abstract.</w:t>
      </w:r>
    </w:p>
    <w:p>
      <w:pPr>
        <w:pStyle w:val="BodyText"/>
      </w:pPr>
      <w:r>
        <w:t xml:space="preserve">Keywords: keyword1, keyword2, keyword3.</w:t>
      </w:r>
    </w:p>
    <w:bookmarkStart w:id="15" w:name="introduction"/>
    <w:p>
      <w:pPr>
        <w:pStyle w:val="Heading1"/>
      </w:pPr>
      <w:r>
        <w:t xml:space="preserve">Introduction</w:t>
      </w:r>
    </w:p>
    <w:bookmarkStart w:id="12" w:name="background"/>
    <w:p>
      <w:pPr>
        <w:pStyle w:val="Heading2"/>
      </w:pPr>
      <w:r>
        <w:t xml:space="preserve">Background</w:t>
      </w:r>
    </w:p>
    <w:p>
      <w:pPr>
        <w:pStyle w:val="FirstParagraph"/>
      </w:pPr>
      <w:r>
        <w:t xml:space="preserve">Wireless communication systems continue to require higher data rates, wider coverage, and more reliable link quality. These requirements become more challenging as communication systems operate at higher frequencies, where propagation loss, blockage, antenna alignment, and coverage limitation can strongly affect the received signal. In this condition, the antenna is not only a radiating component, but also an important part of the overall communication channel because its gain, radiation pattern, polarization, and beam direction directly influence the received power and link performance.</w:t>
      </w:r>
    </w:p>
    <w:p>
      <w:pPr>
        <w:pStyle w:val="BodyText"/>
      </w:pPr>
      <w:r>
        <w:t xml:space="preserve">Directional antennas are widely used to improve link quality by concentrating electromagnetic energy toward a desired direction. However, conventional high-gain antenna structures can be bulky, complex, or difficult to integrate into compact communication platforms. A metasurface transmitarray lens antenna offers an attractive alternative because it can provide spatial phase control using a planar arrangement of engineered unit cells. By controlling the transmission phase across the aperture, the transmitarray lens can transform the incident wave from a feed antenna into a focused or collimated wavefront, which can improve gain and support directional communication.</w:t>
      </w:r>
    </w:p>
    <w:p>
      <w:pPr>
        <w:pStyle w:val="BodyText"/>
      </w:pPr>
      <w:r>
        <w:t xml:space="preserve">The performance of a metasurface transmitarray lens antenna depends on both the electromagnetic behavior of its unit cells and the system-level effect of the resulting radiation pattern. Therefore, antenna-level evaluation alone is not sufficient to understand its usefulness in a communication scenario. Parameters such as transmission magnitude, phase response, gain, directivity, beam direction, and side-lobe level must be connected with channel-related metrics such as received power, path loss, signal-to-noise ratio, and coverage. This relationship is important because an antenna design that performs well in isolation may still produce different link behavior depending on propagation distance, antenna orientation, and environmental assumptions.</w:t>
      </w:r>
    </w:p>
    <w:p>
      <w:pPr>
        <w:pStyle w:val="BodyText"/>
      </w:pPr>
      <w:r>
        <w:t xml:space="preserve">Based on this background, this thesis investigates a metasurface transmitarray lens antenna through simulation and communication channel evaluation. ANSYS HFSS is used to evaluate the electromagnetic characteristics of the antenna, while channel-level analysis is used to observe how the antenna performance affects the communication link. The study focuses on building a simulation workflow that connects the physical antenna design with practical communication performance indicators.</w:t>
      </w:r>
    </w:p>
    <w:bookmarkEnd w:id="12"/>
    <w:bookmarkStart w:id="13" w:name="motivation"/>
    <w:p>
      <w:pPr>
        <w:pStyle w:val="Heading2"/>
      </w:pPr>
      <w:r>
        <w:t xml:space="preserve">Motivation</w:t>
      </w:r>
    </w:p>
    <w:p>
      <w:pPr>
        <w:pStyle w:val="FirstParagraph"/>
      </w:pPr>
      <w:r>
        <w:t xml:space="preserve">The main motivation of this research is the need to evaluate antenna designs from both electromagnetic and communication perspectives. In many antenna studies, the evaluation is mainly focused on parameters such as reflection coefficient, gain, directivity, and radiation pattern. Although these parameters are essential, they do not fully describe how the antenna affects the received signal in an actual communication link. For directional antennas such as metasurface transmitarray lenses, this gap becomes important because beam focusing, phase compensation, and aperture efficiency can directly change the channel response.</w:t>
      </w:r>
    </w:p>
    <w:p>
      <w:pPr>
        <w:pStyle w:val="BodyText"/>
      </w:pPr>
      <w:r>
        <w:t xml:space="preserve">Another motivation is the practical need for compact and efficient high-gain antenna structures. A metasurface transmitarray lens antenna can provide beam-forming capability with a relatively low-profile planar structure. This makes it a promising candidate for communication systems that require directional radiation while maintaining simpler integration compared with bulky lens or reflector structures. However, the design must be carefully evaluated because unit cell loss, limited phase coverage, feed illumination, and phase error can reduce the final antenna performance.</w:t>
      </w:r>
    </w:p>
    <w:p>
      <w:pPr>
        <w:pStyle w:val="BodyText"/>
      </w:pPr>
      <w:r>
        <w:t xml:space="preserve">This thesis is also motivated by the need for a clear simulation procedure that links unit cell design, full antenna simulation, and communication channel evaluation. By combining these stages, the antenna can be assessed not only by its radiation characteristics but also by its influence on link-related metrics such as received power, path loss, signal-to-noise ratio, and coverage. This approach provides a more complete understanding of whether the designed metasurface transmitarray lens antenna can support the intended communication scenario.</w:t>
      </w:r>
    </w:p>
    <w:bookmarkEnd w:id="13"/>
    <w:bookmarkStart w:id="14" w:name="thesis-structure"/>
    <w:p>
      <w:pPr>
        <w:pStyle w:val="Heading2"/>
      </w:pPr>
      <w:r>
        <w:t xml:space="preserve">Thesis Structure</w:t>
      </w:r>
    </w:p>
    <w:p>
      <w:pPr>
        <w:pStyle w:val="FirstParagraph"/>
      </w:pPr>
      <w:r>
        <w:t xml:space="preserve">This thesis is organized as follows. Chapter 1 introduces the research background, motivation, and thesis structure. Chapter 2 presents the theoretical background of metasurface transmitarray lens antennas and communication channel evaluation. Chapter 3 describes the simulation setup and design workflow, including unit cell design, transmitarray lens configuration, ANSYS HFSS simulation, and channel evaluation setup. Chapter 4 presents the simulation results and discussion for both antenna-level and communication-level performance. Chapter 5 summarizes the conclusions, main contributions, limitations, and future work.</w:t>
      </w:r>
    </w:p>
    <w:bookmarkEnd w:id="14"/>
    <w:bookmarkEnd w:id="15"/>
    <w:bookmarkStart w:id="33" w:name="theoretical-background"/>
    <w:p>
      <w:pPr>
        <w:pStyle w:val="Heading1"/>
      </w:pPr>
      <w:r>
        <w:t xml:space="preserve">Theoretical Background</w:t>
      </w:r>
    </w:p>
    <w:bookmarkStart w:id="21" w:name="metasurface-transmitarray-lens-antenna"/>
    <w:p>
      <w:pPr>
        <w:pStyle w:val="Heading2"/>
      </w:pPr>
      <w:r>
        <w:t xml:space="preserve">Metasurface Transmitarray Lens Antenna</w:t>
      </w:r>
    </w:p>
    <w:p>
      <w:pPr>
        <w:pStyle w:val="FirstParagraph"/>
      </w:pPr>
      <w:r>
        <w:t xml:space="preserve">This section introduces the theoretical foundation of metasurface transmitarray lens antennas. A transmitarray antenna consists of an illuminating feed source and a thin transmitting surface composed of antenna elements or metasurface unit cells. The feed is placed at an equivalent focal point, causing the incident wave on the aperture to have a spherical phase front.</w:t>
      </w:r>
    </w:p>
    <w:p>
      <w:pPr>
        <w:pStyle w:val="BodyText"/>
      </w:pPr>
      <w:r>
        <w:t xml:space="preserve">Each element on the transmitting surface is designed with a specific transmission coefficient to control the transmitted phase. By compensating for the different path lengths from the feed to each element, the transmitarray converts the spherical phase front into a more planar transmitted phase front and forms a directive beam with higher gain. This makes transmitarray antennas useful for compact wireless communication, remote sensing, terahertz imaging, and other applications requiring controlled high-gain radiation.</w:t>
      </w:r>
    </w:p>
    <w:bookmarkStart w:id="16" w:name="metasurface-concept"/>
    <w:p>
      <w:pPr>
        <w:pStyle w:val="Heading3"/>
      </w:pPr>
      <w:r>
        <w:t xml:space="preserve">Metasurface Concept</w:t>
      </w:r>
    </w:p>
    <w:p>
      <w:pPr>
        <w:pStyle w:val="FirstParagraph"/>
      </w:pPr>
      <w:r>
        <w:t xml:space="preserve">Metasurfaces are two-dimensional engineered structures composed of periodic or quasi-periodic unit cells. Each unit cell is designed to control the electromagnetic response of the surface, such as phase, magnitude, polarization, or propagation direction. In antenna applications, metasurfaces can be used to manipulate wavefronts while maintaining a compact and low-profile structure.</w:t>
      </w:r>
    </w:p>
    <w:bookmarkEnd w:id="16"/>
    <w:bookmarkStart w:id="17" w:name="transmitarray-antenna-principle"/>
    <w:p>
      <w:pPr>
        <w:pStyle w:val="Heading3"/>
      </w:pPr>
      <w:r>
        <w:t xml:space="preserve">Transmitarray Antenna Principle</w:t>
      </w:r>
    </w:p>
    <w:p>
      <w:pPr>
        <w:pStyle w:val="FirstParagraph"/>
      </w:pPr>
      <w:r>
        <w:t xml:space="preserve">A transmitarray antenna consists of a feed source and a planar aperture made of unit cells. The feed illuminates the aperture, and each unit cell provides a specific transmission phase shift. By properly designing the phase distribution across the aperture, the transmitted waves can be collimated or steered toward a desired direction.</w:t>
      </w:r>
    </w:p>
    <w:bookmarkEnd w:id="17"/>
    <w:bookmarkStart w:id="18" w:name="lens-phase-compensation"/>
    <w:p>
      <w:pPr>
        <w:pStyle w:val="Heading3"/>
      </w:pPr>
      <w:r>
        <w:t xml:space="preserve">Lens Phase Compensation</w:t>
      </w:r>
    </w:p>
    <w:p>
      <w:pPr>
        <w:pStyle w:val="FirstParagraph"/>
      </w:pPr>
      <w:r>
        <w:t xml:space="preserve">The lens operation is based on phase compensation. Since the feed antenna is located at a finite distance from the aperture, the path length from the feed to each unit cell is different. The transmitarray compensates for these path differences so that the transmitted wavefront has approximately equal phase at the aperture output.</w:t>
      </w:r>
    </w:p>
    <w:bookmarkEnd w:id="18"/>
    <w:bookmarkStart w:id="19" w:name="unit-cell-design"/>
    <w:p>
      <w:pPr>
        <w:pStyle w:val="Heading3"/>
      </w:pPr>
      <w:r>
        <w:t xml:space="preserve">Unit Cell Design</w:t>
      </w:r>
    </w:p>
    <w:p>
      <w:pPr>
        <w:pStyle w:val="FirstParagraph"/>
      </w:pPr>
      <w:r>
        <w:t xml:space="preserve">The unit cell is the basic element of a metasurface transmitarray. Its geometry determines the transmission coefficient and phase response. Important design considerations include transmission magnitude, phase coverage, element size, bandwidth, polarization behavior, and fabrication feasibility.</w:t>
      </w:r>
    </w:p>
    <w:bookmarkEnd w:id="19"/>
    <w:bookmarkStart w:id="20" w:name="antenna-performance-parameters"/>
    <w:p>
      <w:pPr>
        <w:pStyle w:val="Heading3"/>
      </w:pPr>
      <w:r>
        <w:t xml:space="preserve">Antenna Performance Parameters</w:t>
      </w:r>
    </w:p>
    <w:p>
      <w:pPr>
        <w:pStyle w:val="FirstParagraph"/>
      </w:pPr>
      <w:r>
        <w:t xml:space="preserve">The performance of a metasurface transmitarray lens antenna can be evaluated using parameters such as gain, directivity, aperture efficiency, radiation pattern, side-lobe level, return loss, and bandwidth. These parameters are used to determine whether the antenna satisfies the target communication system requirements.</w:t>
      </w:r>
    </w:p>
    <w:bookmarkEnd w:id="20"/>
    <w:bookmarkEnd w:id="21"/>
    <w:bookmarkStart w:id="32" w:name="communication-theory"/>
    <w:p>
      <w:pPr>
        <w:pStyle w:val="Heading2"/>
      </w:pPr>
      <w:r>
        <w:t xml:space="preserve">Communication Theory</w:t>
      </w:r>
    </w:p>
    <w:p>
      <w:pPr>
        <w:pStyle w:val="FirstParagraph"/>
      </w:pPr>
      <w:r>
        <w:t xml:space="preserve">This section summarizes the communication theory concepts that support the antenna design and system-level analysis.</w:t>
      </w:r>
    </w:p>
    <w:bookmarkStart w:id="22" w:name="wireless-communication-system"/>
    <w:p>
      <w:pPr>
        <w:pStyle w:val="Heading3"/>
      </w:pPr>
      <w:r>
        <w:t xml:space="preserve">Wireless Communication System</w:t>
      </w:r>
    </w:p>
    <w:p>
      <w:pPr>
        <w:pStyle w:val="FirstParagraph"/>
      </w:pPr>
      <w:r>
        <w:t xml:space="preserve">A wireless communication system transfers information from a transmitter to a receiver through an electromagnetic propagation channel. The main components include the transmitter, antenna, propagation medium, receiver antenna, and receiver front-end. Antenna characteristics directly affect link quality, coverage, and received signal strength.</w:t>
      </w:r>
    </w:p>
    <w:bookmarkEnd w:id="22"/>
    <w:bookmarkStart w:id="23" w:name="link-budget"/>
    <w:p>
      <w:pPr>
        <w:pStyle w:val="Heading3"/>
      </w:pPr>
      <w:r>
        <w:t xml:space="preserve">Link Budget</w:t>
      </w:r>
    </w:p>
    <w:p>
      <w:pPr>
        <w:pStyle w:val="FirstParagraph"/>
      </w:pPr>
      <w:r>
        <w:t xml:space="preserve">The link budget describes the power relationship between the transmitted signal and the received signal. It accounts for transmit power, antenna gains, path loss, system losses, and receiver sensitivity. Link budget analysis is commonly used to estimate whether reliable communication can be achieved over a target distance.</w:t>
      </w:r>
    </w:p>
    <w:bookmarkEnd w:id="23"/>
    <w:bookmarkStart w:id="24" w:name="free-space-path-loss"/>
    <w:p>
      <w:pPr>
        <w:pStyle w:val="Heading3"/>
      </w:pPr>
      <w:r>
        <w:t xml:space="preserve">Free-Space Path Loss</w:t>
      </w:r>
    </w:p>
    <w:p>
      <w:pPr>
        <w:pStyle w:val="FirstParagraph"/>
      </w:pPr>
      <w:r>
        <w:t xml:space="preserve">Free-space path loss represents the reduction of signal power as an electromagnetic wave propagates through space. It depends on the operating frequency and the distance between transmitter and receiver. Higher frequency or longer distance generally results in larger path loss.</w:t>
      </w:r>
    </w:p>
    <w:bookmarkEnd w:id="24"/>
    <w:bookmarkStart w:id="25" w:name="signal-to-noise-ratio"/>
    <w:p>
      <w:pPr>
        <w:pStyle w:val="Heading3"/>
      </w:pPr>
      <w:r>
        <w:t xml:space="preserve">Signal-to-Noise Ratio</w:t>
      </w:r>
    </w:p>
    <w:p>
      <w:pPr>
        <w:pStyle w:val="FirstParagraph"/>
      </w:pPr>
      <w:r>
        <w:t xml:space="preserve">Signal-to-noise ratio is an important metric for communication performance. It compares the received signal power with the noise power at the receiver. A higher signal-to-noise ratio generally improves detection reliability and enables higher data rates.</w:t>
      </w:r>
    </w:p>
    <w:bookmarkEnd w:id="25"/>
    <w:bookmarkStart w:id="26" w:name="antenna-gain-in-communication-links"/>
    <w:p>
      <w:pPr>
        <w:pStyle w:val="Heading3"/>
      </w:pPr>
      <w:r>
        <w:t xml:space="preserve">Antenna Gain in Communication Links</w:t>
      </w:r>
    </w:p>
    <w:p>
      <w:pPr>
        <w:pStyle w:val="FirstParagraph"/>
      </w:pPr>
      <w:r>
        <w:t xml:space="preserve">Antenna gain improves communication performance by concentrating radiated energy in a desired direction. In a transmitarray lens antenna, high gain can be achieved by increasing the effective aperture and controlling the transmitted phase distribution. This makes the antenna suitable for directional communication links.</w:t>
      </w:r>
    </w:p>
    <w:bookmarkEnd w:id="26"/>
    <w:bookmarkStart w:id="31" w:name="communication-channel-evaluation"/>
    <w:p>
      <w:pPr>
        <w:pStyle w:val="Heading3"/>
      </w:pPr>
      <w:r>
        <w:t xml:space="preserve">Communication Channel Evaluation</w:t>
      </w:r>
    </w:p>
    <w:p>
      <w:pPr>
        <w:pStyle w:val="FirstParagraph"/>
      </w:pPr>
      <w:r>
        <w:t xml:space="preserve">This thesis focuses on the evaluation of the communication channel rather than the development of a new propagation solver. The channel is evaluated to understand how the transmitted electromagnetic wave is received after interacting with the antenna radiation pattern and the surrounding environment. In directional antenna systems, the channel response is affected by antenna gain, beam direction, propagation distance, reflection, diffraction, scattering, and blockage. Therefore, communication channel evaluation is used to determine whether the metasurface transmitarray lens antenna can support the required link performance.</w:t>
      </w:r>
    </w:p>
    <w:bookmarkStart w:id="27" w:name="ray-tracing-based-channel-evaluation"/>
    <w:p>
      <w:pPr>
        <w:pStyle w:val="Heading4"/>
      </w:pPr>
      <w:r>
        <w:t xml:space="preserve">Ray Tracing-Based Channel Evaluation</w:t>
      </w:r>
    </w:p>
    <w:p>
      <w:pPr>
        <w:pStyle w:val="FirstParagraph"/>
      </w:pPr>
      <w:r>
        <w:t xml:space="preserve">Ray tracing can be used as a practical method to evaluate the communication channel in an electrically large environment. In this approach, electromagnetic propagation is represented by rays that travel from the transmitter to the receiver through line-of-sight and non-line-of-sight paths. For channel evaluation, ray tracing can provide received power, path loss, propagation delay, angle of arrival, angle of departure, and multipath components. These results are then used to assess coverage and link quality.</w:t>
      </w:r>
    </w:p>
    <w:bookmarkEnd w:id="27"/>
    <w:bookmarkStart w:id="28" w:name="fem-based-electromagnetic-evaluation"/>
    <w:p>
      <w:pPr>
        <w:pStyle w:val="Heading4"/>
      </w:pPr>
      <w:r>
        <w:t xml:space="preserve">FEM-Based Electromagnetic Evaluation</w:t>
      </w:r>
    </w:p>
    <w:p>
      <w:pPr>
        <w:pStyle w:val="FirstParagraph"/>
      </w:pPr>
      <w:r>
        <w:t xml:space="preserve">The finite element method can be used when a full-wave electromagnetic evaluation is required. In ANSYS HFSS, FEM solves Maxwell’s equations over a discretized simulation domain and can provide antenna-related quantities such as S-parameters, near-field distribution, far-field radiation pattern, gain, and phase response. In the context of this thesis, FEM is not treated as a separate communication channel model, but as a way to obtain accurate electromagnetic characteristics of the antenna that influence the channel evaluation.</w:t>
      </w:r>
    </w:p>
    <w:bookmarkEnd w:id="28"/>
    <w:bookmarkStart w:id="29" w:name="hybrid-evaluation-using-ansys-hfss"/>
    <w:p>
      <w:pPr>
        <w:pStyle w:val="Heading4"/>
      </w:pPr>
      <w:r>
        <w:t xml:space="preserve">Hybrid Evaluation Using ANSYS HFSS</w:t>
      </w:r>
    </w:p>
    <w:p>
      <w:pPr>
        <w:pStyle w:val="FirstParagraph"/>
      </w:pPr>
      <w:r>
        <w:t xml:space="preserve">A hybrid evaluation approach can combine full-wave antenna simulation and ray-based channel analysis. In this workflow, ANSYS HFSS is used to obtain the antenna radiation pattern, gain, polarization, and phase response of the metasurface transmitarray lens antenna. These antenna characteristics can then be included in a ray tracing or propagation analysis to evaluate the resulting communication channel. This approach is useful when the antenna must be represented accurately while the propagation environment is too large for a complete full-wave simulation.</w:t>
      </w:r>
    </w:p>
    <w:bookmarkEnd w:id="29"/>
    <w:bookmarkStart w:id="30" w:name="channel-parameters"/>
    <w:p>
      <w:pPr>
        <w:pStyle w:val="Heading4"/>
      </w:pPr>
      <w:r>
        <w:t xml:space="preserve">Channel Parameters</w:t>
      </w:r>
    </w:p>
    <w:p>
      <w:pPr>
        <w:pStyle w:val="FirstParagraph"/>
      </w:pPr>
      <w:r>
        <w:t xml:space="preserve">The communication channel can be evaluated using parameters such as path loss, received power, channel impulse response, delay spread, angular spread, signal-to-noise ratio, and coverage area. These parameters connect the antenna-level electromagnetic results with communication system performance. Therefore, the main purpose of this part is to evaluate channel behavior and link quality, not to propose a new ray tracing, FEM, or hybrid simulation method.</w:t>
      </w:r>
    </w:p>
    <w:bookmarkEnd w:id="30"/>
    <w:bookmarkEnd w:id="31"/>
    <w:bookmarkEnd w:id="32"/>
    <w:bookmarkEnd w:id="33"/>
    <w:bookmarkStart w:id="55" w:name="simulation-setup-and-design"/>
    <w:p>
      <w:pPr>
        <w:pStyle w:val="Heading1"/>
      </w:pPr>
      <w:r>
        <w:t xml:space="preserve">Simulation Setup and Design</w:t>
      </w:r>
    </w:p>
    <w:bookmarkStart w:id="38" w:name="overview"/>
    <w:p>
      <w:pPr>
        <w:pStyle w:val="Heading2"/>
      </w:pPr>
      <w:r>
        <w:t xml:space="preserve">Overview</w:t>
      </w:r>
    </w:p>
    <w:p>
      <w:pPr>
        <w:pStyle w:val="FirstParagraph"/>
      </w:pPr>
      <w:r>
        <w:t xml:space="preserve">This chapter describes the simulation setup and design procedure used in this thesis. The workflow starts from the definition of the design requirements, followed by the metasurface unit cell design, transmitarray lens configuration, antenna simulation setup, and communication channel evaluation. The simulation is intended to evaluate both the electromagnetic performance of the antenna and its influence on the communication channel.</w:t>
      </w:r>
    </w:p>
    <w:bookmarkStart w:id="37" w:name="fig:chapter3_simulation_example"/>
    <w:tbl>
      <w:tblPr>
        <w:tblStyle w:val="FigureTable"/>
        <w:tblW w:type="auto" w:w="0"/>
        <w:jc w:val="center"/>
        <w:tblLook w:firstRow="0" w:lastRow="0" w:firstColumn="0" w:lastColumn="0"/>
      </w:tblPr>
      <w:tblGrid>
        <w:gridCol w:w="7920"/>
      </w:tblGrid>
      <w:tr>
        <w:tc>
          <w:tcPr/>
          <w:p>
            <w:pPr>
              <w:pStyle w:val="Compact"/>
              <w:jc w:val="center"/>
            </w:pPr>
            <w:r>
              <w:drawing>
                <wp:inline>
                  <wp:extent cx="3467100" cy="2215091"/>
                  <wp:effectExtent b="0" l="0" r="0" t="0"/>
                  <wp:docPr descr="" title="" id="35" name="Picture"/>
                  <a:graphic>
                    <a:graphicData uri="http://schemas.openxmlformats.org/drawingml/2006/picture">
                      <pic:pic>
                        <pic:nvPicPr>
                          <pic:cNvPr descr="Images/gambar.png" id="36" name="Picture"/>
                          <pic:cNvPicPr>
                            <a:picLocks noChangeArrowheads="1" noChangeAspect="1"/>
                          </pic:cNvPicPr>
                        </pic:nvPicPr>
                        <pic:blipFill>
                          <a:blip r:embed="rId34"/>
                          <a:stretch>
                            <a:fillRect/>
                          </a:stretch>
                        </pic:blipFill>
                        <pic:spPr bwMode="auto">
                          <a:xfrm>
                            <a:off x="0" y="0"/>
                            <a:ext cx="3467100" cy="2215091"/>
                          </a:xfrm>
                          <a:prstGeom prst="rect">
                            <a:avLst/>
                          </a:prstGeom>
                          <a:noFill/>
                          <a:ln w="9525">
                            <a:noFill/>
                            <a:headEnd/>
                            <a:tailEnd/>
                          </a:ln>
                        </pic:spPr>
                      </pic:pic>
                    </a:graphicData>
                  </a:graphic>
                </wp:inline>
              </w:drawing>
            </w:r>
          </w:p>
        </w:tc>
      </w:tr>
    </w:tbl>
    <w:p>
      <w:pPr>
        <w:pStyle w:val="ImageCaption"/>
      </w:pPr>
      <w:r>
        <w:t xml:space="preserve">Example simulation-related figure for Chapter 3</w:t>
      </w:r>
    </w:p>
    <w:bookmarkEnd w:id="37"/>
    <w:bookmarkEnd w:id="38"/>
    <w:bookmarkStart w:id="39" w:name="design-requirements"/>
    <w:p>
      <w:pPr>
        <w:pStyle w:val="Heading2"/>
      </w:pPr>
      <w:r>
        <w:t xml:space="preserve">Design Requirements</w:t>
      </w:r>
    </w:p>
    <w:p>
      <w:pPr>
        <w:pStyle w:val="FirstParagraph"/>
      </w:pPr>
      <w:r>
        <w:t xml:space="preserve">The design requirements define the target performance and simulation scope. The main parameters include operating frequency, aperture size, feed position, focal distance, polarization, desired beam direction, gain target, and channel evaluation scenario. These requirements are used as the basis for the transmitarray lens design and the communication link evaluation.</w:t>
      </w:r>
    </w:p>
    <w:bookmarkEnd w:id="39"/>
    <w:bookmarkStart w:id="42" w:name="metasurface-unit-cell-design"/>
    <w:p>
      <w:pPr>
        <w:pStyle w:val="Heading2"/>
      </w:pPr>
      <w:r>
        <w:t xml:space="preserve">Metasurface Unit Cell Design</w:t>
      </w:r>
    </w:p>
    <w:p>
      <w:pPr>
        <w:pStyle w:val="FirstParagraph"/>
      </w:pPr>
      <w:r>
        <w:t xml:space="preserve">The metasurface unit cell is designed to provide the required transmission phase response while maintaining acceptable transmission magnitude. Each unit cell geometry is simulated to obtain its transmission coefficient, phase response, and operating bandwidth. The unit cell response is then used to determine the phase compensation required across the transmitarray aperture.</w:t>
      </w:r>
    </w:p>
    <w:bookmarkStart w:id="40" w:name="unit-cell-boundary-condition"/>
    <w:p>
      <w:pPr>
        <w:pStyle w:val="Heading3"/>
      </w:pPr>
      <w:r>
        <w:t xml:space="preserve">Unit Cell Boundary Condition</w:t>
      </w:r>
    </w:p>
    <w:p>
      <w:pPr>
        <w:pStyle w:val="FirstParagraph"/>
      </w:pPr>
      <w:r>
        <w:t xml:space="preserve">Periodic boundary conditions are used to represent an infinite metasurface array during unit cell simulation. The incident wave is applied to the unit cell, and the transmitted response is observed at the output port. This setup allows the phase and magnitude response of one unit cell to be evaluated efficiently.</w:t>
      </w:r>
    </w:p>
    <w:bookmarkEnd w:id="40"/>
    <w:bookmarkStart w:id="41" w:name="transmission-phase-response"/>
    <w:p>
      <w:pPr>
        <w:pStyle w:val="Heading3"/>
      </w:pPr>
      <w:r>
        <w:t xml:space="preserve">Transmission Phase Response</w:t>
      </w:r>
    </w:p>
    <w:p>
      <w:pPr>
        <w:pStyle w:val="FirstParagraph"/>
      </w:pPr>
      <w:r>
        <w:t xml:space="preserve">The transmission phase response is the main design parameter for the transmitarray lens. A suitable unit cell should provide a wide phase tuning range with low transmission loss. The selected unit cell dimensions are mapped to the required phase distribution of the aperture.</w:t>
      </w:r>
    </w:p>
    <w:bookmarkEnd w:id="41"/>
    <w:bookmarkEnd w:id="42"/>
    <w:bookmarkStart w:id="45" w:name="transmitarray-lens-design"/>
    <w:p>
      <w:pPr>
        <w:pStyle w:val="Heading2"/>
      </w:pPr>
      <w:r>
        <w:t xml:space="preserve">Transmitarray Lens Design</w:t>
      </w:r>
    </w:p>
    <w:p>
      <w:pPr>
        <w:pStyle w:val="FirstParagraph"/>
      </w:pPr>
      <w:r>
        <w:t xml:space="preserve">The transmitarray lens is formed by arranging unit cells over a planar aperture. Each unit cell is assigned a phase shift based on its position relative to the feed antenna. The purpose of the lens is to compensate for the feed path difference and produce a desired transmitted wavefront.</w:t>
      </w:r>
    </w:p>
    <w:bookmarkStart w:id="43" w:name="feed-antenna-configuration"/>
    <w:p>
      <w:pPr>
        <w:pStyle w:val="Heading3"/>
      </w:pPr>
      <w:r>
        <w:t xml:space="preserve">Feed Antenna Configuration</w:t>
      </w:r>
    </w:p>
    <w:p>
      <w:pPr>
        <w:pStyle w:val="FirstParagraph"/>
      </w:pPr>
      <w:r>
        <w:t xml:space="preserve">The feed antenna is placed at a selected focal distance from the transmitarray aperture. The feed position determines the incident phase distribution on the lens surface. Proper feed placement is important to achieve efficient aperture illumination and reduce spillover loss.</w:t>
      </w:r>
    </w:p>
    <w:bookmarkEnd w:id="43"/>
    <w:bookmarkStart w:id="44" w:name="phase-compensation-distribution"/>
    <w:p>
      <w:pPr>
        <w:pStyle w:val="Heading3"/>
      </w:pPr>
      <w:r>
        <w:t xml:space="preserve">Phase Compensation Distribution</w:t>
      </w:r>
    </w:p>
    <w:p>
      <w:pPr>
        <w:pStyle w:val="FirstParagraph"/>
      </w:pPr>
      <w:r>
        <w:t xml:space="preserve">The phase compensation distribution is calculated from the path length between the feed antenna and each unit cell position. The required phase is then converted into a corresponding unit cell geometry. This process determines the final layout of the metasurface transmitarray lens.</w:t>
      </w:r>
    </w:p>
    <w:bookmarkEnd w:id="44"/>
    <w:bookmarkEnd w:id="45"/>
    <w:bookmarkStart w:id="49" w:name="ansys-hfss-simulation-setup"/>
    <w:p>
      <w:pPr>
        <w:pStyle w:val="Heading2"/>
      </w:pPr>
      <w:r>
        <w:t xml:space="preserve">ANSYS HFSS Simulation Setup</w:t>
      </w:r>
    </w:p>
    <w:p>
      <w:pPr>
        <w:pStyle w:val="FirstParagraph"/>
      </w:pPr>
      <w:r>
        <w:t xml:space="preserve">ANSYS HFSS is used to evaluate the electromagnetic performance of the antenna design. The simulation setup includes material definition, geometry construction, excitation, boundary conditions, radiation region, meshing configuration, and frequency sweep. The antenna performance is evaluated using parameters such as S-parameters, gain, directivity, radiation pattern, and aperture behavior.</w:t>
      </w:r>
    </w:p>
    <w:bookmarkStart w:id="46" w:name="material-and-geometry-definition"/>
    <w:p>
      <w:pPr>
        <w:pStyle w:val="Heading3"/>
      </w:pPr>
      <w:r>
        <w:t xml:space="preserve">Material and Geometry Definition</w:t>
      </w:r>
    </w:p>
    <w:p>
      <w:pPr>
        <w:pStyle w:val="FirstParagraph"/>
      </w:pPr>
      <w:r>
        <w:t xml:space="preserve">The substrate, conductor, and surrounding air region are defined based on the selected antenna structure. The unit cell and transmitarray aperture geometry are constructed according to the final design dimensions.</w:t>
      </w:r>
    </w:p>
    <w:bookmarkEnd w:id="46"/>
    <w:bookmarkStart w:id="47" w:name="excitation-and-boundary-condition"/>
    <w:p>
      <w:pPr>
        <w:pStyle w:val="Heading3"/>
      </w:pPr>
      <w:r>
        <w:t xml:space="preserve">Excitation and Boundary Condition</w:t>
      </w:r>
    </w:p>
    <w:p>
      <w:pPr>
        <w:pStyle w:val="FirstParagraph"/>
      </w:pPr>
      <w:r>
        <w:t xml:space="preserve">The excitation is assigned according to the antenna feeding structure. Radiation or open boundary conditions are applied around the simulation domain to represent free-space propagation. For unit cell simulation, periodic boundaries are used, while for full antenna simulation, an open radiation region is applied.</w:t>
      </w:r>
    </w:p>
    <w:bookmarkEnd w:id="47"/>
    <w:bookmarkStart w:id="48" w:name="frequency-sweep-and-mesh-setup"/>
    <w:p>
      <w:pPr>
        <w:pStyle w:val="Heading3"/>
      </w:pPr>
      <w:r>
        <w:t xml:space="preserve">Frequency Sweep and Mesh Setup</w:t>
      </w:r>
    </w:p>
    <w:p>
      <w:pPr>
        <w:pStyle w:val="FirstParagraph"/>
      </w:pPr>
      <w:r>
        <w:t xml:space="preserve">The frequency sweep is configured around the operating frequency to observe antenna performance across the target bandwidth. Mesh refinement is applied to ensure that the electromagnetic field distribution and radiation characteristics are accurately captured.</w:t>
      </w:r>
    </w:p>
    <w:bookmarkEnd w:id="48"/>
    <w:bookmarkEnd w:id="49"/>
    <w:bookmarkStart w:id="53" w:name="communication-channel-evaluation-setup"/>
    <w:p>
      <w:pPr>
        <w:pStyle w:val="Heading2"/>
      </w:pPr>
      <w:r>
        <w:t xml:space="preserve">Communication Channel Evaluation Setup</w:t>
      </w:r>
    </w:p>
    <w:p>
      <w:pPr>
        <w:pStyle w:val="FirstParagraph"/>
      </w:pPr>
      <w:r>
        <w:t xml:space="preserve">The communication channel evaluation is used to observe how the antenna performance affects the communication link. The antenna radiation pattern, gain, and beam direction are used as input parameters for channel evaluation. The channel is assessed using link-related quantities such as received power, path loss, coverage, and signal-to-noise ratio.</w:t>
      </w:r>
    </w:p>
    <w:bookmarkStart w:id="50" w:name="evaluation-scenario"/>
    <w:p>
      <w:pPr>
        <w:pStyle w:val="Heading3"/>
      </w:pPr>
      <w:r>
        <w:t xml:space="preserve">Evaluation Scenario</w:t>
      </w:r>
    </w:p>
    <w:p>
      <w:pPr>
        <w:pStyle w:val="FirstParagraph"/>
      </w:pPr>
      <w:r>
        <w:t xml:space="preserve">The evaluation scenario defines the transmitter position, receiver position, propagation distance, antenna orientation, and surrounding environment. This scenario is used to compare the channel behavior under different antenna or propagation conditions.</w:t>
      </w:r>
    </w:p>
    <w:bookmarkEnd w:id="50"/>
    <w:bookmarkStart w:id="51" w:name="ray-tracing-or-hybrid-evaluation"/>
    <w:p>
      <w:pPr>
        <w:pStyle w:val="Heading3"/>
      </w:pPr>
      <w:r>
        <w:t xml:space="preserve">Ray Tracing or Hybrid Evaluation</w:t>
      </w:r>
    </w:p>
    <w:p>
      <w:pPr>
        <w:pStyle w:val="FirstParagraph"/>
      </w:pPr>
      <w:r>
        <w:t xml:space="preserve">Ray tracing or a hybrid HFSS-based evaluation can be used to estimate the communication channel. In the hybrid approach, HFSS provides accurate antenna characteristics, while the propagation evaluation estimates how the radiated wave reaches the receiver. This allows antenna-level results to be connected with communication channel performance.</w:t>
      </w:r>
    </w:p>
    <w:bookmarkEnd w:id="51"/>
    <w:bookmarkStart w:id="52" w:name="channel-performance-metrics"/>
    <w:p>
      <w:pPr>
        <w:pStyle w:val="Heading3"/>
      </w:pPr>
      <w:r>
        <w:t xml:space="preserve">Channel Performance Metrics</w:t>
      </w:r>
    </w:p>
    <w:p>
      <w:pPr>
        <w:pStyle w:val="FirstParagraph"/>
      </w:pPr>
      <w:r>
        <w:t xml:space="preserve">The main channel performance metrics include path loss, received power, signal-to-noise ratio, delay spread, angular spread, and coverage area. These metrics are used to evaluate whether the designed antenna improves the communication link in the selected scenario.</w:t>
      </w:r>
    </w:p>
    <w:bookmarkEnd w:id="52"/>
    <w:bookmarkEnd w:id="53"/>
    <w:bookmarkStart w:id="54" w:name="simulation-workflow"/>
    <w:p>
      <w:pPr>
        <w:pStyle w:val="Heading2"/>
      </w:pPr>
      <w:r>
        <w:t xml:space="preserve">Simulation Workflow</w:t>
      </w:r>
    </w:p>
    <w:p>
      <w:pPr>
        <w:pStyle w:val="FirstParagraph"/>
      </w:pPr>
      <w:r>
        <w:t xml:space="preserve">The complete simulation workflow is summarized as follows. First, the design requirements are defined. Second, the unit cell is simulated and optimized. Third, the transmitarray lens phase distribution is calculated and implemented. Fourth, the full antenna is simulated in HFSS. Finally, the antenna results are used to evaluate the communication channel performance.</w:t>
      </w:r>
    </w:p>
    <w:bookmarkEnd w:id="54"/>
    <w:bookmarkEnd w:id="55"/>
    <w:bookmarkStart w:id="76" w:name="simulation-results-and-discussion"/>
    <w:p>
      <w:pPr>
        <w:pStyle w:val="Heading1"/>
      </w:pPr>
      <w:r>
        <w:t xml:space="preserve">Simulation Results and Discussion</w:t>
      </w:r>
    </w:p>
    <w:bookmarkStart w:id="56" w:name="overview-1"/>
    <w:p>
      <w:pPr>
        <w:pStyle w:val="Heading2"/>
      </w:pPr>
      <w:r>
        <w:t xml:space="preserve">Overview</w:t>
      </w:r>
    </w:p>
    <w:p>
      <w:pPr>
        <w:pStyle w:val="FirstParagraph"/>
      </w:pPr>
      <w:r>
        <w:t xml:space="preserve">This chapter presents the simulation results obtained from the metasurface transmitarray lens antenna design and the communication channel evaluation. The results are organized into antenna-level electromagnetic performance and communication-level channel performance. The purpose of this chapter is to evaluate whether the designed antenna can support the required communication link.</w:t>
      </w:r>
    </w:p>
    <w:bookmarkEnd w:id="56"/>
    <w:bookmarkStart w:id="60" w:name="unit-cell-simulation-results"/>
    <w:p>
      <w:pPr>
        <w:pStyle w:val="Heading2"/>
      </w:pPr>
      <w:r>
        <w:t xml:space="preserve">Unit Cell Simulation Results</w:t>
      </w:r>
    </w:p>
    <w:p>
      <w:pPr>
        <w:pStyle w:val="FirstParagraph"/>
      </w:pPr>
      <w:r>
        <w:t xml:space="preserve">The unit cell simulation results are used to verify the transmission magnitude and phase response of the selected metasurface element. The unit cell should provide sufficient phase coverage while maintaining low transmission loss across the target operating frequency.</w:t>
      </w:r>
    </w:p>
    <w:bookmarkStart w:id="57" w:name="transmission-magnitude"/>
    <w:p>
      <w:pPr>
        <w:pStyle w:val="Heading3"/>
      </w:pPr>
      <w:r>
        <w:t xml:space="preserve">Transmission Magnitude</w:t>
      </w:r>
    </w:p>
    <w:p>
      <w:pPr>
        <w:pStyle w:val="FirstParagraph"/>
      </w:pPr>
      <w:r>
        <w:t xml:space="preserve">The transmission magnitude result shows how much electromagnetic power passes through the unit cell. A high transmission magnitude is desired because it indicates lower insertion loss and better aperture efficiency.</w:t>
      </w:r>
    </w:p>
    <w:bookmarkEnd w:id="57"/>
    <w:bookmarkStart w:id="59" w:name="transmission-phase"/>
    <w:p>
      <w:pPr>
        <w:pStyle w:val="Heading3"/>
      </w:pPr>
      <w:r>
        <w:t xml:space="preserve">Transmission Phase</w:t>
      </w:r>
    </w:p>
    <w:p>
      <w:pPr>
        <w:pStyle w:val="FirstParagraph"/>
      </w:pPr>
      <w:r>
        <w:t xml:space="preserve">The transmission phase result is used to map the required lens phase compensation to the corresponding unit cell geometry. The phase response should cover the required phase range with smooth variation between design states.</w:t>
      </w:r>
    </w:p>
    <w:bookmarkStart w:id="58" w:name="table:unit_cell_results"/>
    <w:p>
      <w:pPr>
        <w:pStyle w:val="TableCaption"/>
      </w:pPr>
      <w:r>
        <w:t xml:space="preserve">Summary of unit cell simulation results</w:t>
      </w:r>
    </w:p>
    <w:tbl>
      <w:tblPr>
        <w:tblStyle w:val="Table"/>
        <w:tblW w:type="auto" w:w="0"/>
        <w:tblLook w:firstRow="1" w:lastRow="0" w:firstColumn="0" w:lastColumn="0" w:noHBand="0" w:noVBand="0" w:val="0020"/>
        <w:tblCaption w:val="Summary of unit cell simulation results"/>
      </w:tblPr>
      <w:tblGrid>
        <w:gridCol w:w="2640"/>
        <w:gridCol w:w="2640"/>
        <w:gridCol w:w="2640"/>
      </w:tblGrid>
      <w:tr>
        <w:trPr>
          <w:tblHeader w:val="on"/>
        </w:trPr>
        <w:tc>
          <w:tcPr/>
          <w:p>
            <w:pPr>
              <w:pStyle w:val="Compact"/>
              <w:jc w:val="left"/>
            </w:pPr>
            <w:r>
              <w:rPr>
                <w:b/>
                <w:bCs/>
              </w:rPr>
              <w:t xml:space="preserve">Parameter</w:t>
            </w:r>
          </w:p>
        </w:tc>
        <w:tc>
          <w:tcPr/>
          <w:p>
            <w:pPr>
              <w:pStyle w:val="Compact"/>
              <w:jc w:val="center"/>
            </w:pPr>
            <w:r>
              <w:rPr>
                <w:b/>
                <w:bCs/>
              </w:rPr>
              <w:t xml:space="preserve">Target/Condition</w:t>
            </w:r>
          </w:p>
        </w:tc>
        <w:tc>
          <w:tcPr/>
          <w:p>
            <w:pPr>
              <w:pStyle w:val="Compact"/>
              <w:jc w:val="center"/>
            </w:pPr>
            <w:r>
              <w:rPr>
                <w:b/>
                <w:bCs/>
              </w:rPr>
              <w:t xml:space="preserve">Simulation Result</w:t>
            </w:r>
          </w:p>
        </w:tc>
      </w:tr>
      <w:tr>
        <w:tc>
          <w:tcPr/>
          <w:p>
            <w:pPr>
              <w:pStyle w:val="Compact"/>
              <w:jc w:val="left"/>
            </w:pPr>
            <w:r>
              <w:t xml:space="preserve">Operating frequency</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Transmission magnitude</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Transmission phase range</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Unit cell size</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Bandwidth</w:t>
            </w:r>
          </w:p>
        </w:tc>
        <w:tc>
          <w:tcPr/>
          <w:p>
            <w:pPr>
              <w:pStyle w:val="Compact"/>
              <w:jc w:val="center"/>
            </w:pPr>
            <w:r>
              <w:t xml:space="preserve">TBD</w:t>
            </w:r>
          </w:p>
        </w:tc>
        <w:tc>
          <w:tcPr/>
          <w:p>
            <w:pPr>
              <w:pStyle w:val="Compact"/>
              <w:jc w:val="center"/>
            </w:pPr>
            <w:r>
              <w:t xml:space="preserve">TBD</w:t>
            </w:r>
          </w:p>
        </w:tc>
      </w:tr>
    </w:tbl>
    <w:bookmarkEnd w:id="58"/>
    <w:bookmarkEnd w:id="59"/>
    <w:bookmarkEnd w:id="60"/>
    <w:bookmarkStart w:id="66" w:name="transmitarray-lens-simulation-results"/>
    <w:p>
      <w:pPr>
        <w:pStyle w:val="Heading2"/>
      </w:pPr>
      <w:r>
        <w:t xml:space="preserve">Transmitarray Lens Simulation Results</w:t>
      </w:r>
    </w:p>
    <w:p>
      <w:pPr>
        <w:pStyle w:val="FirstParagraph"/>
      </w:pPr>
      <w:r>
        <w:t xml:space="preserve">The full transmitarray lens simulation evaluates the antenna radiation performance after the unit cells are arranged over the aperture. This analysis shows whether the lens can transform the feed radiation into the desired directional beam.</w:t>
      </w:r>
    </w:p>
    <w:bookmarkStart w:id="61" w:name="reflection-coefficient"/>
    <w:p>
      <w:pPr>
        <w:pStyle w:val="Heading3"/>
      </w:pPr>
      <w:r>
        <w:t xml:space="preserve">Reflection Coefficient</w:t>
      </w:r>
    </w:p>
    <w:p>
      <w:pPr>
        <w:pStyle w:val="FirstParagraph"/>
      </w:pPr>
      <w:r>
        <w:t xml:space="preserve">The reflection coefficient is evaluated to observe impedance matching near the operating frequency. A lower reflection coefficient indicates that more input power is accepted by the antenna system.</w:t>
      </w:r>
    </w:p>
    <w:bookmarkEnd w:id="61"/>
    <w:bookmarkStart w:id="62" w:name="radiation-pattern"/>
    <w:p>
      <w:pPr>
        <w:pStyle w:val="Heading3"/>
      </w:pPr>
      <w:r>
        <w:t xml:space="preserve">Radiation Pattern</w:t>
      </w:r>
    </w:p>
    <w:p>
      <w:pPr>
        <w:pStyle w:val="FirstParagraph"/>
      </w:pPr>
      <w:r>
        <w:t xml:space="preserve">The radiation pattern shows the angular distribution of radiated power. The main beam direction, beamwidth, and side-lobe level are observed to evaluate the focusing and beam-forming performance of the transmitarray lens.</w:t>
      </w:r>
    </w:p>
    <w:bookmarkEnd w:id="62"/>
    <w:bookmarkStart w:id="63" w:name="gain-and-directivity"/>
    <w:p>
      <w:pPr>
        <w:pStyle w:val="Heading3"/>
      </w:pPr>
      <w:r>
        <w:t xml:space="preserve">Gain and Directivity</w:t>
      </w:r>
    </w:p>
    <w:p>
      <w:pPr>
        <w:pStyle w:val="FirstParagraph"/>
      </w:pPr>
      <w:r>
        <w:t xml:space="preserve">Gain and directivity are used to evaluate the ability of the transmitarray lens antenna to concentrate electromagnetic energy in the desired direction. A higher gain indicates better suitability for directional communication links.</w:t>
      </w:r>
    </w:p>
    <w:bookmarkEnd w:id="63"/>
    <w:bookmarkStart w:id="65" w:name="aperture-efficiency"/>
    <w:p>
      <w:pPr>
        <w:pStyle w:val="Heading3"/>
      </w:pPr>
      <w:r>
        <w:t xml:space="preserve">Aperture Efficiency</w:t>
      </w:r>
    </w:p>
    <w:p>
      <w:pPr>
        <w:pStyle w:val="FirstParagraph"/>
      </w:pPr>
      <w:r>
        <w:t xml:space="preserve">Aperture efficiency describes how effectively the physical aperture is converted into radiated gain. This parameter is influenced by transmission loss, phase error, feed illumination, spillover, and aperture taper.</w:t>
      </w:r>
    </w:p>
    <w:bookmarkStart w:id="64" w:name="table:antenna_results"/>
    <w:p>
      <w:pPr>
        <w:pStyle w:val="TableCaption"/>
      </w:pPr>
      <w:r>
        <w:t xml:space="preserve">Summary of transmitarray antenna simulation results</w:t>
      </w:r>
    </w:p>
    <w:tbl>
      <w:tblPr>
        <w:tblStyle w:val="Table"/>
        <w:tblW w:type="auto" w:w="0"/>
        <w:tblLook w:firstRow="1" w:lastRow="0" w:firstColumn="0" w:lastColumn="0" w:noHBand="0" w:noVBand="0" w:val="0020"/>
        <w:tblCaption w:val="Summary of transmitarray antenna simulation results"/>
      </w:tblPr>
      <w:tblGrid>
        <w:gridCol w:w="3960"/>
        <w:gridCol w:w="3960"/>
      </w:tblGrid>
      <w:tr>
        <w:trPr>
          <w:tblHeader w:val="on"/>
        </w:trPr>
        <w:tc>
          <w:tcPr/>
          <w:p>
            <w:pPr>
              <w:pStyle w:val="Compact"/>
              <w:jc w:val="left"/>
            </w:pPr>
            <w:r>
              <w:rPr>
                <w:b/>
                <w:bCs/>
              </w:rPr>
              <w:t xml:space="preserve">Parameter</w:t>
            </w:r>
          </w:p>
        </w:tc>
        <w:tc>
          <w:tcPr/>
          <w:p>
            <w:pPr>
              <w:pStyle w:val="Compact"/>
              <w:jc w:val="center"/>
            </w:pPr>
            <w:r>
              <w:rPr>
                <w:b/>
                <w:bCs/>
              </w:rPr>
              <w:t xml:space="preserve">Simulation Result</w:t>
            </w:r>
          </w:p>
        </w:tc>
      </w:tr>
      <w:tr>
        <w:tc>
          <w:tcPr/>
          <w:p>
            <w:pPr>
              <w:pStyle w:val="Compact"/>
              <w:jc w:val="left"/>
            </w:pPr>
            <w:r>
              <w:t xml:space="preserve">Reflection coefficient</w:t>
            </w:r>
          </w:p>
        </w:tc>
        <w:tc>
          <w:tcPr/>
          <w:p>
            <w:pPr>
              <w:pStyle w:val="Compact"/>
              <w:jc w:val="center"/>
            </w:pPr>
            <w:r>
              <w:t xml:space="preserve">TBD</w:t>
            </w:r>
          </w:p>
        </w:tc>
      </w:tr>
      <w:tr>
        <w:tc>
          <w:tcPr/>
          <w:p>
            <w:pPr>
              <w:pStyle w:val="Compact"/>
              <w:jc w:val="left"/>
            </w:pPr>
            <w:r>
              <w:t xml:space="preserve">Peak gain</w:t>
            </w:r>
          </w:p>
        </w:tc>
        <w:tc>
          <w:tcPr/>
          <w:p>
            <w:pPr>
              <w:pStyle w:val="Compact"/>
              <w:jc w:val="center"/>
            </w:pPr>
            <w:r>
              <w:t xml:space="preserve">TBD</w:t>
            </w:r>
          </w:p>
        </w:tc>
      </w:tr>
      <w:tr>
        <w:tc>
          <w:tcPr/>
          <w:p>
            <w:pPr>
              <w:pStyle w:val="Compact"/>
              <w:jc w:val="left"/>
            </w:pPr>
            <w:r>
              <w:t xml:space="preserve">Directivity</w:t>
            </w:r>
          </w:p>
        </w:tc>
        <w:tc>
          <w:tcPr/>
          <w:p>
            <w:pPr>
              <w:pStyle w:val="Compact"/>
              <w:jc w:val="center"/>
            </w:pPr>
            <w:r>
              <w:t xml:space="preserve">TBD</w:t>
            </w:r>
          </w:p>
        </w:tc>
      </w:tr>
      <w:tr>
        <w:tc>
          <w:tcPr/>
          <w:p>
            <w:pPr>
              <w:pStyle w:val="Compact"/>
              <w:jc w:val="left"/>
            </w:pPr>
            <w:r>
              <w:t xml:space="preserve">Main beam direction</w:t>
            </w:r>
          </w:p>
        </w:tc>
        <w:tc>
          <w:tcPr/>
          <w:p>
            <w:pPr>
              <w:pStyle w:val="Compact"/>
              <w:jc w:val="center"/>
            </w:pPr>
            <w:r>
              <w:t xml:space="preserve">TBD</w:t>
            </w:r>
          </w:p>
        </w:tc>
      </w:tr>
      <w:tr>
        <w:tc>
          <w:tcPr/>
          <w:p>
            <w:pPr>
              <w:pStyle w:val="Compact"/>
              <w:jc w:val="left"/>
            </w:pPr>
            <w:r>
              <w:t xml:space="preserve">Half-power beamwidth</w:t>
            </w:r>
          </w:p>
        </w:tc>
        <w:tc>
          <w:tcPr/>
          <w:p>
            <w:pPr>
              <w:pStyle w:val="Compact"/>
              <w:jc w:val="center"/>
            </w:pPr>
            <w:r>
              <w:t xml:space="preserve">TBD</w:t>
            </w:r>
          </w:p>
        </w:tc>
      </w:tr>
      <w:tr>
        <w:tc>
          <w:tcPr/>
          <w:p>
            <w:pPr>
              <w:pStyle w:val="Compact"/>
              <w:jc w:val="left"/>
            </w:pPr>
            <w:r>
              <w:t xml:space="preserve">Side-lobe level</w:t>
            </w:r>
          </w:p>
        </w:tc>
        <w:tc>
          <w:tcPr/>
          <w:p>
            <w:pPr>
              <w:pStyle w:val="Compact"/>
              <w:jc w:val="center"/>
            </w:pPr>
            <w:r>
              <w:t xml:space="preserve">TBD</w:t>
            </w:r>
          </w:p>
        </w:tc>
      </w:tr>
      <w:tr>
        <w:tc>
          <w:tcPr/>
          <w:p>
            <w:pPr>
              <w:pStyle w:val="Compact"/>
              <w:jc w:val="left"/>
            </w:pPr>
            <w:r>
              <w:t xml:space="preserve">Aperture efficiency</w:t>
            </w:r>
          </w:p>
        </w:tc>
        <w:tc>
          <w:tcPr/>
          <w:p>
            <w:pPr>
              <w:pStyle w:val="Compact"/>
              <w:jc w:val="center"/>
            </w:pPr>
            <w:r>
              <w:t xml:space="preserve">TBD</w:t>
            </w:r>
          </w:p>
        </w:tc>
      </w:tr>
    </w:tbl>
    <w:bookmarkEnd w:id="64"/>
    <w:bookmarkEnd w:id="65"/>
    <w:bookmarkEnd w:id="66"/>
    <w:bookmarkStart w:id="73" w:name="communication-channel-evaluation-results"/>
    <w:p>
      <w:pPr>
        <w:pStyle w:val="Heading2"/>
      </w:pPr>
      <w:r>
        <w:t xml:space="preserve">Communication Channel Evaluation Results</w:t>
      </w:r>
    </w:p>
    <w:p>
      <w:pPr>
        <w:pStyle w:val="FirstParagraph"/>
      </w:pPr>
      <w:r>
        <w:t xml:space="preserve">The communication channel evaluation connects the antenna simulation results with link-level performance. The antenna radiation pattern and gain are used to evaluate how the designed antenna affects received power, path loss, coverage, and link quality.</w:t>
      </w:r>
    </w:p>
    <w:bookmarkStart w:id="67" w:name="evaluation-scenario-1"/>
    <w:p>
      <w:pPr>
        <w:pStyle w:val="Heading3"/>
      </w:pPr>
      <w:r>
        <w:t xml:space="preserve">Evaluation Scenario</w:t>
      </w:r>
    </w:p>
    <w:p>
      <w:pPr>
        <w:pStyle w:val="FirstParagraph"/>
      </w:pPr>
      <w:r>
        <w:t xml:space="preserve">The evaluation scenario includes the transmitter location, receiver location, antenna orientation, propagation distance, and environmental assumptions. These conditions are used to interpret the channel results consistently.</w:t>
      </w:r>
    </w:p>
    <w:bookmarkEnd w:id="67"/>
    <w:bookmarkStart w:id="68" w:name="received-power"/>
    <w:p>
      <w:pPr>
        <w:pStyle w:val="Heading3"/>
      </w:pPr>
      <w:r>
        <w:t xml:space="preserve">Received Power</w:t>
      </w:r>
    </w:p>
    <w:p>
      <w:pPr>
        <w:pStyle w:val="FirstParagraph"/>
      </w:pPr>
      <w:r>
        <w:t xml:space="preserve">Received power is used to evaluate how much signal power is available at the receiver. The result is affected by transmit power, antenna gain, propagation loss, antenna alignment, and multipath propagation.</w:t>
      </w:r>
    </w:p>
    <w:bookmarkEnd w:id="68"/>
    <w:bookmarkStart w:id="69" w:name="path-loss"/>
    <w:p>
      <w:pPr>
        <w:pStyle w:val="Heading3"/>
      </w:pPr>
      <w:r>
        <w:t xml:space="preserve">Path Loss</w:t>
      </w:r>
    </w:p>
    <w:p>
      <w:pPr>
        <w:pStyle w:val="FirstParagraph"/>
      </w:pPr>
      <w:r>
        <w:t xml:space="preserve">Path loss describes the reduction of signal power between transmitter and receiver. The evaluated path loss is compared across the selected propagation condition to determine whether the antenna provides sufficient link margin.</w:t>
      </w:r>
    </w:p>
    <w:bookmarkEnd w:id="69"/>
    <w:bookmarkStart w:id="70" w:name="signal-to-noise-ratio-1"/>
    <w:p>
      <w:pPr>
        <w:pStyle w:val="Heading3"/>
      </w:pPr>
      <w:r>
        <w:t xml:space="preserve">Signal-to-Noise Ratio</w:t>
      </w:r>
    </w:p>
    <w:p>
      <w:pPr>
        <w:pStyle w:val="FirstParagraph"/>
      </w:pPr>
      <w:r>
        <w:t xml:space="preserve">Signal-to-noise ratio is used to estimate the reliability of the communication link. A higher signal-to-noise ratio indicates better received signal quality and improved communication performance.</w:t>
      </w:r>
    </w:p>
    <w:bookmarkEnd w:id="70"/>
    <w:bookmarkStart w:id="72" w:name="coverage-evaluation"/>
    <w:p>
      <w:pPr>
        <w:pStyle w:val="Heading3"/>
      </w:pPr>
      <w:r>
        <w:t xml:space="preserve">Coverage Evaluation</w:t>
      </w:r>
    </w:p>
    <w:p>
      <w:pPr>
        <w:pStyle w:val="FirstParagraph"/>
      </w:pPr>
      <w:r>
        <w:t xml:space="preserve">Coverage evaluation is used to observe the spatial region where the communication link can satisfy the required performance. The coverage result can be used to compare antenna configurations, beam directions, or propagation scenarios.</w:t>
      </w:r>
    </w:p>
    <w:bookmarkStart w:id="71" w:name="table:channel_results"/>
    <w:p>
      <w:pPr>
        <w:pStyle w:val="TableCaption"/>
      </w:pPr>
      <w:r>
        <w:t xml:space="preserve">Summary of communication channel evaluation results</w:t>
      </w:r>
    </w:p>
    <w:tbl>
      <w:tblPr>
        <w:tblStyle w:val="Table"/>
        <w:tblW w:type="auto" w:w="0"/>
        <w:tblLook w:firstRow="1" w:lastRow="0" w:firstColumn="0" w:lastColumn="0" w:noHBand="0" w:noVBand="0" w:val="0020"/>
        <w:tblCaption w:val="Summary of communication channel evaluation results"/>
      </w:tblPr>
      <w:tblGrid>
        <w:gridCol w:w="3960"/>
        <w:gridCol w:w="3960"/>
      </w:tblGrid>
      <w:tr>
        <w:trPr>
          <w:tblHeader w:val="on"/>
        </w:trPr>
        <w:tc>
          <w:tcPr/>
          <w:p>
            <w:pPr>
              <w:pStyle w:val="Compact"/>
              <w:jc w:val="left"/>
            </w:pPr>
            <w:r>
              <w:rPr>
                <w:b/>
                <w:bCs/>
              </w:rPr>
              <w:t xml:space="preserve">Parameter</w:t>
            </w:r>
          </w:p>
        </w:tc>
        <w:tc>
          <w:tcPr/>
          <w:p>
            <w:pPr>
              <w:pStyle w:val="Compact"/>
              <w:jc w:val="center"/>
            </w:pPr>
            <w:r>
              <w:rPr>
                <w:b/>
                <w:bCs/>
              </w:rPr>
              <w:t xml:space="preserve">Evaluation Result</w:t>
            </w:r>
          </w:p>
        </w:tc>
      </w:tr>
      <w:tr>
        <w:tc>
          <w:tcPr/>
          <w:p>
            <w:pPr>
              <w:pStyle w:val="Compact"/>
              <w:jc w:val="left"/>
            </w:pPr>
            <w:r>
              <w:t xml:space="preserve">Propagation distance</w:t>
            </w:r>
          </w:p>
        </w:tc>
        <w:tc>
          <w:tcPr/>
          <w:p>
            <w:pPr>
              <w:pStyle w:val="Compact"/>
              <w:jc w:val="center"/>
            </w:pPr>
            <w:r>
              <w:t xml:space="preserve">TBD</w:t>
            </w:r>
          </w:p>
        </w:tc>
      </w:tr>
      <w:tr>
        <w:tc>
          <w:tcPr/>
          <w:p>
            <w:pPr>
              <w:pStyle w:val="Compact"/>
              <w:jc w:val="left"/>
            </w:pPr>
            <w:r>
              <w:t xml:space="preserve">Received power</w:t>
            </w:r>
          </w:p>
        </w:tc>
        <w:tc>
          <w:tcPr/>
          <w:p>
            <w:pPr>
              <w:pStyle w:val="Compact"/>
              <w:jc w:val="center"/>
            </w:pPr>
            <w:r>
              <w:t xml:space="preserve">TBD</w:t>
            </w:r>
          </w:p>
        </w:tc>
      </w:tr>
      <w:tr>
        <w:tc>
          <w:tcPr/>
          <w:p>
            <w:pPr>
              <w:pStyle w:val="Compact"/>
              <w:jc w:val="left"/>
            </w:pPr>
            <w:r>
              <w:t xml:space="preserve">Path loss</w:t>
            </w:r>
          </w:p>
        </w:tc>
        <w:tc>
          <w:tcPr/>
          <w:p>
            <w:pPr>
              <w:pStyle w:val="Compact"/>
              <w:jc w:val="center"/>
            </w:pPr>
            <w:r>
              <w:t xml:space="preserve">TBD</w:t>
            </w:r>
          </w:p>
        </w:tc>
      </w:tr>
      <w:tr>
        <w:tc>
          <w:tcPr/>
          <w:p>
            <w:pPr>
              <w:pStyle w:val="Compact"/>
              <w:jc w:val="left"/>
            </w:pPr>
            <w:r>
              <w:t xml:space="preserve">Signal-to-noise ratio</w:t>
            </w:r>
          </w:p>
        </w:tc>
        <w:tc>
          <w:tcPr/>
          <w:p>
            <w:pPr>
              <w:pStyle w:val="Compact"/>
              <w:jc w:val="center"/>
            </w:pPr>
            <w:r>
              <w:t xml:space="preserve">TBD</w:t>
            </w:r>
          </w:p>
        </w:tc>
      </w:tr>
      <w:tr>
        <w:tc>
          <w:tcPr/>
          <w:p>
            <w:pPr>
              <w:pStyle w:val="Compact"/>
              <w:jc w:val="left"/>
            </w:pPr>
            <w:r>
              <w:t xml:space="preserve">Delay spread</w:t>
            </w:r>
          </w:p>
        </w:tc>
        <w:tc>
          <w:tcPr/>
          <w:p>
            <w:pPr>
              <w:pStyle w:val="Compact"/>
              <w:jc w:val="center"/>
            </w:pPr>
            <w:r>
              <w:t xml:space="preserve">TBD</w:t>
            </w:r>
          </w:p>
        </w:tc>
      </w:tr>
      <w:tr>
        <w:tc>
          <w:tcPr/>
          <w:p>
            <w:pPr>
              <w:pStyle w:val="Compact"/>
              <w:jc w:val="left"/>
            </w:pPr>
            <w:r>
              <w:t xml:space="preserve">Coverage area</w:t>
            </w:r>
          </w:p>
        </w:tc>
        <w:tc>
          <w:tcPr/>
          <w:p>
            <w:pPr>
              <w:pStyle w:val="Compact"/>
              <w:jc w:val="center"/>
            </w:pPr>
            <w:r>
              <w:t xml:space="preserve">TBD</w:t>
            </w:r>
          </w:p>
        </w:tc>
      </w:tr>
    </w:tbl>
    <w:bookmarkEnd w:id="71"/>
    <w:bookmarkEnd w:id="72"/>
    <w:bookmarkEnd w:id="73"/>
    <w:bookmarkStart w:id="74" w:name="comparison-and-discussion"/>
    <w:p>
      <w:pPr>
        <w:pStyle w:val="Heading2"/>
      </w:pPr>
      <w:r>
        <w:t xml:space="preserve">Comparison and Discussion</w:t>
      </w:r>
    </w:p>
    <w:p>
      <w:pPr>
        <w:pStyle w:val="FirstParagraph"/>
      </w:pPr>
      <w:r>
        <w:t xml:space="preserve">The simulation results are discussed by comparing antenna performance and channel performance. The relationship between antenna gain, radiation direction, path loss, and received power is analyzed to understand the impact of the metasurface transmitarray lens antenna on the communication channel.</w:t>
      </w:r>
    </w:p>
    <w:bookmarkEnd w:id="74"/>
    <w:bookmarkStart w:id="75" w:name="summary"/>
    <w:p>
      <w:pPr>
        <w:pStyle w:val="Heading2"/>
      </w:pPr>
      <w:r>
        <w:t xml:space="preserve">Summary</w:t>
      </w:r>
    </w:p>
    <w:p>
      <w:pPr>
        <w:pStyle w:val="FirstParagraph"/>
      </w:pPr>
      <w:r>
        <w:t xml:space="preserve">This chapter summarizes the main simulation findings. The unit cell results verify the phase and transmission behavior of the metasurface element. The antenna results evaluate radiation performance, while the communication channel results show the link-level effect of the designed antenna.</w:t>
      </w:r>
    </w:p>
    <w:bookmarkEnd w:id="75"/>
    <w:bookmarkEnd w:id="76"/>
    <w:bookmarkStart w:id="82" w:name="conclusion"/>
    <w:p>
      <w:pPr>
        <w:pStyle w:val="Heading1"/>
      </w:pPr>
      <w:r>
        <w:t xml:space="preserve">Conclusion</w:t>
      </w:r>
    </w:p>
    <w:bookmarkStart w:id="77" w:name="summary-1"/>
    <w:p>
      <w:pPr>
        <w:pStyle w:val="Heading2"/>
      </w:pPr>
      <w:r>
        <w:t xml:space="preserve">Summary</w:t>
      </w:r>
    </w:p>
    <w:p>
      <w:pPr>
        <w:pStyle w:val="FirstParagraph"/>
      </w:pPr>
      <w:r>
        <w:t xml:space="preserve">This thesis investigates the use of a metasurface transmitarray lens antenna for communication channel evaluation. The theoretical background covers the metasurface transmitarray concept, antenna performance parameters, and communication channel evaluation. The simulation setup describes the unit cell design, transmitarray lens configuration, ANSYS HFSS simulation, and channel evaluation workflow.</w:t>
      </w:r>
    </w:p>
    <w:bookmarkEnd w:id="77"/>
    <w:bookmarkStart w:id="78" w:name="conclusion-1"/>
    <w:p>
      <w:pPr>
        <w:pStyle w:val="Heading2"/>
      </w:pPr>
      <w:r>
        <w:t xml:space="preserve">Conclusion</w:t>
      </w:r>
    </w:p>
    <w:p>
      <w:pPr>
        <w:pStyle w:val="FirstParagraph"/>
      </w:pPr>
      <w:r>
        <w:t xml:space="preserve">The simulation and evaluation framework provides a way to connect antenna-level electromagnetic performance with communication-level channel behavior. The metasurface transmitarray lens antenna is evaluated through parameters such as transmission response, radiation pattern, gain, directivity, received power, path loss, and signal-to-noise ratio. These results are used to determine how the antenna design affects the communication link performance.</w:t>
      </w:r>
    </w:p>
    <w:bookmarkEnd w:id="78"/>
    <w:bookmarkStart w:id="79" w:name="main-contributions"/>
    <w:p>
      <w:pPr>
        <w:pStyle w:val="Heading2"/>
      </w:pPr>
      <w:r>
        <w:t xml:space="preserve">Main Contributions</w:t>
      </w:r>
    </w:p>
    <w:p>
      <w:pPr>
        <w:pStyle w:val="FirstParagraph"/>
      </w:pPr>
      <w:r>
        <w:t xml:space="preserve">The main contributions of this thesis can be summarized as follows:</w:t>
      </w:r>
    </w:p>
    <w:p>
      <w:pPr>
        <w:numPr>
          <w:ilvl w:val="0"/>
          <w:numId w:val="1001"/>
        </w:numPr>
      </w:pPr>
      <w:r>
        <w:t xml:space="preserve">The theoretical basis of metasurface transmitarray lens antennas and communication channel evaluation is reviewed.</w:t>
      </w:r>
    </w:p>
    <w:p>
      <w:pPr>
        <w:numPr>
          <w:ilvl w:val="0"/>
          <w:numId w:val="1001"/>
        </w:numPr>
      </w:pPr>
      <w:r>
        <w:t xml:space="preserve">A simulation workflow for the metasurface transmitarray lens antenna is defined using ANSYS HFSS.</w:t>
      </w:r>
    </w:p>
    <w:p>
      <w:pPr>
        <w:numPr>
          <w:ilvl w:val="0"/>
          <w:numId w:val="1001"/>
        </w:numPr>
      </w:pPr>
      <w:r>
        <w:t xml:space="preserve">The antenna simulation results are connected with channel-level performance metrics.</w:t>
      </w:r>
    </w:p>
    <w:p>
      <w:pPr>
        <w:numPr>
          <w:ilvl w:val="0"/>
          <w:numId w:val="1001"/>
        </w:numPr>
      </w:pPr>
      <w:r>
        <w:t xml:space="preserve">The communication channel is evaluated based on link-related parameters such as received power, path loss, signal-to-noise ratio, and coverage.</w:t>
      </w:r>
    </w:p>
    <w:bookmarkEnd w:id="79"/>
    <w:bookmarkStart w:id="80" w:name="limitations"/>
    <w:p>
      <w:pPr>
        <w:pStyle w:val="Heading2"/>
      </w:pPr>
      <w:r>
        <w:t xml:space="preserve">Limitations</w:t>
      </w:r>
    </w:p>
    <w:p>
      <w:pPr>
        <w:pStyle w:val="FirstParagraph"/>
      </w:pPr>
      <w:r>
        <w:t xml:space="preserve">The evaluation is limited by the assumptions used in the antenna simulation and communication channel scenario. Material properties, fabrication tolerance, antenna alignment, environmental simplification, and propagation assumptions may affect the final results. Therefore, further validation is required when measurement data or a more detailed propagation environment becomes available.</w:t>
      </w:r>
    </w:p>
    <w:bookmarkEnd w:id="80"/>
    <w:bookmarkStart w:id="81" w:name="future-work"/>
    <w:p>
      <w:pPr>
        <w:pStyle w:val="Heading2"/>
      </w:pPr>
      <w:r>
        <w:t xml:space="preserve">Future Work</w:t>
      </w:r>
    </w:p>
    <w:p>
      <w:pPr>
        <w:pStyle w:val="FirstParagraph"/>
      </w:pPr>
      <w:r>
        <w:t xml:space="preserve">Future work may include measurement validation of the fabricated transmitarray lens antenna, more detailed channel evaluation in realistic environments, comparison between ray tracing and hybrid electromagnetic approaches, and optimization of the antenna design for improved link performance.</w:t>
      </w:r>
    </w:p>
    <w:p>
      <w:pPr>
        <w:pStyle w:val="BodyText"/>
      </w:pPr>
      <w:r>
        <w:t xml:space="preserve">References</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2026-07-02T07:22:48Z</dcterms:created>
  <dcterms:modified xsi:type="dcterms:W3CDTF">2026-07-02T07:22:48Z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D:\Master_NSYSU\CodeRepository_ThisPeriod\zhar_thesis_nsysu\thesis_nsysu\references.bib</vt:lpwstr>
  </property>
  <property fmtid="{D5CDD505-2E9C-101B-9397-08002B2CF9AE}" pid="3" name="link-citations">
    <vt:lpwstr>True</vt:lpwstr>
  </property>
</Properties>
</file>