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Reunión de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/02/2022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B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documentos: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Manual de configuración  base de datos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Prototipado del sistema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y corrigieron los prototipos de los módulos: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autenticación de usuarios.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gestión de perfiles.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Administración de menú.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revisó el avance de backend, revisando los módulos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autenticación de usuarios.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gestión de perfiles.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Administración de menú.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asignaron nuevos documentos a realizar que fueron: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Historias de usuario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 de configuración 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Histroias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9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DIpIlNWdqW8MWJtzyoBPa5gCzg==">AMUW2mWBn7J7F1PZcNbchxs6wQC2EaEEjJeR2btYwxa7WX+e13YbfiJHYMYJF8HRO3iKPj7gSyJAx/Oqa4+RTc8f97CyN1yq9z6OwE+0f/h95XWwTzWkKwM=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