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Reunión de revisión y asignación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/02/2022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B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documentos: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Prototipado del sistema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Historias de usuario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prototipos de los módulos: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Administración de mesas.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órdenes.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ofertas de empleo.</w:t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revisó el avance de backend, revisando los módulos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Módulo autenticación de usuarios.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Módulo gestión de perfiles.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Módulo Administración de menú.</w:t>
      </w:r>
    </w:p>
    <w:p w:rsidR="00000000" w:rsidDel="00000000" w:rsidP="00000000" w:rsidRDefault="00000000" w:rsidRPr="00000000" w14:paraId="00000029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asignaron nuevos documentos a realizar que fueron: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Términos de referencia.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Documento plan de pruebas</w:t>
      </w:r>
    </w:p>
    <w:p w:rsidR="00000000" w:rsidDel="00000000" w:rsidP="00000000" w:rsidRDefault="00000000" w:rsidRPr="00000000" w14:paraId="0000002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40"/>
        <w:gridCol w:w="1440"/>
        <w:gridCol w:w="1755"/>
        <w:tblGridChange w:id="0">
          <w:tblGrid>
            <w:gridCol w:w="2198"/>
            <w:gridCol w:w="3540"/>
            <w:gridCol w:w="1440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plan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Términos de referencia.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Historias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1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1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1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MjqC95L/GdMNpmW7N5OJXtcRrA==">AMUW2mXVArD0DfikI+4f88/bZscxXfoUZlvceKA8heOikle2aIzskEOagIuE+6/DtiU9xdqGSE4lMbtXRHun8e7mpDOA3O+YAvqpiF44MJksWfchCbGZx84=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