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28/03/2022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Términos de referencia.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plan de pruebas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las plantillas en html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Zharick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Plantillas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Términos de referencia.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plantillas en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3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3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3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hiXFxPkQs57onBT0dVZrNQnZg==">AMUW2mVy+pV8NtUAgEyvPgyim2ZUTX+q6q47bJBn7ZjokLBSLPg9vD0JnV8MbcvfoCejsrN1DjiZJ8rWuIEWHBofXorNR3kCdRY0XnfHOW8WMFb+kxB1FGc=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