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 : Revisión y asignación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09/05/2022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ind w:left="1410" w:hanging="141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revisó el adelanto de la reestructuración del proyecto, se habló sobre el despliegue y donde se almacenará la base de datos, sobre qué hace falta del proyecto, tanto en back como en front y documentación.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85"/>
        <w:gridCol w:w="1395"/>
        <w:gridCol w:w="1755"/>
        <w:tblGridChange w:id="0">
          <w:tblGrid>
            <w:gridCol w:w="2198"/>
            <w:gridCol w:w="3585"/>
            <w:gridCol w:w="139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Reestructurar el front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 técnico de configuración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 técnico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hace un aplazamiento debido a la reestructuración del front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5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5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5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1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15</w:t>
          </w:r>
        </w:p>
        <w:p w:rsidR="00000000" w:rsidDel="00000000" w:rsidP="00000000" w:rsidRDefault="00000000" w:rsidRPr="00000000" w14:paraId="00000043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4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5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J4wzDR4UtWzwm7J32Q1Z0Hn2A==">AMUW2mXxZ8wZDObsm0T6p/hiGkPlFSYTvxqPLo58BHkIJ4iL6fvyvFoJ2UX63brVwUwM9x5H1Fnah+8njVZrkQQIL8arDBr0EkVbXnnQBwVGRy3emk5UoN0=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