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b1c5ddb1e31569b8328cd2521ae10cfe6f83ba"/>
    <w:p>
      <w:pPr>
        <w:pStyle w:val="Heading1"/>
      </w:pPr>
      <w:r>
        <w:t xml:space="preserve">Этап 1: граф переходов без состояния OldCase</w:t>
      </w:r>
    </w:p>
    <w:p>
      <w:pPr>
        <w:pStyle w:val="FirstParagraph"/>
      </w:pPr>
      <w:r>
        <w:t xml:space="preserve">Дата: 09.10.2026. Данные:</w:t>
      </w:r>
      <w:r>
        <w:t xml:space="preserve"> </w:t>
      </w:r>
      <w:r>
        <w:rPr>
          <w:rStyle w:val="VerbatimChar"/>
        </w:rPr>
        <w:t xml:space="preserve">stage1_fixed_input/compas_custody_charges.csv</w:t>
      </w:r>
      <w:r>
        <w:t xml:space="preserve"> </w:t>
      </w:r>
      <w:r>
        <w:t xml:space="preserve">(из compas.db, 65 363 обвинения, 10 580 человек).</w:t>
      </w:r>
      <w:r>
        <w:t xml:space="preserve"> </w:t>
      </w:r>
      <w:r>
        <w:t xml:space="preserve">Код:</w:t>
      </w:r>
      <w:r>
        <w:t xml:space="preserve"> </w:t>
      </w:r>
      <w:r>
        <w:rPr>
          <w:rStyle w:val="VerbatimChar"/>
        </w:rPr>
        <w:t xml:space="preserve">stage1_no_oldcase.py</w:t>
      </w:r>
      <w:r>
        <w:t xml:space="preserve"> </w:t>
      </w:r>
      <w:r>
        <w:t xml:space="preserve">(граф и модели),</w:t>
      </w:r>
      <w:r>
        <w:t xml:space="preserve"> </w:t>
      </w:r>
      <w:r>
        <w:rPr>
          <w:rStyle w:val="VerbatimChar"/>
        </w:rPr>
        <w:t xml:space="preserve">compare_variants.py</w:t>
      </w:r>
      <w:r>
        <w:t xml:space="preserve"> </w:t>
      </w:r>
      <w:r>
        <w:t xml:space="preserve">(сравнение и Excel). Таблицы:</w:t>
      </w:r>
      <w:r>
        <w:t xml:space="preserve"> </w:t>
      </w:r>
      <w:r>
        <w:rPr>
          <w:rStyle w:val="VerbatimChar"/>
        </w:rPr>
        <w:t xml:space="preserve">STAGE1_NO_OLDCASE_tables.xlsx</w:t>
      </w:r>
      <w:r>
        <w:t xml:space="preserve">.</w:t>
      </w:r>
    </w:p>
    <w:bookmarkStart w:id="20" w:name="что-сделано"/>
    <w:p>
      <w:pPr>
        <w:pStyle w:val="Heading2"/>
      </w:pPr>
      <w:r>
        <w:t xml:space="preserve">1. Что сделано</w:t>
      </w:r>
    </w:p>
    <w:p>
      <w:pPr>
        <w:pStyle w:val="FirstParagraph"/>
      </w:pPr>
      <w:r>
        <w:t xml:space="preserve">Обвинение считается</w:t>
      </w:r>
      <w:r>
        <w:t xml:space="preserve"> </w:t>
      </w:r>
      <w:r>
        <w:rPr>
          <w:bCs/>
          <w:b/>
        </w:rPr>
        <w:t xml:space="preserve">старым</w:t>
      </w:r>
      <w:r>
        <w:t xml:space="preserve">, если его</w:t>
      </w:r>
      <w:r>
        <w:t xml:space="preserve"> </w:t>
      </w:r>
      <w:r>
        <w:rPr>
          <w:rStyle w:val="VerbatimChar"/>
        </w:rPr>
        <w:t xml:space="preserve">case_number</w:t>
      </w:r>
      <w:r>
        <w:t xml:space="preserve"> </w:t>
      </w:r>
      <w:r>
        <w:t xml:space="preserve">уже встречался у этого же человека в более раннем эпизоде.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Эпизод только из старых 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Смешанный эпизод (старые + новые)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Основной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stage1_compasdb/results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= типы всех его обвинений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всех обвинений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OldCase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stage1_compasdb/results_oldcase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отдельное состояние</w:t>
            </w:r>
            <w:r>
              <w:t xml:space="preserve"> </w:t>
            </w:r>
            <w:r>
              <w:rPr>
                <w:rStyle w:val="VerbatimChar"/>
              </w:rPr>
              <w:t xml:space="preserve">OldCase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типы новых обвинений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 OldCase</w:t>
            </w:r>
            <w:r>
              <w:t xml:space="preserve"> </w:t>
            </w:r>
            <w:r>
              <w:t xml:space="preserve">(этот)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эпизод убран из последовательности человека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типы новых обвинений</w:t>
            </w:r>
          </w:p>
        </w:tc>
      </w:tr>
    </w:tbl>
    <w:p>
      <w:pPr>
        <w:pStyle w:val="BodyText"/>
      </w:pPr>
      <w:r>
        <w:t xml:space="preserve">Остальное не менялось: 15 типов (</w:t>
      </w:r>
      <w:r>
        <w:rPr>
          <w:rStyle w:val="VerbatimChar"/>
        </w:rPr>
        <w:t xml:space="preserve">categorize_fine</w:t>
      </w:r>
      <w:r>
        <w:t xml:space="preserve">), склейка jail → prison в тот же день, Justice отдельным шагом после остальных типов, терминального состояния нет, последний эпизод цензурируется 19.04.2016, модели учатся на 80% людей, оцениваются на 20% (разбиение по людям, seed 42). Выравнивания для Inductive Miner не считались (слишком долго), для IM в таблице только fitness по token replay.</w:t>
      </w:r>
    </w:p>
    <w:p>
      <w:pPr>
        <w:pStyle w:val="BodyText"/>
      </w:pPr>
      <w:r>
        <w:t xml:space="preserve">Убрано</w:t>
      </w:r>
      <w:r>
        <w:t xml:space="preserve"> </w:t>
      </w:r>
      <w:r>
        <w:rPr>
          <w:bCs/>
          <w:b/>
        </w:rPr>
        <w:t xml:space="preserve">4 070 эпизодов</w:t>
      </w:r>
      <w:r>
        <w:t xml:space="preserve"> </w:t>
      </w:r>
      <w:r>
        <w:t xml:space="preserve">(18.7%) у</w:t>
      </w:r>
      <w:r>
        <w:t xml:space="preserve"> </w:t>
      </w:r>
      <w:r>
        <w:rPr>
          <w:bCs/>
          <w:b/>
        </w:rPr>
        <w:t xml:space="preserve">2 770 человек</w:t>
      </w:r>
      <w:r>
        <w:t xml:space="preserve">. Это ровно те эпизоды, что в варианте OldCase получают состояние OldCase. В 4 из них кроме старых обвинений есть только обвинения, не найденные в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(Unknown); как и в OldCase, они считаются эпизодами старого дела.</w:t>
      </w:r>
    </w:p>
    <w:bookmarkEnd w:id="20"/>
    <w:bookmarkStart w:id="21" w:name="журнал-что-меняется"/>
    <w:p>
      <w:pPr>
        <w:pStyle w:val="Heading2"/>
      </w:pPr>
      <w:r>
        <w:t xml:space="preserve">2. Журнал: что меняется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12"/>
        <w:gridCol w:w="2112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Без OldCase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Эпизодов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21 716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17 646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Шагов (с отдельным Justice)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Людей с повторами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5 230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4 053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Наблюдаемых переходов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11 237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7 167</w:t>
            </w:r>
            <w:r>
              <w:t xml:space="preserve"> </w:t>
            </w:r>
            <w:r>
              <w:t xml:space="preserve">(−36%)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Эпизодов на человека, 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людей с одним эпизодом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эпизодов с несколькими типами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 следующего заключения, медиана (Q1–Q3), дней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 (52–271)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 (52–271)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145 (54–320)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Отрицательных интервалов (наложение заключений)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Что важно: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Старые дела в основном идут в конце истории человека.</w:t>
      </w:r>
      <w:r>
        <w:t xml:space="preserve"> </w:t>
      </w:r>
      <w:r>
        <w:t xml:space="preserve">У 2 215 из 2 770 человек убранный эпизод был последним (например, отправка в prison или нарушение условий по прежнему делу). Поэтому у 1 177 человек повторов не остаётся вовсе, и последним (цензурированным) становится более ранний эпизод.</w:t>
      </w:r>
    </w:p>
    <w:p>
      <w:pPr>
        <w:numPr>
          <w:ilvl w:val="0"/>
          <w:numId w:val="1001"/>
        </w:numPr>
        <w:pStyle w:val="Compact"/>
      </w:pPr>
      <w:r>
        <w:t xml:space="preserve">Интервал между заключениями становится длиннее: убраны короткие возвраты по тому же делу. Медиана выросла со 126 до 145 дней.</w:t>
      </w:r>
    </w:p>
    <w:p>
      <w:pPr>
        <w:numPr>
          <w:ilvl w:val="0"/>
          <w:numId w:val="1001"/>
        </w:numPr>
        <w:pStyle w:val="Compact"/>
      </w:pPr>
      <w:r>
        <w:t xml:space="preserve">Две трети наложений заключений (50 из 75) были старыми делами.</w:t>
      </w:r>
    </w:p>
    <w:bookmarkEnd w:id="21"/>
    <w:bookmarkStart w:id="23" w:name="граф-переходов"/>
    <w:p>
      <w:pPr>
        <w:pStyle w:val="Heading2"/>
      </w:pPr>
      <w:r>
        <w:t xml:space="preserve">3. Граф переходов</w:t>
      </w:r>
    </w:p>
    <w:p>
      <w:pPr>
        <w:pStyle w:val="FirstParagraph"/>
      </w:pPr>
      <w:r>
        <w:t xml:space="preserve">Рисунки:</w:t>
      </w:r>
      <w:r>
        <w:t xml:space="preserve"> </w:t>
      </w:r>
      <w:r>
        <w:rPr>
          <w:rStyle w:val="VerbatimChar"/>
        </w:rPr>
        <w:t xml:space="preserve">results/figures/transition_graph_p0.10.png</w:t>
      </w:r>
      <w:r>
        <w:t xml:space="preserve"> </w:t>
      </w:r>
      <w:r>
        <w:t xml:space="preserve">(дуги с p ≥ 0.10),</w:t>
      </w:r>
      <w:r>
        <w:t xml:space="preserve"> </w:t>
      </w:r>
      <w:r>
        <w:rPr>
          <w:rStyle w:val="VerbatimChar"/>
        </w:rPr>
        <w:t xml:space="preserve">transition_matrix.png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dfg_frequency.png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dfg_performance.png</w:t>
      </w:r>
      <w:r>
        <w:t xml:space="preserve">.</w:t>
      </w:r>
    </w:p>
    <w:p>
      <w:pPr>
        <w:pStyle w:val="BodyText"/>
      </w:pPr>
      <w:r>
        <w:t xml:space="preserve">Самые вероятные переходы из основных состояний (вероятность, медиана дней до следующего заключения):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0.36 (143)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0.15 (153)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0.15 (219)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0.42 (97)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0.15 (126)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0.11 (142)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0.33 (126)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0.17 (120)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0.17 (149)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0.34 (158)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0.19 (141)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0.14 (171)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0.23 (117)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0.17 (153)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0.17 (156)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0.29 (136)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0.17 (177)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0.16 (182)</w:t>
            </w:r>
          </w:p>
        </w:tc>
      </w:tr>
    </w:tbl>
    <w:p>
      <w:pPr>
        <w:pStyle w:val="BodyText"/>
      </w:pPr>
      <w:r>
        <w:t xml:space="preserve">Первый эпизод (START): Violent 0.31, Property 0.19, Drug 0.17, Traffic 0.17.</w:t>
      </w:r>
    </w:p>
    <w:bookmarkStart w:id="22" w:name="самопереходы-повтор-того-же-типа"/>
    <w:p>
      <w:pPr>
        <w:pStyle w:val="Heading3"/>
      </w:pPr>
      <w:r>
        <w:t xml:space="preserve">Самопереходы (повтор того же типа)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OldCase: в тот же тип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OldCase: в 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Без OldCase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ResistPolice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по 15 типам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0.17</w:t>
            </w:r>
          </w:p>
        </w:tc>
      </w:tr>
    </w:tbl>
    <w:p>
      <w:pPr>
        <w:pStyle w:val="BodyText"/>
      </w:pPr>
      <w:r>
        <w:t xml:space="preserve">Основной вариант завышает повторы: примерно половина «повторов» там — тот же старый случай, а не новое преступление. Без OldCase среди типов с большим числом наблюдений устойчиво повторяются только Property, Violent, Drug и Traffic. Fraud, Weapon, ResistPolice и Tampering почти не повторяются (0.03–0.10).</w:t>
      </w:r>
    </w:p>
    <w:bookmarkEnd w:id="22"/>
    <w:bookmarkEnd w:id="23"/>
    <w:bookmarkStart w:id="24" w:name="сравнение-с-двумя-вариантами"/>
    <w:p>
      <w:pPr>
        <w:pStyle w:val="Heading2"/>
      </w:pPr>
      <w:r>
        <w:t xml:space="preserve">4. Сравнение с двумя вариантами</w:t>
      </w:r>
    </w:p>
    <w:p>
      <w:pPr>
        <w:pStyle w:val="FirstParagraph"/>
      </w:pPr>
      <w:r>
        <w:t xml:space="preserve">Таблицы:</w:t>
      </w:r>
      <w:r>
        <w:t xml:space="preserve"> </w:t>
      </w:r>
      <w:r>
        <w:rPr>
          <w:rStyle w:val="VerbatimChar"/>
        </w:rPr>
        <w:t xml:space="preserve">comparison/</w:t>
      </w:r>
      <w:r>
        <w:t xml:space="preserve">, листы «Сравн. …» в Excel. Рисунки разности матриц:</w:t>
      </w:r>
      <w:r>
        <w:t xml:space="preserve"> </w:t>
      </w:r>
      <w:r>
        <w:rPr>
          <w:rStyle w:val="VerbatimChar"/>
        </w:rPr>
        <w:t xml:space="preserve">comparison/probs_diff_vs_all_charges.png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comparison/probs_diff_vs_oldcase.png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С основным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 OldCase*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|Δp| по матрице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|Δp|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(Conspiracy → Conspiracy)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 (Conspiracy → Drug, n =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 с p ≥ 0.05 в обоих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 с p ≥ 0.05 только в этом варианте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Дуг с p ≥ 0.05 только в другом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* У OldCase убраны строка и столбец OldCase, строки перенормированы (то есть «куда человек переходит, если следующий эпизод — новое преступление»).</w:t>
      </w:r>
    </w:p>
    <w:p>
      <w:pPr>
        <w:pStyle w:val="BodyText"/>
      </w:pPr>
      <w:r>
        <w:rPr>
          <w:bCs/>
          <w:b/>
        </w:rPr>
        <w:t xml:space="preserve">Вывод.</w:t>
      </w:r>
      <w:r>
        <w:t xml:space="preserve"> </w:t>
      </w:r>
      <w:r>
        <w:t xml:space="preserve">Без OldCase граф почти совпадает с вариантом OldCase, если в нём не смотреть на OldCase: направления переходов между типами преступлений те же (средняя разница 0.004, заметные расхождения только в редких состояниях с десятками наблюдений). Разница между этими двумя вариантами не в том, куда ведут переходы, а в</w:t>
      </w:r>
      <w:r>
        <w:t xml:space="preserve"> </w:t>
      </w:r>
      <w:r>
        <w:rPr>
          <w:bCs/>
          <w:b/>
        </w:rPr>
        <w:t xml:space="preserve">моменте и числе событий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в OldCase эпизод по старому делу остаётся событием процесса (возврат в заключение), и вероятность попасть в него из каждого типа 0.2–0.5;</w:t>
      </w:r>
    </w:p>
    <w:p>
      <w:pPr>
        <w:numPr>
          <w:ilvl w:val="0"/>
          <w:numId w:val="1002"/>
        </w:numPr>
        <w:pStyle w:val="Compact"/>
      </w:pPr>
      <w:r>
        <w:t xml:space="preserve">без OldCase такой эпизод не событие: следующее событие — следующий новый арест, интервалы длиннее, у 1 177 человек повторов нет совсем.</w:t>
      </w:r>
    </w:p>
    <w:p>
      <w:pPr>
        <w:pStyle w:val="FirstParagraph"/>
      </w:pPr>
      <w:r>
        <w:t xml:space="preserve">От основного варианта этот отличается сильно: основная разница в самопереходах (средний 0.33 → 0.17), остальная матрица меняется мало.</w:t>
      </w:r>
    </w:p>
    <w:p>
      <w:pPr>
        <w:pStyle w:val="BodyText"/>
      </w:pPr>
      <w:r>
        <w:t xml:space="preserve">Для этапа 1.2 (конкурирующие риски) это выбор, что считать событием: если событие = новое преступление, ближе вариант без OldCase; если событие = любое возвращение в заключение, нужен OldCase как отдельный исход (отдельный риск).</w:t>
      </w:r>
    </w:p>
    <w:bookmarkEnd w:id="24"/>
    <w:bookmarkStart w:id="25" w:name="модели-тест-20-людей"/>
    <w:p>
      <w:pPr>
        <w:pStyle w:val="Heading2"/>
      </w:pPr>
      <w:r>
        <w:t xml:space="preserve">5. Модели (тест, 20% людей)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Fitness TBR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Fitness align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Потеряно переходов теста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 dep 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 dep 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noise 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noise 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noise 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 p ≥ 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DFG p ≥ 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25.3%</w:t>
            </w:r>
          </w:p>
        </w:tc>
      </w:tr>
    </w:tbl>
    <w:p>
      <w:pPr>
        <w:pStyle w:val="BodyText"/>
      </w:pPr>
      <w:r>
        <w:t xml:space="preserve">Сравнение с основным вариантом (HM dep 0.9): fitness 0.998 → 0.995,</w:t>
      </w:r>
      <w:r>
        <w:t xml:space="preserve"> </w:t>
      </w:r>
      <w:r>
        <w:rPr>
          <w:bCs/>
          <w:b/>
        </w:rPr>
        <w:t xml:space="preserve">precision 0.57 → 0.70</w:t>
      </w:r>
      <w:r>
        <w:t xml:space="preserve">. Журнал стал проще (меньше повторов и развилок), поэтому модели точнее. HM dep 0.9 по-прежнему лучший компромисс; HM dep 0.5 даёт ту же точность и не теряет переходов, но допускает 88 лишних переходов против 7. IM noise 0.2 точнее (0.85), но теряет 17% переходов теста (на основном 4%).</w:t>
      </w:r>
    </w:p>
    <w:p>
      <w:pPr>
        <w:pStyle w:val="BodyText"/>
      </w:pPr>
      <w:r>
        <w:t xml:space="preserve">HM dep 0.9 в трёх вариантах (тест):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Fitness align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Потеряно переходов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OldCase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1.6%</w:t>
            </w:r>
          </w:p>
        </w:tc>
      </w:tr>
    </w:tbl>
    <w:bookmarkEnd w:id="25"/>
    <w:bookmarkStart w:id="26" w:name="причины-перехода-дерево-решений"/>
    <w:p>
      <w:pPr>
        <w:pStyle w:val="Heading2"/>
      </w:pPr>
      <w:r>
        <w:t xml:space="preserve">6. Причины перехода (дерево решений)</w:t>
      </w:r>
    </w:p>
    <w:p>
      <w:pPr>
        <w:pStyle w:val="FirstParagraph"/>
      </w:pPr>
      <w:r>
        <w:t xml:space="preserve">Важность признаков для следующего состояния: текущее состояние 0.65, пол 0.13, длительность заключения 0.13, число типов в эпизоде 0.07, предыдущая комбинация 0.03. В основном варианте почти всё объясняли текущее состояние (0.79) и предыдущая комбинация (0.19): это след повторов старых дел. Без них появляются пол и длительность заключения. Таблицы V Крамера: лист «Причины V Крамера».</w:t>
      </w:r>
    </w:p>
    <w:bookmarkEnd w:id="26"/>
    <w:bookmarkStart w:id="27" w:name="файлы"/>
    <w:p>
      <w:pPr>
        <w:pStyle w:val="Heading2"/>
      </w:pPr>
      <w:r>
        <w:t xml:space="preserve">7. Файлы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REPORT_no_oldcase.md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этот отчёт;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STAGE1_NO_OLDCASE_tables.xlsx</w:t>
      </w:r>
      <w:r>
        <w:t xml:space="preserve"> </w:t>
      </w:r>
      <w:r>
        <w:t xml:space="preserve">— журнал, состояния, вероятности, дуги, развилки, качество моделей, сравнение с основным и OldCase;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results/</w:t>
      </w:r>
      <w:r>
        <w:t xml:space="preserve"> </w:t>
      </w:r>
      <w:r>
        <w:t xml:space="preserve">— журнал событий (</w:t>
      </w:r>
      <w:r>
        <w:rPr>
          <w:rStyle w:val="VerbatimChar"/>
        </w:rPr>
        <w:t xml:space="preserve">event_log.csv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event_table.csv</w:t>
      </w:r>
      <w:r>
        <w:t xml:space="preserve">), таблицы и рисунки (граф, матрица, DFG, сети Петри HM/IM);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comparison/</w:t>
      </w:r>
      <w:r>
        <w:t xml:space="preserve"> </w:t>
      </w:r>
      <w:r>
        <w:t xml:space="preserve">— CSV и рисунки сравнения трёх вариантов;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stage1_no_oldcase.py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compare_variants.py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stage1_common.py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crime_categories.py</w:t>
      </w:r>
      <w:r>
        <w:t xml:space="preserve"> </w:t>
      </w:r>
      <w:r>
        <w:t xml:space="preserve">— код.</w:t>
      </w:r>
    </w:p>
    <w:bookmarkEnd w:id="27"/>
    <w:bookmarkStart w:id="28" w:name="X120417e5eb676438855e44e7a2e8cb8b4820380"/>
    <w:p>
      <w:pPr>
        <w:pStyle w:val="Heading2"/>
      </w:pPr>
      <w:r>
        <w:t xml:space="preserve">8. Дополнение: склейка «вышел и сел снова за неделю по той же статье»</w:t>
      </w:r>
    </w:p>
    <w:p>
      <w:pPr>
        <w:pStyle w:val="FirstParagraph"/>
      </w:pPr>
      <w:r>
        <w:t xml:space="preserve">Отдельный отчёт:</w:t>
      </w:r>
      <w:r>
        <w:t xml:space="preserve"> </w:t>
      </w:r>
      <w:r>
        <w:rPr>
          <w:rStyle w:val="VerbatimChar"/>
        </w:rPr>
        <w:t xml:space="preserve">REPORT_glue7.md</w:t>
      </w:r>
      <w:r>
        <w:t xml:space="preserve">, таблицы</w:t>
      </w:r>
      <w:r>
        <w:t xml:space="preserve"> </w:t>
      </w:r>
      <w:r>
        <w:rPr>
          <w:rStyle w:val="VerbatimChar"/>
        </w:rPr>
        <w:t xml:space="preserve">STAGE1_GLUE7_tables.xlsx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2026-10-09T04:31:44Z</dcterms:created>
  <dcterms:modified xsi:type="dcterms:W3CDTF">2026-10-09T04:31:44Z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