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77777777" w:rsidR="003064B6" w:rsidRDefault="00000000">
            <w:pPr>
              <w:pStyle w:val="ContactInfo"/>
            </w:pPr>
            <w:r>
              <w:t>(734)834-7882</w:t>
            </w:r>
          </w:p>
        </w:tc>
      </w:tr>
      <w:tr w:rsidR="003064B6" w14:paraId="742AC8AA" w14:textId="77777777">
        <w:trPr>
          <w:trHeight w:val="665"/>
        </w:trPr>
        <w:tc>
          <w:tcPr>
            <w:tcW w:w="6925" w:type="dxa"/>
            <w:gridSpan w:val="3"/>
          </w:tcPr>
          <w:p w14:paraId="59FF6DCA" w14:textId="77777777" w:rsidR="003064B6" w:rsidRDefault="00000000">
            <w:pPr>
              <w:rPr>
                <w:b/>
                <w:bCs/>
              </w:rPr>
            </w:pPr>
            <w:r>
              <w:rPr>
                <w:lang w:eastAsia="zh-CN"/>
              </w:rPr>
              <w:t xml:space="preserve">Last updated: </w:t>
            </w:r>
            <w:r>
              <w:rPr>
                <w:rFonts w:hint="eastAsia"/>
                <w:lang w:eastAsia="zh-CN"/>
              </w:rPr>
              <w:t xml:space="preserve">September </w:t>
            </w:r>
            <w:r>
              <w:rPr>
                <w:lang w:eastAsia="zh-CN"/>
              </w:rPr>
              <w:t>2023</w:t>
            </w:r>
          </w:p>
        </w:tc>
        <w:tc>
          <w:tcPr>
            <w:tcW w:w="3780" w:type="dxa"/>
          </w:tcPr>
          <w:p w14:paraId="3723D18C" w14:textId="77777777" w:rsidR="003064B6" w:rsidRDefault="003064B6">
            <w:pPr>
              <w:pStyle w:val="ContactInfo"/>
            </w:pPr>
          </w:p>
        </w:tc>
      </w:tr>
      <w:tr w:rsidR="003064B6" w14:paraId="3A4D5A39" w14:textId="77777777">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77777777" w:rsidR="003064B6" w:rsidRDefault="00000000">
            <w:pPr>
              <w:rPr>
                <w:lang w:eastAsia="zh-CN"/>
              </w:rPr>
            </w:pPr>
            <w:r>
              <w:rPr>
                <w:lang w:eastAsia="zh-CN"/>
              </w:rPr>
              <w:t>Machine Reasoning, Event Understanding, Language Models, etc.</w:t>
            </w:r>
          </w:p>
        </w:tc>
      </w:tr>
      <w:tr w:rsidR="003064B6" w14:paraId="24D062D9" w14:textId="77777777">
        <w:trPr>
          <w:trHeight w:val="135"/>
        </w:trPr>
        <w:tc>
          <w:tcPr>
            <w:tcW w:w="10705" w:type="dxa"/>
            <w:gridSpan w:val="4"/>
          </w:tcPr>
          <w:p w14:paraId="448B0876" w14:textId="77777777" w:rsidR="003064B6" w:rsidRDefault="003064B6"/>
        </w:tc>
      </w:tr>
      <w:tr w:rsidR="003064B6" w14:paraId="2D83F0FA" w14:textId="77777777">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77777777" w:rsidR="003064B6"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3064B6" w14:paraId="00AD0B4A" w14:textId="77777777">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7777777"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t>Sept 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trPr>
          <w:trHeight w:val="66"/>
        </w:trPr>
        <w:tc>
          <w:tcPr>
            <w:tcW w:w="10705" w:type="dxa"/>
            <w:gridSpan w:val="4"/>
          </w:tcPr>
          <w:p w14:paraId="0996BE1F" w14:textId="77777777" w:rsidR="003064B6" w:rsidRDefault="003064B6"/>
        </w:tc>
      </w:tr>
      <w:tr w:rsidR="003064B6" w14:paraId="2584EF6B" w14:textId="77777777">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55F1537B" w14:textId="77777777" w:rsidR="003064B6" w:rsidRDefault="00000000">
            <w:pPr>
              <w:ind w:left="-20"/>
            </w:pPr>
            <w:r>
              <w:t xml:space="preserve">Total citations: </w:t>
            </w:r>
            <w:r>
              <w:rPr>
                <w:rFonts w:hint="eastAsia"/>
                <w:lang w:eastAsia="zh-CN"/>
              </w:rPr>
              <w:t xml:space="preserve">731 </w:t>
            </w:r>
            <w:r>
              <w:t xml:space="preserve">(source: Google Scholar), </w:t>
            </w:r>
            <w:r>
              <w:rPr>
                <w:rFonts w:hint="eastAsia"/>
                <w:lang w:eastAsia="zh-CN"/>
              </w:rPr>
              <w:t>920 (</w:t>
            </w:r>
            <w:r>
              <w:rPr>
                <w:lang w:eastAsia="zh-CN"/>
              </w:rPr>
              <w:t>source: Semantic Scholar)</w:t>
            </w:r>
            <w:r>
              <w:t>; h-index: 9</w:t>
            </w:r>
          </w:p>
          <w:p w14:paraId="261C712C" w14:textId="77777777" w:rsidR="003064B6" w:rsidRDefault="00000000">
            <w:pPr>
              <w:ind w:left="-20"/>
            </w:pPr>
            <w:r>
              <w:t>(*Equal contribution</w:t>
            </w:r>
            <w:r>
              <w:rPr>
                <w:lang w:eastAsia="zh-CN"/>
              </w:rPr>
              <w:t>; ^Mentored students</w:t>
            </w:r>
            <w:r>
              <w:t xml:space="preserve">) </w:t>
            </w:r>
          </w:p>
          <w:p w14:paraId="7B9FAFE5" w14:textId="77AFD3E6" w:rsidR="00817856" w:rsidRDefault="00817856" w:rsidP="00817856">
            <w:pPr>
              <w:ind w:left="-20"/>
            </w:pPr>
            <w:r>
              <w:t>[2</w:t>
            </w:r>
            <w:r>
              <w:t>4</w:t>
            </w:r>
            <w:r>
              <w:t>]</w:t>
            </w:r>
            <w:r>
              <w:t xml:space="preserve">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preprint. </w:t>
            </w:r>
          </w:p>
          <w:p w14:paraId="2C2E7682" w14:textId="77777777" w:rsidR="003064B6"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preprint.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w:t>
            </w:r>
            <w:proofErr w:type="gramStart"/>
            <w:r>
              <w:t>Arora</w:t>
            </w:r>
            <w:proofErr w:type="gramEnd"/>
            <w:r>
              <w:t xml:space="preserve">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xml:space="preserve">, Q. </w:t>
            </w:r>
            <w:proofErr w:type="gramStart"/>
            <w:r>
              <w:t>Lyu</w:t>
            </w:r>
            <w:proofErr w:type="gramEnd"/>
            <w:r>
              <w:t xml:space="preserve">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 xml:space="preserve">Reasoning </w:t>
            </w:r>
            <w:proofErr w:type="gramStart"/>
            <w:r>
              <w:rPr>
                <w:i/>
              </w:rPr>
              <w:t>about</w:t>
            </w:r>
            <w:proofErr w:type="gramEnd"/>
            <w:r>
              <w:rPr>
                <w:i/>
              </w:rPr>
              <w:t xml:space="preserve"> Procedures with Natural Language Processing: A Tutorial</w:t>
            </w:r>
            <w:r>
              <w:t>. In preprint.</w:t>
            </w:r>
          </w:p>
          <w:p w14:paraId="2F654A76" w14:textId="77777777" w:rsidR="003064B6" w:rsidRDefault="00000000">
            <w:pPr>
              <w:ind w:left="-20"/>
              <w:rPr>
                <w:sz w:val="26"/>
                <w:szCs w:val="23"/>
              </w:rPr>
            </w:pPr>
            <w:r>
              <w:lastRenderedPageBreak/>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w:t>
            </w:r>
            <w:proofErr w:type="gramStart"/>
            <w:r>
              <w:t>Jindal</w:t>
            </w:r>
            <w:proofErr w:type="gramEnd"/>
            <w:r>
              <w:t xml:space="preserve"> and Y. Li. </w:t>
            </w:r>
            <w:r>
              <w:rPr>
                <w:i/>
              </w:rPr>
              <w:t>Label Definitions Improve Semantic Role Labeling</w:t>
            </w:r>
            <w:r>
              <w:t>. In NAACL 2022.</w:t>
            </w:r>
          </w:p>
          <w:p w14:paraId="5E8DB03A" w14:textId="77777777" w:rsidR="003064B6" w:rsidRDefault="00000000">
            <w:pPr>
              <w:ind w:left="-20"/>
            </w:pPr>
            <w:r>
              <w:t xml:space="preserve">[10] S. Zhou*, </w:t>
            </w:r>
            <w:r>
              <w:rPr>
                <w:b/>
              </w:rPr>
              <w:t>L. Zhang</w:t>
            </w:r>
            <w:r>
              <w:rPr>
                <w:bCs/>
              </w:rPr>
              <w:t>*</w:t>
            </w:r>
            <w:r>
              <w:t xml:space="preserve">,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4EB656E8" w14:textId="77777777" w:rsidR="003064B6" w:rsidRDefault="00000000">
            <w:pPr>
              <w:ind w:left="-20"/>
            </w:pPr>
            <w:r>
              <w:t xml:space="preserve">[8] Q. Lyu*, </w:t>
            </w:r>
            <w:r>
              <w:rPr>
                <w:b/>
              </w:rPr>
              <w:t>L. Zhang</w:t>
            </w:r>
            <w:r>
              <w:rPr>
                <w:bCs/>
              </w:rPr>
              <w:t>*</w:t>
            </w:r>
            <w:r>
              <w:t xml:space="preserve">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w:t>
            </w:r>
            <w:proofErr w:type="gramStart"/>
            <w:r>
              <w:t>Lyu</w:t>
            </w:r>
            <w:proofErr w:type="gramEnd"/>
            <w:r>
              <w:t xml:space="preserve">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t>
            </w:r>
            <w:proofErr w:type="gramStart"/>
            <w:r>
              <w:t>Wilson</w:t>
            </w:r>
            <w:proofErr w:type="gramEnd"/>
            <w:r>
              <w:t xml:space="preserve">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t>
            </w:r>
            <w:proofErr w:type="gramStart"/>
            <w:r>
              <w:t>Wilson</w:t>
            </w:r>
            <w:proofErr w:type="gramEnd"/>
            <w:r>
              <w:t xml:space="preserve">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w:t>
            </w:r>
            <w:proofErr w:type="gramStart"/>
            <w:r>
              <w:t>Deng</w:t>
            </w:r>
            <w:proofErr w:type="gramEnd"/>
            <w:r>
              <w:t xml:space="preserve">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w:t>
            </w:r>
            <w:proofErr w:type="gramStart"/>
            <w:r>
              <w:t>Zhang</w:t>
            </w:r>
            <w:proofErr w:type="gramEnd"/>
            <w:r>
              <w:t xml:space="preserve"> and D. Radev. </w:t>
            </w:r>
            <w:r>
              <w:rPr>
                <w:i/>
              </w:rPr>
              <w:t xml:space="preserve">Improving Text-to-SQL Evaluation Methodology. </w:t>
            </w:r>
            <w:r>
              <w:t xml:space="preserve">In ACL 2018. </w:t>
            </w:r>
          </w:p>
        </w:tc>
      </w:tr>
      <w:tr w:rsidR="003064B6" w14:paraId="28A8DCEE" w14:textId="77777777">
        <w:trPr>
          <w:trHeight w:val="66"/>
        </w:trPr>
        <w:tc>
          <w:tcPr>
            <w:tcW w:w="10705" w:type="dxa"/>
            <w:gridSpan w:val="4"/>
          </w:tcPr>
          <w:p w14:paraId="77E1B34F" w14:textId="77777777" w:rsidR="003064B6" w:rsidRDefault="003064B6">
            <w:pPr>
              <w:ind w:left="-20"/>
            </w:pPr>
          </w:p>
        </w:tc>
      </w:tr>
      <w:tr w:rsidR="003064B6" w14:paraId="4EF0E52F" w14:textId="77777777">
        <w:trPr>
          <w:trHeight w:val="1314"/>
        </w:trPr>
        <w:tc>
          <w:tcPr>
            <w:tcW w:w="1885" w:type="dxa"/>
            <w:vMerge w:val="restart"/>
          </w:tcPr>
          <w:p w14:paraId="71305A6B" w14:textId="77777777" w:rsidR="003064B6" w:rsidRDefault="00000000">
            <w:pPr>
              <w:pStyle w:val="Heading2"/>
            </w:pPr>
            <w:r>
              <w:t>INDUSTRY</w:t>
            </w:r>
          </w:p>
          <w:p w14:paraId="6709B168" w14:textId="77777777" w:rsidR="003064B6" w:rsidRDefault="00000000">
            <w:pPr>
              <w:pStyle w:val="Heading2"/>
            </w:pPr>
            <w:r>
              <w:t>EXPERIENCE</w:t>
            </w:r>
          </w:p>
        </w:tc>
        <w:tc>
          <w:tcPr>
            <w:tcW w:w="270" w:type="dxa"/>
          </w:tcPr>
          <w:p w14:paraId="79E7CA67" w14:textId="77777777" w:rsidR="003064B6" w:rsidRDefault="003064B6"/>
        </w:tc>
        <w:tc>
          <w:tcPr>
            <w:tcW w:w="8550" w:type="dxa"/>
            <w:gridSpan w:val="2"/>
          </w:tcPr>
          <w:p w14:paraId="4C4CD9A3" w14:textId="77777777" w:rsidR="003064B6" w:rsidRDefault="00000000">
            <w:pPr>
              <w:tabs>
                <w:tab w:val="right" w:pos="8160"/>
              </w:tabs>
              <w:rPr>
                <w:u w:val="single"/>
              </w:rPr>
            </w:pPr>
            <w:r>
              <w:rPr>
                <w:b/>
              </w:rPr>
              <w:t>Research Intern</w:t>
            </w:r>
            <w:r>
              <w:tab/>
              <w:t>Apr 2023 – Aug 2023</w:t>
            </w:r>
          </w:p>
          <w:p w14:paraId="3B4624BF" w14:textId="77777777" w:rsidR="003064B6" w:rsidRDefault="00000000">
            <w:pPr>
              <w:tabs>
                <w:tab w:val="right" w:pos="8160"/>
              </w:tabs>
            </w:pPr>
            <w:r>
              <w:rPr>
                <w:i/>
              </w:rPr>
              <w:t>Allen Institute for Artificial Intelligence (AI2)</w:t>
            </w:r>
            <w:r>
              <w:rPr>
                <w:i/>
              </w:rPr>
              <w:tab/>
            </w:r>
            <w:r>
              <w:t>Seattle, WA</w:t>
            </w:r>
          </w:p>
          <w:p w14:paraId="0CFC87C2" w14:textId="77777777" w:rsidR="003064B6"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3064B6" w14:paraId="59C459C7" w14:textId="77777777">
        <w:trPr>
          <w:trHeight w:val="1350"/>
        </w:trPr>
        <w:tc>
          <w:tcPr>
            <w:tcW w:w="1885" w:type="dxa"/>
            <w:vMerge/>
          </w:tcPr>
          <w:p w14:paraId="0A950F66" w14:textId="77777777" w:rsidR="003064B6" w:rsidRDefault="003064B6">
            <w:pPr>
              <w:pStyle w:val="Heading2"/>
            </w:pPr>
          </w:p>
        </w:tc>
        <w:tc>
          <w:tcPr>
            <w:tcW w:w="270" w:type="dxa"/>
          </w:tcPr>
          <w:p w14:paraId="137C6EEF" w14:textId="77777777" w:rsidR="003064B6" w:rsidRDefault="003064B6"/>
        </w:tc>
        <w:tc>
          <w:tcPr>
            <w:tcW w:w="8550" w:type="dxa"/>
            <w:gridSpan w:val="2"/>
          </w:tcPr>
          <w:p w14:paraId="27B8871D" w14:textId="77777777" w:rsidR="003064B6" w:rsidRDefault="00000000">
            <w:pPr>
              <w:tabs>
                <w:tab w:val="right" w:pos="8160"/>
              </w:tabs>
              <w:rPr>
                <w:u w:val="single"/>
              </w:rPr>
            </w:pPr>
            <w:r>
              <w:rPr>
                <w:b/>
              </w:rPr>
              <w:t>Research Intern</w:t>
            </w:r>
            <w:r>
              <w:tab/>
              <w:t>Apr 2019 – Jun 2019; May 2021 – Aug 2021</w:t>
            </w:r>
          </w:p>
          <w:p w14:paraId="6D243787" w14:textId="77777777" w:rsidR="003064B6" w:rsidRDefault="00000000">
            <w:pPr>
              <w:tabs>
                <w:tab w:val="right" w:pos="8160"/>
              </w:tabs>
            </w:pPr>
            <w:r>
              <w:rPr>
                <w:i/>
              </w:rPr>
              <w:t>IBM Research</w:t>
            </w:r>
            <w:r>
              <w:rPr>
                <w:i/>
              </w:rPr>
              <w:tab/>
              <w:t xml:space="preserve"> </w:t>
            </w:r>
            <w:r>
              <w:t>San Jose, CA</w:t>
            </w:r>
          </w:p>
          <w:p w14:paraId="217327A3" w14:textId="77777777" w:rsidR="003064B6"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3064B6" w14:paraId="2E132648" w14:textId="77777777">
        <w:trPr>
          <w:trHeight w:val="837"/>
        </w:trPr>
        <w:tc>
          <w:tcPr>
            <w:tcW w:w="1885" w:type="dxa"/>
            <w:vMerge/>
          </w:tcPr>
          <w:p w14:paraId="5CB4FEA8" w14:textId="77777777" w:rsidR="003064B6" w:rsidRDefault="003064B6">
            <w:pPr>
              <w:pStyle w:val="Heading2"/>
            </w:pPr>
          </w:p>
        </w:tc>
        <w:tc>
          <w:tcPr>
            <w:tcW w:w="270" w:type="dxa"/>
          </w:tcPr>
          <w:p w14:paraId="269A6B4B" w14:textId="77777777" w:rsidR="003064B6" w:rsidRDefault="003064B6"/>
        </w:tc>
        <w:tc>
          <w:tcPr>
            <w:tcW w:w="8550" w:type="dxa"/>
            <w:gridSpan w:val="2"/>
          </w:tcPr>
          <w:p w14:paraId="0D12E42E" w14:textId="77777777" w:rsidR="003064B6" w:rsidRDefault="00000000">
            <w:pPr>
              <w:tabs>
                <w:tab w:val="right" w:pos="8160"/>
              </w:tabs>
              <w:rPr>
                <w:u w:val="single"/>
              </w:rPr>
            </w:pPr>
            <w:r>
              <w:rPr>
                <w:b/>
              </w:rPr>
              <w:t>Software Engineer Intern</w:t>
            </w:r>
            <w:r>
              <w:tab/>
              <w:t>May 2017 – Aug 2017</w:t>
            </w:r>
          </w:p>
          <w:p w14:paraId="28C87A93" w14:textId="77777777" w:rsidR="003064B6" w:rsidRDefault="00000000">
            <w:pPr>
              <w:tabs>
                <w:tab w:val="right" w:pos="8160"/>
              </w:tabs>
            </w:pPr>
            <w:r>
              <w:rPr>
                <w:i/>
              </w:rPr>
              <w:t>Goldman Sachs Group, Inc.</w:t>
            </w:r>
            <w:r>
              <w:rPr>
                <w:i/>
              </w:rPr>
              <w:tab/>
              <w:t xml:space="preserve"> </w:t>
            </w:r>
            <w:r>
              <w:t>Jersey City, NJ</w:t>
            </w:r>
          </w:p>
        </w:tc>
      </w:tr>
      <w:tr w:rsidR="003064B6" w14:paraId="77210364" w14:textId="77777777">
        <w:trPr>
          <w:trHeight w:val="2934"/>
        </w:trPr>
        <w:tc>
          <w:tcPr>
            <w:tcW w:w="1885" w:type="dxa"/>
            <w:vMerge w:val="restart"/>
          </w:tcPr>
          <w:p w14:paraId="2FB05992" w14:textId="77777777" w:rsidR="003064B6" w:rsidRDefault="00000000">
            <w:pPr>
              <w:pStyle w:val="Heading2"/>
              <w:wordWrap w:val="0"/>
              <w:rPr>
                <w:lang w:eastAsia="zh-CN"/>
              </w:rPr>
            </w:pPr>
            <w:r>
              <w:rPr>
                <w:rFonts w:hint="eastAsia"/>
                <w:lang w:eastAsia="zh-CN"/>
              </w:rPr>
              <w:lastRenderedPageBreak/>
              <w:t xml:space="preserve">PRIMARY </w:t>
            </w:r>
            <w:r>
              <w:rPr>
                <w:rFonts w:hint="eastAsia"/>
                <w:lang w:eastAsia="zh-CN"/>
              </w:rPr>
              <w:br/>
              <w:t>RESEARCH</w:t>
            </w:r>
          </w:p>
        </w:tc>
        <w:tc>
          <w:tcPr>
            <w:tcW w:w="270" w:type="dxa"/>
            <w:vMerge w:val="restart"/>
          </w:tcPr>
          <w:p w14:paraId="1B68FF79" w14:textId="77777777" w:rsidR="003064B6" w:rsidRDefault="003064B6"/>
        </w:tc>
        <w:tc>
          <w:tcPr>
            <w:tcW w:w="8550" w:type="dxa"/>
            <w:gridSpan w:val="2"/>
          </w:tcPr>
          <w:p w14:paraId="261D78BC" w14:textId="77777777" w:rsidR="003064B6" w:rsidRDefault="00000000">
            <w:pPr>
              <w:tabs>
                <w:tab w:val="right" w:pos="8160"/>
              </w:tabs>
              <w:rPr>
                <w:b/>
              </w:rPr>
            </w:pPr>
            <w:r>
              <w:rPr>
                <w:b/>
              </w:rPr>
              <w:t>An Improved Dataset for Entity Tracking</w:t>
            </w:r>
            <w:r>
              <w:rPr>
                <w:b/>
              </w:rPr>
              <w:tab/>
            </w:r>
            <w:r>
              <w:t>Feb 2023 – Present</w:t>
            </w:r>
          </w:p>
          <w:p w14:paraId="53AD8B7A" w14:textId="77777777" w:rsidR="003064B6"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proofErr w:type="gramStart"/>
            <w:r>
              <w:rPr>
                <w:i/>
                <w:iCs/>
                <w:u w:val="single"/>
              </w:rPr>
              <w:t>hot</w:t>
            </w:r>
            <w:proofErr w:type="gramEnd"/>
          </w:p>
          <w:p w14:paraId="43CCB697" w14:textId="77777777" w:rsidR="003064B6" w:rsidRDefault="00000000">
            <w:r>
              <w:rPr>
                <w:i/>
              </w:rPr>
              <w:t>Work done as an intern at AI2, mentored by Dr. Niket Tandon</w:t>
            </w:r>
          </w:p>
          <w:p w14:paraId="1F858E95" w14:textId="77777777" w:rsidR="003064B6" w:rsidRDefault="00000000">
            <w:r>
              <w:t xml:space="preserve">• We propose OpenPI2.0, built upon </w:t>
            </w:r>
            <w:proofErr w:type="spellStart"/>
            <w:r>
              <w:t>OpenPI</w:t>
            </w:r>
            <w:proofErr w:type="spellEnd"/>
            <w:r>
              <w:t>, a dataset for entity tracking, we add two critical annotations: canonicalization and salience.</w:t>
            </w:r>
          </w:p>
          <w:p w14:paraId="61BBA7CB" w14:textId="77777777" w:rsidR="003064B6" w:rsidRDefault="00000000">
            <w:r>
              <w:t>• We show that canonicalization benefits evaluation and that salience benefits downstream tasks such as question answering and classical planning.</w:t>
            </w:r>
          </w:p>
        </w:tc>
      </w:tr>
      <w:tr w:rsidR="003064B6" w14:paraId="00C397A3" w14:textId="77777777">
        <w:trPr>
          <w:trHeight w:val="2808"/>
        </w:trPr>
        <w:tc>
          <w:tcPr>
            <w:tcW w:w="1885" w:type="dxa"/>
            <w:vMerge/>
          </w:tcPr>
          <w:p w14:paraId="488BFBB4" w14:textId="77777777" w:rsidR="003064B6" w:rsidRDefault="003064B6">
            <w:pPr>
              <w:pStyle w:val="Heading2"/>
            </w:pPr>
          </w:p>
        </w:tc>
        <w:tc>
          <w:tcPr>
            <w:tcW w:w="270" w:type="dxa"/>
            <w:vMerge/>
          </w:tcPr>
          <w:p w14:paraId="3D440347" w14:textId="77777777" w:rsidR="003064B6" w:rsidRDefault="003064B6"/>
        </w:tc>
        <w:tc>
          <w:tcPr>
            <w:tcW w:w="8550" w:type="dxa"/>
            <w:gridSpan w:val="2"/>
          </w:tcPr>
          <w:p w14:paraId="753EA14B" w14:textId="77777777" w:rsidR="003064B6" w:rsidRDefault="00000000">
            <w:pPr>
              <w:tabs>
                <w:tab w:val="right" w:pos="8160"/>
              </w:tabs>
              <w:rPr>
                <w:b/>
              </w:rPr>
            </w:pPr>
            <w:r>
              <w:rPr>
                <w:b/>
              </w:rPr>
              <w:t>Language Models Meet Classical Planning</w:t>
            </w:r>
            <w:r>
              <w:rPr>
                <w:b/>
              </w:rPr>
              <w:tab/>
            </w:r>
            <w:r>
              <w:t>Jan 2023 – Present</w:t>
            </w:r>
          </w:p>
          <w:p w14:paraId="7EBEA6AA" w14:textId="77777777" w:rsidR="003064B6" w:rsidRDefault="00000000">
            <w:pPr>
              <w:rPr>
                <w:u w:val="single"/>
              </w:rPr>
            </w:pPr>
            <w:r>
              <w:rPr>
                <w:u w:val="single"/>
              </w:rPr>
              <w:t xml:space="preserve">“Converting wikiHow procedures to planning language </w:t>
            </w:r>
            <w:proofErr w:type="gramStart"/>
            <w:r>
              <w:rPr>
                <w:u w:val="single"/>
              </w:rPr>
              <w:t>representations</w:t>
            </w:r>
            <w:proofErr w:type="gramEnd"/>
            <w:r>
              <w:rPr>
                <w:u w:val="single"/>
              </w:rPr>
              <w:t>”</w:t>
            </w:r>
          </w:p>
          <w:p w14:paraId="730CC1AA" w14:textId="77777777" w:rsidR="003064B6" w:rsidRDefault="00000000">
            <w:r>
              <w:rPr>
                <w:i/>
              </w:rPr>
              <w:t xml:space="preserve">Advised by Prof. Chris Callison-Burch, in collaboration with </w:t>
            </w:r>
            <w:proofErr w:type="gramStart"/>
            <w:r>
              <w:rPr>
                <w:i/>
              </w:rPr>
              <w:t>AI2</w:t>
            </w:r>
            <w:proofErr w:type="gramEnd"/>
          </w:p>
          <w:p w14:paraId="4B6E84FA" w14:textId="77777777" w:rsidR="003064B6" w:rsidRDefault="00000000">
            <w:r>
              <w:t>• We are concerned with translating natural language descriptions of an environment and a task to a structured representation in the PDDL language, using language models.</w:t>
            </w:r>
          </w:p>
          <w:p w14:paraId="69F04C26" w14:textId="77777777" w:rsidR="003064B6" w:rsidRDefault="00000000">
            <w:r>
              <w:t>• A successful translation is not only semantically reasonable, but also allows search-based planners to find a plan accordingly.</w:t>
            </w:r>
          </w:p>
          <w:p w14:paraId="42A64C22" w14:textId="77777777" w:rsidR="003064B6" w:rsidRDefault="00000000">
            <w:pPr>
              <w:rPr>
                <w:b/>
              </w:rPr>
            </w:pPr>
            <w:r>
              <w:t xml:space="preserve">• The symbolic nature of the task challenges language models to plan in open domains in an interpretable and grounded manner. </w:t>
            </w:r>
          </w:p>
        </w:tc>
      </w:tr>
      <w:tr w:rsidR="003064B6" w14:paraId="0F0DD07B" w14:textId="77777777">
        <w:trPr>
          <w:trHeight w:val="2880"/>
        </w:trPr>
        <w:tc>
          <w:tcPr>
            <w:tcW w:w="1885" w:type="dxa"/>
            <w:vMerge/>
          </w:tcPr>
          <w:p w14:paraId="6A9CEF2D" w14:textId="77777777" w:rsidR="003064B6" w:rsidRDefault="003064B6">
            <w:pPr>
              <w:pStyle w:val="Heading2"/>
            </w:pPr>
          </w:p>
        </w:tc>
        <w:tc>
          <w:tcPr>
            <w:tcW w:w="270" w:type="dxa"/>
            <w:vMerge/>
          </w:tcPr>
          <w:p w14:paraId="21907C93" w14:textId="77777777" w:rsidR="003064B6" w:rsidRDefault="003064B6"/>
        </w:tc>
        <w:tc>
          <w:tcPr>
            <w:tcW w:w="8550" w:type="dxa"/>
            <w:gridSpan w:val="2"/>
          </w:tcPr>
          <w:p w14:paraId="3F07CF92" w14:textId="77777777" w:rsidR="003064B6"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3064B6" w:rsidRDefault="00000000">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4F8ACBDA" w14:textId="77777777" w:rsidR="003064B6" w:rsidRDefault="00000000">
            <w:r>
              <w:rPr>
                <w:i/>
              </w:rPr>
              <w:t>Advised by Prof. Chris Callison-Burch</w:t>
            </w:r>
          </w:p>
          <w:p w14:paraId="1ABB3D85" w14:textId="77777777" w:rsidR="003064B6" w:rsidRDefault="00000000">
            <w:r>
              <w:t>• Entities rapidly change in procedures; reasoning about state changes is important.</w:t>
            </w:r>
          </w:p>
          <w:p w14:paraId="1C33CA32" w14:textId="77777777" w:rsidR="003064B6" w:rsidRDefault="00000000">
            <w:r>
              <w:t>• We propose a dataset for challenging entity tracking in procedures.</w:t>
            </w:r>
          </w:p>
          <w:p w14:paraId="09E0A075" w14:textId="77777777" w:rsidR="003064B6" w:rsidRDefault="00000000">
            <w:r>
              <w:t>• Our dataset also includes multi-hop reasoning questions based on the entity states to test models’ ability to apply entity tracking in realistic question answering.</w:t>
            </w:r>
          </w:p>
          <w:p w14:paraId="09785624" w14:textId="77777777" w:rsidR="003064B6" w:rsidRDefault="00000000">
            <w:r>
              <w:t>• Pre-trained large language models fail on our task except GPT3 and Codex.</w:t>
            </w:r>
          </w:p>
          <w:p w14:paraId="688D47F1" w14:textId="77777777" w:rsidR="003064B6" w:rsidRDefault="00000000">
            <w:pPr>
              <w:tabs>
                <w:tab w:val="right" w:pos="8160"/>
              </w:tabs>
              <w:rPr>
                <w:b/>
              </w:rPr>
            </w:pPr>
            <w:r>
              <w:t>• We use chain-of-thought reasoning to improve model performance.</w:t>
            </w:r>
          </w:p>
        </w:tc>
      </w:tr>
      <w:tr w:rsidR="003064B6" w14:paraId="49E24F02" w14:textId="77777777">
        <w:trPr>
          <w:trHeight w:val="3060"/>
        </w:trPr>
        <w:tc>
          <w:tcPr>
            <w:tcW w:w="1885" w:type="dxa"/>
            <w:vMerge/>
          </w:tcPr>
          <w:p w14:paraId="2003AFB0" w14:textId="77777777" w:rsidR="003064B6" w:rsidRDefault="003064B6">
            <w:pPr>
              <w:pStyle w:val="Heading2"/>
            </w:pPr>
          </w:p>
        </w:tc>
        <w:tc>
          <w:tcPr>
            <w:tcW w:w="270" w:type="dxa"/>
            <w:vMerge/>
          </w:tcPr>
          <w:p w14:paraId="4877C4D5" w14:textId="77777777" w:rsidR="003064B6" w:rsidRDefault="003064B6"/>
        </w:tc>
        <w:tc>
          <w:tcPr>
            <w:tcW w:w="8550" w:type="dxa"/>
            <w:gridSpan w:val="2"/>
          </w:tcPr>
          <w:p w14:paraId="35C70DAD" w14:textId="77777777" w:rsidR="003064B6"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306467B6" w14:textId="77777777" w:rsidR="003064B6" w:rsidRDefault="00000000">
            <w:pPr>
              <w:rPr>
                <w:u w:val="single"/>
              </w:rPr>
            </w:pPr>
            <w:r>
              <w:rPr>
                <w:u w:val="single"/>
              </w:rPr>
              <w:t xml:space="preserve">User: “Add baking soda and vinegar to my list.” Intent: “Cleaning; less likely cooking.” </w:t>
            </w:r>
          </w:p>
          <w:p w14:paraId="16EB7DFF" w14:textId="77777777" w:rsidR="003064B6" w:rsidRDefault="00000000">
            <w:r>
              <w:rPr>
                <w:i/>
              </w:rPr>
              <w:t>Advised by Prof. Chris Callison-Burch</w:t>
            </w:r>
          </w:p>
          <w:p w14:paraId="634D610C" w14:textId="77777777" w:rsidR="003064B6" w:rsidRDefault="00000000">
            <w:r>
              <w:t>• An important component of dialog systems is detecting intent from utterances.</w:t>
            </w:r>
          </w:p>
          <w:p w14:paraId="2A90F927" w14:textId="77777777" w:rsidR="003064B6" w:rsidRDefault="00000000">
            <w:r>
              <w:t xml:space="preserve">• As intents are </w:t>
            </w:r>
            <w:proofErr w:type="gramStart"/>
            <w:r>
              <w:t>similar to</w:t>
            </w:r>
            <w:proofErr w:type="gramEnd"/>
            <w:r>
              <w:t xml:space="preserve"> goals, our models with procedural knowledge achieve state-of-the-art performances on several, multilingual benchmarks.</w:t>
            </w:r>
          </w:p>
          <w:p w14:paraId="16B3274F" w14:textId="77777777" w:rsidR="003064B6" w:rsidRDefault="00000000">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1F7C8E1" w14:textId="77777777" w:rsidR="003064B6" w:rsidRDefault="00000000">
            <w:pPr>
              <w:rPr>
                <w:b/>
              </w:rPr>
            </w:pPr>
            <w:r>
              <w:t>• Our dialog system is powered by a mixture of large language models and rule-based models, ending up in the semi-finals.</w:t>
            </w:r>
          </w:p>
        </w:tc>
      </w:tr>
      <w:tr w:rsidR="003064B6" w14:paraId="522DA0C5" w14:textId="77777777">
        <w:trPr>
          <w:trHeight w:val="2879"/>
        </w:trPr>
        <w:tc>
          <w:tcPr>
            <w:tcW w:w="1885" w:type="dxa"/>
            <w:vMerge/>
          </w:tcPr>
          <w:p w14:paraId="09FDCF87" w14:textId="77777777" w:rsidR="003064B6" w:rsidRDefault="003064B6">
            <w:pPr>
              <w:pStyle w:val="Heading2"/>
            </w:pPr>
          </w:p>
        </w:tc>
        <w:tc>
          <w:tcPr>
            <w:tcW w:w="270" w:type="dxa"/>
            <w:vMerge/>
          </w:tcPr>
          <w:p w14:paraId="690F32AD" w14:textId="77777777" w:rsidR="003064B6" w:rsidRDefault="003064B6"/>
        </w:tc>
        <w:tc>
          <w:tcPr>
            <w:tcW w:w="8550" w:type="dxa"/>
            <w:gridSpan w:val="2"/>
          </w:tcPr>
          <w:p w14:paraId="0717FF60" w14:textId="77777777" w:rsidR="003064B6" w:rsidRDefault="00000000">
            <w:pPr>
              <w:tabs>
                <w:tab w:val="right" w:pos="8160"/>
              </w:tabs>
              <w:rPr>
                <w:b/>
              </w:rPr>
            </w:pPr>
            <w:r>
              <w:rPr>
                <w:b/>
              </w:rPr>
              <w:t>Hierarchical Relations of Events</w:t>
            </w:r>
            <w:r>
              <w:rPr>
                <w:b/>
                <w:vertAlign w:val="superscript"/>
              </w:rPr>
              <w:t xml:space="preserve"> [10]</w:t>
            </w:r>
            <w:r>
              <w:rPr>
                <w:b/>
              </w:rPr>
              <w:tab/>
            </w:r>
            <w:r>
              <w:t>Jan 2021 – Sept 2021</w:t>
            </w:r>
          </w:p>
          <w:p w14:paraId="3EACC843" w14:textId="77777777" w:rsidR="003064B6" w:rsidRDefault="00000000">
            <w:pPr>
              <w:rPr>
                <w:u w:val="single"/>
              </w:rPr>
            </w:pPr>
            <w:r>
              <w:rPr>
                <w:u w:val="single"/>
              </w:rPr>
              <w:t>To “host a party”, one needs to “clean the house”; to do so, one needs to “</w:t>
            </w:r>
            <w:proofErr w:type="gramStart"/>
            <w:r>
              <w:rPr>
                <w:u w:val="single"/>
              </w:rPr>
              <w:t>vacuum</w:t>
            </w:r>
            <w:proofErr w:type="gramEnd"/>
            <w:r>
              <w:rPr>
                <w:u w:val="single"/>
              </w:rPr>
              <w:t>”</w:t>
            </w:r>
          </w:p>
          <w:p w14:paraId="058B89A3" w14:textId="77777777" w:rsidR="003064B6" w:rsidRDefault="00000000">
            <w:r>
              <w:rPr>
                <w:i/>
              </w:rPr>
              <w:t>Advised by Prof. Chris Callison-Burch and Prof. Graham Neubig</w:t>
            </w:r>
          </w:p>
          <w:p w14:paraId="552BD6C7" w14:textId="77777777" w:rsidR="003064B6" w:rsidRDefault="00000000">
            <w:r>
              <w:t>• A goal has steps, each of which in turn can itself be a sub-goal with some sub-steps.</w:t>
            </w:r>
          </w:p>
          <w:p w14:paraId="0DDB82B6" w14:textId="77777777" w:rsidR="003064B6" w:rsidRDefault="00000000">
            <w:r>
              <w:t>• Event hierarchy can decompose steps and provide information upon request.</w:t>
            </w:r>
          </w:p>
          <w:p w14:paraId="3932419B" w14:textId="77777777" w:rsidR="003064B6" w:rsidRDefault="00000000">
            <w:r>
              <w:t>• We link steps to other wikiHow articles with high precision and recall by exploring various approaches based on semantic similarity, allowing for hierarchical lookups.</w:t>
            </w:r>
          </w:p>
          <w:p w14:paraId="580BA7B5" w14:textId="77777777" w:rsidR="003064B6" w:rsidRDefault="00000000">
            <w:r>
              <w:t xml:space="preserve">• Our hierarchy is shown via crowdsourcing to help users accomplish tasks and improves performance in downstream tasks such as video retrieval. </w:t>
            </w:r>
          </w:p>
        </w:tc>
      </w:tr>
      <w:tr w:rsidR="003064B6" w14:paraId="45814DDE" w14:textId="77777777">
        <w:trPr>
          <w:trHeight w:val="3798"/>
        </w:trPr>
        <w:tc>
          <w:tcPr>
            <w:tcW w:w="1885" w:type="dxa"/>
          </w:tcPr>
          <w:p w14:paraId="3B7D937D" w14:textId="77777777" w:rsidR="003064B6" w:rsidRDefault="003064B6">
            <w:pPr>
              <w:pStyle w:val="Heading2"/>
            </w:pPr>
          </w:p>
        </w:tc>
        <w:tc>
          <w:tcPr>
            <w:tcW w:w="270" w:type="dxa"/>
          </w:tcPr>
          <w:p w14:paraId="5B8FE7CB" w14:textId="77777777" w:rsidR="003064B6" w:rsidRDefault="003064B6"/>
        </w:tc>
        <w:tc>
          <w:tcPr>
            <w:tcW w:w="8550" w:type="dxa"/>
            <w:gridSpan w:val="2"/>
          </w:tcPr>
          <w:p w14:paraId="3ABC383A" w14:textId="77777777" w:rsidR="003064B6"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61C5EEF9" w14:textId="77777777" w:rsidR="003064B6" w:rsidRDefault="00000000">
            <w:pPr>
              <w:rPr>
                <w:u w:val="single"/>
              </w:rPr>
            </w:pPr>
            <w:r>
              <w:rPr>
                <w:u w:val="single"/>
              </w:rPr>
              <w:t xml:space="preserve">“Hire an attorney” is a step of a “lawsuit”; so is “appear at court”, which happens </w:t>
            </w:r>
            <w:proofErr w:type="gramStart"/>
            <w:r>
              <w:rPr>
                <w:u w:val="single"/>
              </w:rPr>
              <w:t>later</w:t>
            </w:r>
            <w:proofErr w:type="gramEnd"/>
          </w:p>
          <w:p w14:paraId="016DA180" w14:textId="77777777" w:rsidR="003064B6" w:rsidRDefault="00000000">
            <w:r>
              <w:rPr>
                <w:i/>
              </w:rPr>
              <w:t xml:space="preserve">Advised by Prof. Chris Callison-Burch, part of the DARPA KAIROS </w:t>
            </w:r>
            <w:proofErr w:type="gramStart"/>
            <w:r>
              <w:rPr>
                <w:i/>
              </w:rPr>
              <w:t>project</w:t>
            </w:r>
            <w:proofErr w:type="gramEnd"/>
          </w:p>
          <w:p w14:paraId="65D95336" w14:textId="77777777" w:rsidR="003064B6" w:rsidRDefault="00000000">
            <w:r>
              <w:t>• A procedure consists of a goal and a series of steps, which may be ordered.</w:t>
            </w:r>
          </w:p>
          <w:p w14:paraId="5D5A22CC" w14:textId="77777777" w:rsidR="003064B6" w:rsidRDefault="00000000">
            <w:r>
              <w:t>• Goal-step and step-step temporal relations are important knowledge for human-centered AI systems, especially for task-oriented dialog systems.</w:t>
            </w:r>
          </w:p>
          <w:p w14:paraId="65F5CBCA" w14:textId="77777777" w:rsidR="003064B6" w:rsidRDefault="00000000">
            <w:r>
              <w:t>• We collect procedure data to-scale from the how-to website wikiHow for model training and curate a high-quality evaluation benchmark.</w:t>
            </w:r>
          </w:p>
          <w:p w14:paraId="219802DD" w14:textId="77777777" w:rsidR="003064B6" w:rsidRDefault="00000000">
            <w:r>
              <w:t>• Models pre-trained with our data show strong zero- and few-shot performance on various other tasks, such as story completion, intent detection, and event prediction.</w:t>
            </w:r>
          </w:p>
          <w:p w14:paraId="5FB2A323" w14:textId="77777777" w:rsidR="003064B6" w:rsidRDefault="00000000">
            <w:r>
              <w:t xml:space="preserve">• Similarly, our models can learn to reason about goals and steps represented as </w:t>
            </w:r>
            <w:proofErr w:type="gramStart"/>
            <w:r>
              <w:t>image</w:t>
            </w:r>
            <w:proofErr w:type="gramEnd"/>
            <w:r>
              <w:t>.</w:t>
            </w:r>
          </w:p>
          <w:p w14:paraId="63296129" w14:textId="77777777" w:rsidR="003064B6" w:rsidRDefault="00000000">
            <w:pPr>
              <w:tabs>
                <w:tab w:val="right" w:pos="8160"/>
              </w:tabs>
              <w:rPr>
                <w:b/>
              </w:rPr>
            </w:pPr>
            <w:r>
              <w:t>• Our multimodal models show strong transfer performance on tasks like video retrieval.</w:t>
            </w:r>
          </w:p>
        </w:tc>
      </w:tr>
      <w:tr w:rsidR="003064B6" w14:paraId="176A4E7B" w14:textId="77777777">
        <w:trPr>
          <w:trHeight w:val="278"/>
        </w:trPr>
        <w:tc>
          <w:tcPr>
            <w:tcW w:w="1885" w:type="dxa"/>
          </w:tcPr>
          <w:p w14:paraId="0C950DAD" w14:textId="77777777" w:rsidR="003064B6" w:rsidRDefault="003064B6">
            <w:pPr>
              <w:pStyle w:val="Heading2"/>
            </w:pPr>
          </w:p>
        </w:tc>
        <w:tc>
          <w:tcPr>
            <w:tcW w:w="270" w:type="dxa"/>
          </w:tcPr>
          <w:p w14:paraId="4D3A5906" w14:textId="77777777" w:rsidR="003064B6" w:rsidRDefault="003064B6"/>
        </w:tc>
        <w:tc>
          <w:tcPr>
            <w:tcW w:w="8550" w:type="dxa"/>
            <w:gridSpan w:val="2"/>
          </w:tcPr>
          <w:p w14:paraId="52761757" w14:textId="77777777" w:rsidR="003064B6" w:rsidRDefault="00000000">
            <w:pPr>
              <w:tabs>
                <w:tab w:val="right" w:pos="8160"/>
              </w:tabs>
              <w:rPr>
                <w:bCs/>
                <w:i/>
                <w:iCs/>
              </w:rPr>
            </w:pPr>
            <w:r>
              <w:rPr>
                <w:bCs/>
                <w:i/>
                <w:iCs/>
              </w:rPr>
              <w:t>See more projects at the end of this CV.</w:t>
            </w:r>
          </w:p>
        </w:tc>
      </w:tr>
      <w:tr w:rsidR="003064B6" w14:paraId="3EE530BC" w14:textId="77777777">
        <w:trPr>
          <w:trHeight w:val="43"/>
        </w:trPr>
        <w:tc>
          <w:tcPr>
            <w:tcW w:w="1885" w:type="dxa"/>
          </w:tcPr>
          <w:p w14:paraId="64519169" w14:textId="77777777" w:rsidR="003064B6" w:rsidRDefault="003064B6">
            <w:pPr>
              <w:pStyle w:val="Heading2"/>
            </w:pPr>
          </w:p>
        </w:tc>
        <w:tc>
          <w:tcPr>
            <w:tcW w:w="270" w:type="dxa"/>
          </w:tcPr>
          <w:p w14:paraId="284442FC" w14:textId="77777777" w:rsidR="003064B6" w:rsidRDefault="003064B6"/>
        </w:tc>
        <w:tc>
          <w:tcPr>
            <w:tcW w:w="8550" w:type="dxa"/>
            <w:gridSpan w:val="2"/>
          </w:tcPr>
          <w:p w14:paraId="5DCA8F38" w14:textId="77777777" w:rsidR="003064B6" w:rsidRDefault="003064B6">
            <w:pPr>
              <w:tabs>
                <w:tab w:val="right" w:pos="8160"/>
              </w:tabs>
              <w:rPr>
                <w:b/>
              </w:rPr>
            </w:pPr>
          </w:p>
        </w:tc>
      </w:tr>
      <w:tr w:rsidR="003064B6" w14:paraId="22F9D14C" w14:textId="77777777">
        <w:trPr>
          <w:trHeight w:val="674"/>
        </w:trPr>
        <w:tc>
          <w:tcPr>
            <w:tcW w:w="1885" w:type="dxa"/>
            <w:vMerge w:val="restart"/>
          </w:tcPr>
          <w:p w14:paraId="798B6A85" w14:textId="77777777" w:rsidR="003064B6" w:rsidRDefault="00000000">
            <w:pPr>
              <w:pStyle w:val="Heading2"/>
            </w:pPr>
            <w:r>
              <w:t>ACADEMIC SERVICE</w:t>
            </w:r>
          </w:p>
        </w:tc>
        <w:tc>
          <w:tcPr>
            <w:tcW w:w="270" w:type="dxa"/>
            <w:vMerge w:val="restart"/>
          </w:tcPr>
          <w:p w14:paraId="7482626E" w14:textId="77777777" w:rsidR="003064B6" w:rsidRDefault="003064B6"/>
        </w:tc>
        <w:tc>
          <w:tcPr>
            <w:tcW w:w="8550" w:type="dxa"/>
            <w:gridSpan w:val="2"/>
          </w:tcPr>
          <w:p w14:paraId="49070860" w14:textId="77777777" w:rsidR="003064B6" w:rsidRDefault="00000000">
            <w:pPr>
              <w:tabs>
                <w:tab w:val="right" w:pos="8160"/>
              </w:tabs>
              <w:rPr>
                <w:b/>
              </w:rPr>
            </w:pPr>
            <w:r>
              <w:rPr>
                <w:b/>
              </w:rPr>
              <w:t>Chair</w:t>
            </w:r>
            <w:r>
              <w:rPr>
                <w:b/>
              </w:rPr>
              <w:tab/>
            </w:r>
          </w:p>
          <w:p w14:paraId="2DD932CD" w14:textId="77777777" w:rsidR="003064B6" w:rsidRDefault="00000000">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3064B6"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3064B6" w:rsidRDefault="00000000">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3064B6" w14:paraId="6AC2A69B" w14:textId="77777777">
        <w:trPr>
          <w:trHeight w:val="1188"/>
        </w:trPr>
        <w:tc>
          <w:tcPr>
            <w:tcW w:w="1885" w:type="dxa"/>
            <w:vMerge/>
          </w:tcPr>
          <w:p w14:paraId="64DF1DF9" w14:textId="77777777" w:rsidR="003064B6" w:rsidRDefault="003064B6">
            <w:pPr>
              <w:pStyle w:val="Heading2"/>
            </w:pPr>
          </w:p>
        </w:tc>
        <w:tc>
          <w:tcPr>
            <w:tcW w:w="270" w:type="dxa"/>
            <w:vMerge/>
          </w:tcPr>
          <w:p w14:paraId="5E8DB4FB" w14:textId="77777777" w:rsidR="003064B6" w:rsidRDefault="003064B6"/>
        </w:tc>
        <w:tc>
          <w:tcPr>
            <w:tcW w:w="8550" w:type="dxa"/>
            <w:gridSpan w:val="2"/>
          </w:tcPr>
          <w:p w14:paraId="7D64E955" w14:textId="77777777" w:rsidR="003064B6" w:rsidRDefault="00000000">
            <w:pPr>
              <w:tabs>
                <w:tab w:val="right" w:pos="8160"/>
              </w:tabs>
              <w:rPr>
                <w:b/>
                <w:lang w:eastAsia="zh-CN"/>
              </w:rPr>
            </w:pPr>
            <w:r>
              <w:rPr>
                <w:rFonts w:hint="eastAsia"/>
                <w:b/>
                <w:lang w:eastAsia="zh-CN"/>
              </w:rPr>
              <w:t>Reviewer</w:t>
            </w:r>
          </w:p>
          <w:p w14:paraId="23584E27" w14:textId="77777777" w:rsidR="003064B6"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3064B6" w:rsidRDefault="00000000">
            <w:pPr>
              <w:tabs>
                <w:tab w:val="right" w:pos="8160"/>
              </w:tabs>
            </w:pPr>
            <w:r>
              <w:t>• Association of Computational Linguistics (ACL)</w:t>
            </w:r>
            <w:r>
              <w:tab/>
              <w:t>2023</w:t>
            </w:r>
          </w:p>
          <w:p w14:paraId="5826E951" w14:textId="77777777" w:rsidR="003064B6" w:rsidRDefault="00000000">
            <w:pPr>
              <w:tabs>
                <w:tab w:val="right" w:pos="8160"/>
              </w:tabs>
            </w:pPr>
            <w:r>
              <w:t>• International Conference on Computational Linguistics (COLING)</w:t>
            </w:r>
            <w:r>
              <w:tab/>
              <w:t>2022</w:t>
            </w:r>
          </w:p>
          <w:p w14:paraId="67D1A1F7" w14:textId="77777777" w:rsidR="003064B6" w:rsidRDefault="00000000">
            <w:pPr>
              <w:tabs>
                <w:tab w:val="right" w:pos="8160"/>
              </w:tabs>
            </w:pPr>
            <w:r>
              <w:t>• International Conference on Language Resources and Evaluation (LREC)</w:t>
            </w:r>
            <w:r>
              <w:tab/>
              <w:t>2022</w:t>
            </w:r>
          </w:p>
          <w:p w14:paraId="703F5CE4" w14:textId="77777777" w:rsidR="003064B6" w:rsidRDefault="00000000">
            <w:pPr>
              <w:tabs>
                <w:tab w:val="right" w:pos="8160"/>
              </w:tabs>
            </w:pPr>
            <w:r>
              <w:t>• Association of Computational Linguistics Rolling Review (ARR)</w:t>
            </w:r>
            <w:r>
              <w:tab/>
              <w:t>2021 - Present</w:t>
            </w:r>
          </w:p>
          <w:p w14:paraId="49DB80B4" w14:textId="77777777" w:rsidR="003064B6" w:rsidRDefault="00000000">
            <w:pPr>
              <w:tabs>
                <w:tab w:val="right" w:pos="8160"/>
              </w:tabs>
            </w:pPr>
            <w:r>
              <w:t>• International Conference on Computational Linguistics (COLING)</w:t>
            </w:r>
            <w:r>
              <w:tab/>
              <w:t>2020</w:t>
            </w:r>
          </w:p>
          <w:p w14:paraId="04E54632" w14:textId="77777777" w:rsidR="003064B6" w:rsidRDefault="00000000">
            <w:pPr>
              <w:tabs>
                <w:tab w:val="right" w:pos="8160"/>
              </w:tabs>
              <w:rPr>
                <w:b/>
              </w:rPr>
            </w:pPr>
            <w:r>
              <w:t xml:space="preserve">• Computer Speech and Language (CSL) journal.   </w:t>
            </w:r>
            <w:r>
              <w:tab/>
              <w:t>2018</w:t>
            </w:r>
          </w:p>
        </w:tc>
      </w:tr>
      <w:tr w:rsidR="003064B6" w14:paraId="2661DCE8" w14:textId="77777777">
        <w:trPr>
          <w:trHeight w:val="378"/>
        </w:trPr>
        <w:tc>
          <w:tcPr>
            <w:tcW w:w="1885" w:type="dxa"/>
          </w:tcPr>
          <w:p w14:paraId="487E7C39" w14:textId="77777777" w:rsidR="003064B6" w:rsidRDefault="00000000">
            <w:pPr>
              <w:pStyle w:val="Heading2"/>
            </w:pPr>
            <w:r>
              <w:t>MENTORSHIP</w:t>
            </w:r>
          </w:p>
        </w:tc>
        <w:tc>
          <w:tcPr>
            <w:tcW w:w="270" w:type="dxa"/>
          </w:tcPr>
          <w:p w14:paraId="37707079" w14:textId="77777777" w:rsidR="003064B6" w:rsidRDefault="003064B6"/>
        </w:tc>
        <w:tc>
          <w:tcPr>
            <w:tcW w:w="8550" w:type="dxa"/>
            <w:gridSpan w:val="2"/>
          </w:tcPr>
          <w:p w14:paraId="6F979CA8" w14:textId="77777777" w:rsidR="003064B6" w:rsidRDefault="00000000">
            <w:pPr>
              <w:tabs>
                <w:tab w:val="right" w:pos="8160"/>
              </w:tabs>
            </w:pPr>
            <w:r>
              <w:t>During my years as a PhD student, I mentored the following master students.</w:t>
            </w:r>
          </w:p>
        </w:tc>
      </w:tr>
      <w:tr w:rsidR="003064B6" w14:paraId="4A037C81" w14:textId="77777777">
        <w:trPr>
          <w:trHeight w:val="1358"/>
        </w:trPr>
        <w:tc>
          <w:tcPr>
            <w:tcW w:w="1885" w:type="dxa"/>
          </w:tcPr>
          <w:p w14:paraId="13647E23" w14:textId="77777777" w:rsidR="003064B6" w:rsidRDefault="003064B6">
            <w:pPr>
              <w:pStyle w:val="Heading2"/>
            </w:pPr>
          </w:p>
        </w:tc>
        <w:tc>
          <w:tcPr>
            <w:tcW w:w="270" w:type="dxa"/>
          </w:tcPr>
          <w:p w14:paraId="1147ADA1" w14:textId="77777777" w:rsidR="003064B6" w:rsidRDefault="003064B6"/>
        </w:tc>
        <w:tc>
          <w:tcPr>
            <w:tcW w:w="8550" w:type="dxa"/>
            <w:gridSpan w:val="2"/>
          </w:tcPr>
          <w:p w14:paraId="05DCB3B6" w14:textId="77777777" w:rsidR="003064B6" w:rsidRDefault="00000000">
            <w:pPr>
              <w:tabs>
                <w:tab w:val="right" w:pos="8160"/>
              </w:tabs>
            </w:pPr>
            <w:proofErr w:type="spellStart"/>
            <w:r>
              <w:rPr>
                <w:b/>
              </w:rPr>
              <w:t>Hainiu</w:t>
            </w:r>
            <w:proofErr w:type="spellEnd"/>
            <w:r>
              <w:rPr>
                <w:b/>
              </w:rPr>
              <w:t xml:space="preserve"> Xu</w:t>
            </w:r>
            <w:r>
              <w:rPr>
                <w:b/>
              </w:rPr>
              <w:tab/>
            </w:r>
            <w:r>
              <w:t>May 2022 – May 2023</w:t>
            </w:r>
          </w:p>
          <w:p w14:paraId="7EE705C2" w14:textId="77777777" w:rsidR="003064B6" w:rsidRDefault="00000000">
            <w:pPr>
              <w:tabs>
                <w:tab w:val="right" w:pos="8160"/>
              </w:tabs>
            </w:pPr>
            <w:r>
              <w:t>• Published 2 co-first-author papers and 2 non-first paper</w:t>
            </w:r>
          </w:p>
          <w:p w14:paraId="7FD4EFF7" w14:textId="77777777" w:rsidR="003064B6" w:rsidRDefault="00000000">
            <w:pPr>
              <w:tabs>
                <w:tab w:val="right" w:pos="8160"/>
              </w:tabs>
            </w:pPr>
            <w:r>
              <w:t xml:space="preserve">• Won the 2023 Penn Engineering </w:t>
            </w:r>
            <w:proofErr w:type="gramStart"/>
            <w:r>
              <w:t>Master’s</w:t>
            </w:r>
            <w:proofErr w:type="gramEnd"/>
            <w:r>
              <w:t xml:space="preserve"> Outstanding Research Award</w:t>
            </w:r>
          </w:p>
          <w:p w14:paraId="2706C6C0" w14:textId="77777777" w:rsidR="003064B6" w:rsidRDefault="00000000">
            <w:pPr>
              <w:tabs>
                <w:tab w:val="right" w:pos="8160"/>
              </w:tabs>
              <w:rPr>
                <w:b/>
              </w:rPr>
            </w:pPr>
            <w:r>
              <w:t>• Accepted to PhD programs at the University of Edinburgh and King's College London</w:t>
            </w:r>
          </w:p>
        </w:tc>
      </w:tr>
      <w:tr w:rsidR="003064B6" w14:paraId="3AE5CF1A" w14:textId="77777777">
        <w:trPr>
          <w:trHeight w:val="1070"/>
        </w:trPr>
        <w:tc>
          <w:tcPr>
            <w:tcW w:w="1885" w:type="dxa"/>
          </w:tcPr>
          <w:p w14:paraId="02CC4905" w14:textId="77777777" w:rsidR="003064B6" w:rsidRDefault="003064B6">
            <w:pPr>
              <w:pStyle w:val="Heading2"/>
            </w:pPr>
          </w:p>
        </w:tc>
        <w:tc>
          <w:tcPr>
            <w:tcW w:w="270" w:type="dxa"/>
          </w:tcPr>
          <w:p w14:paraId="7219E45C" w14:textId="77777777" w:rsidR="003064B6" w:rsidRDefault="003064B6"/>
        </w:tc>
        <w:tc>
          <w:tcPr>
            <w:tcW w:w="8550" w:type="dxa"/>
            <w:gridSpan w:val="2"/>
          </w:tcPr>
          <w:p w14:paraId="665A8952" w14:textId="77777777" w:rsidR="003064B6" w:rsidRDefault="00000000">
            <w:pPr>
              <w:tabs>
                <w:tab w:val="right" w:pos="8160"/>
              </w:tabs>
            </w:pPr>
            <w:proofErr w:type="spellStart"/>
            <w:r>
              <w:rPr>
                <w:b/>
              </w:rPr>
              <w:t>Zhaoyi</w:t>
            </w:r>
            <w:proofErr w:type="spellEnd"/>
            <w:r>
              <w:rPr>
                <w:b/>
              </w:rPr>
              <w:t xml:space="preserve"> Hou</w:t>
            </w:r>
            <w:r>
              <w:rPr>
                <w:b/>
              </w:rPr>
              <w:tab/>
            </w:r>
            <w:r>
              <w:t>Jan 2022 – May 2023</w:t>
            </w:r>
          </w:p>
          <w:p w14:paraId="3A52EEEC" w14:textId="77777777" w:rsidR="003064B6" w:rsidRDefault="00000000">
            <w:pPr>
              <w:tabs>
                <w:tab w:val="right" w:pos="8160"/>
              </w:tabs>
            </w:pPr>
            <w:r>
              <w:t>• Published 1 first-author paper and 1 non-first paper</w:t>
            </w:r>
          </w:p>
          <w:p w14:paraId="1AA4AF4D" w14:textId="77777777" w:rsidR="003064B6" w:rsidRDefault="00000000">
            <w:pPr>
              <w:tabs>
                <w:tab w:val="right" w:pos="8160"/>
              </w:tabs>
            </w:pPr>
            <w:r>
              <w:t>• Accepted to PhD programs at Pittsburg University and the University of Texas in Dallas</w:t>
            </w:r>
          </w:p>
        </w:tc>
      </w:tr>
      <w:tr w:rsidR="003064B6" w14:paraId="6DEE3090" w14:textId="77777777">
        <w:trPr>
          <w:trHeight w:val="1070"/>
        </w:trPr>
        <w:tc>
          <w:tcPr>
            <w:tcW w:w="1885" w:type="dxa"/>
          </w:tcPr>
          <w:p w14:paraId="1D46DFC8" w14:textId="77777777" w:rsidR="003064B6" w:rsidRDefault="003064B6">
            <w:pPr>
              <w:pStyle w:val="Heading2"/>
            </w:pPr>
          </w:p>
        </w:tc>
        <w:tc>
          <w:tcPr>
            <w:tcW w:w="270" w:type="dxa"/>
          </w:tcPr>
          <w:p w14:paraId="4303AC23" w14:textId="77777777" w:rsidR="003064B6" w:rsidRDefault="003064B6"/>
        </w:tc>
        <w:tc>
          <w:tcPr>
            <w:tcW w:w="8550" w:type="dxa"/>
            <w:gridSpan w:val="2"/>
          </w:tcPr>
          <w:p w14:paraId="7EEF8231" w14:textId="77777777" w:rsidR="003064B6" w:rsidRDefault="00000000">
            <w:pPr>
              <w:tabs>
                <w:tab w:val="right" w:pos="8160"/>
              </w:tabs>
            </w:pPr>
            <w:r>
              <w:rPr>
                <w:b/>
              </w:rPr>
              <w:t>Young Min Cho</w:t>
            </w:r>
            <w:r>
              <w:rPr>
                <w:b/>
              </w:rPr>
              <w:tab/>
            </w:r>
            <w:r>
              <w:t>Oct 2021 – May 2022</w:t>
            </w:r>
          </w:p>
          <w:p w14:paraId="45629CF1" w14:textId="77777777" w:rsidR="003064B6" w:rsidRDefault="00000000">
            <w:pPr>
              <w:tabs>
                <w:tab w:val="right" w:pos="8160"/>
              </w:tabs>
            </w:pPr>
            <w:r>
              <w:t>• Published 1 first-author paper</w:t>
            </w:r>
          </w:p>
          <w:p w14:paraId="732BAF3A" w14:textId="77777777" w:rsidR="003064B6" w:rsidRDefault="00000000">
            <w:pPr>
              <w:tabs>
                <w:tab w:val="right" w:pos="8160"/>
              </w:tabs>
            </w:pPr>
            <w:r>
              <w:t>• Accepted to the PhD program at the University of Pennsylvania</w:t>
            </w:r>
          </w:p>
        </w:tc>
      </w:tr>
      <w:tr w:rsidR="003064B6" w14:paraId="4D3FDCDF" w14:textId="77777777">
        <w:trPr>
          <w:trHeight w:val="809"/>
        </w:trPr>
        <w:tc>
          <w:tcPr>
            <w:tcW w:w="1885" w:type="dxa"/>
          </w:tcPr>
          <w:p w14:paraId="65CA051D" w14:textId="77777777" w:rsidR="003064B6" w:rsidRDefault="00000000">
            <w:pPr>
              <w:pStyle w:val="Heading2"/>
            </w:pPr>
            <w:r>
              <w:t xml:space="preserve">TEACHING </w:t>
            </w:r>
          </w:p>
        </w:tc>
        <w:tc>
          <w:tcPr>
            <w:tcW w:w="270" w:type="dxa"/>
          </w:tcPr>
          <w:p w14:paraId="12330CAB" w14:textId="77777777" w:rsidR="003064B6" w:rsidRDefault="003064B6"/>
        </w:tc>
        <w:tc>
          <w:tcPr>
            <w:tcW w:w="8550" w:type="dxa"/>
            <w:gridSpan w:val="2"/>
          </w:tcPr>
          <w:p w14:paraId="4B79BB83" w14:textId="77777777" w:rsidR="003064B6" w:rsidRDefault="00000000">
            <w:pPr>
              <w:tabs>
                <w:tab w:val="right" w:pos="8160"/>
              </w:tabs>
            </w:pPr>
            <w:r>
              <w:rPr>
                <w:b/>
              </w:rPr>
              <w:t>Teaching Assistant — Computational Linguistics</w:t>
            </w:r>
            <w:r>
              <w:rPr>
                <w:b/>
              </w:rPr>
              <w:tab/>
            </w:r>
            <w:r>
              <w:t>Jan 2020 – Dec 2020</w:t>
            </w:r>
          </w:p>
          <w:p w14:paraId="181B5DB2" w14:textId="77777777" w:rsidR="003064B6" w:rsidRDefault="00000000">
            <w:pPr>
              <w:tabs>
                <w:tab w:val="right" w:pos="8160"/>
              </w:tabs>
            </w:pPr>
            <w:r>
              <w:rPr>
                <w:u w:val="single"/>
              </w:rPr>
              <w:t>CIS 530: The graduate level NLP course</w:t>
            </w:r>
            <w:r>
              <w:rPr>
                <w:i/>
              </w:rPr>
              <w:tab/>
            </w:r>
            <w:r>
              <w:t>University of Pennsylvania</w:t>
            </w:r>
          </w:p>
          <w:p w14:paraId="6CE6259E" w14:textId="77777777" w:rsidR="003064B6" w:rsidRDefault="00000000">
            <w:pPr>
              <w:tabs>
                <w:tab w:val="right" w:pos="8160"/>
              </w:tabs>
            </w:pPr>
            <w:r>
              <w:rPr>
                <w:b/>
              </w:rPr>
              <w:t>Teaching Assistant — Natural Language Processing</w:t>
            </w:r>
            <w:r>
              <w:rPr>
                <w:b/>
              </w:rPr>
              <w:tab/>
            </w:r>
            <w:r>
              <w:t>Sept 2018 – Dec 2018</w:t>
            </w:r>
          </w:p>
          <w:p w14:paraId="543E01D4" w14:textId="77777777" w:rsidR="003064B6" w:rsidRDefault="00000000">
            <w:pPr>
              <w:tabs>
                <w:tab w:val="right" w:pos="8160"/>
              </w:tabs>
            </w:pPr>
            <w:r>
              <w:rPr>
                <w:u w:val="single"/>
              </w:rPr>
              <w:t>EECS 595: The graduate level NLP course</w:t>
            </w:r>
            <w:r>
              <w:rPr>
                <w:i/>
              </w:rPr>
              <w:tab/>
            </w:r>
            <w:r>
              <w:t>University of Michigan</w:t>
            </w:r>
          </w:p>
          <w:p w14:paraId="69D8FD5A" w14:textId="77777777" w:rsidR="003064B6" w:rsidRDefault="00000000">
            <w:pPr>
              <w:tabs>
                <w:tab w:val="right" w:pos="8160"/>
              </w:tabs>
            </w:pPr>
            <w:r>
              <w:rPr>
                <w:b/>
              </w:rPr>
              <w:t xml:space="preserve">Teaching Assistant — Programming and Data Structures </w:t>
            </w:r>
            <w:r>
              <w:rPr>
                <w:b/>
              </w:rPr>
              <w:tab/>
            </w:r>
            <w:r>
              <w:t>Sept 2016 – Apr 2017</w:t>
            </w:r>
          </w:p>
          <w:p w14:paraId="447C4FA5" w14:textId="77777777" w:rsidR="003064B6" w:rsidRDefault="00000000">
            <w:pPr>
              <w:tabs>
                <w:tab w:val="right" w:pos="8160"/>
              </w:tabs>
            </w:pPr>
            <w:r>
              <w:rPr>
                <w:u w:val="single"/>
              </w:rPr>
              <w:t>EECS 280: An introductory programming course</w:t>
            </w:r>
            <w:r>
              <w:rPr>
                <w:i/>
              </w:rPr>
              <w:tab/>
            </w:r>
            <w:r>
              <w:t>University of Michigan</w:t>
            </w:r>
          </w:p>
          <w:p w14:paraId="700840A2" w14:textId="77777777" w:rsidR="003064B6" w:rsidRDefault="00000000">
            <w:pPr>
              <w:tabs>
                <w:tab w:val="right" w:pos="8160"/>
              </w:tabs>
            </w:pPr>
            <w:r>
              <w:rPr>
                <w:b/>
              </w:rPr>
              <w:t>Tutor — Elementary Chemistry</w:t>
            </w:r>
            <w:r>
              <w:tab/>
              <w:t>Sept 2016 – Dec 2016</w:t>
            </w:r>
          </w:p>
          <w:p w14:paraId="07A482F0" w14:textId="77777777" w:rsidR="003064B6" w:rsidRDefault="00000000">
            <w:pPr>
              <w:tabs>
                <w:tab w:val="right" w:pos="8160"/>
              </w:tabs>
            </w:pPr>
            <w:r>
              <w:rPr>
                <w:u w:val="single"/>
              </w:rPr>
              <w:t>Science Learning Center</w:t>
            </w:r>
            <w:r>
              <w:rPr>
                <w:i/>
              </w:rPr>
              <w:tab/>
            </w:r>
            <w:r>
              <w:t>University of Michigan</w:t>
            </w:r>
          </w:p>
        </w:tc>
      </w:tr>
      <w:tr w:rsidR="003064B6" w14:paraId="490B93B9" w14:textId="77777777">
        <w:trPr>
          <w:trHeight w:val="56"/>
        </w:trPr>
        <w:tc>
          <w:tcPr>
            <w:tcW w:w="10705" w:type="dxa"/>
            <w:gridSpan w:val="4"/>
          </w:tcPr>
          <w:p w14:paraId="26092CE2" w14:textId="77777777" w:rsidR="003064B6" w:rsidRDefault="003064B6"/>
        </w:tc>
      </w:tr>
      <w:tr w:rsidR="003064B6" w14:paraId="5FDF4421" w14:textId="77777777">
        <w:trPr>
          <w:trHeight w:val="326"/>
        </w:trPr>
        <w:tc>
          <w:tcPr>
            <w:tcW w:w="1885" w:type="dxa"/>
          </w:tcPr>
          <w:p w14:paraId="5C2EEDD5" w14:textId="77777777" w:rsidR="003064B6" w:rsidRDefault="00000000">
            <w:pPr>
              <w:pStyle w:val="Heading2"/>
            </w:pPr>
            <w:r>
              <w:t>COURSES</w:t>
            </w:r>
          </w:p>
        </w:tc>
        <w:tc>
          <w:tcPr>
            <w:tcW w:w="270" w:type="dxa"/>
          </w:tcPr>
          <w:p w14:paraId="0F66E51D" w14:textId="77777777" w:rsidR="003064B6" w:rsidRDefault="003064B6"/>
        </w:tc>
        <w:tc>
          <w:tcPr>
            <w:tcW w:w="8550" w:type="dxa"/>
            <w:gridSpan w:val="2"/>
          </w:tcPr>
          <w:p w14:paraId="7970501D" w14:textId="77777777" w:rsidR="003064B6" w:rsidRDefault="00000000">
            <w:pPr>
              <w:rPr>
                <w:b/>
              </w:rPr>
            </w:pPr>
            <w:r>
              <w:rPr>
                <w:b/>
              </w:rPr>
              <w:t>Graduate</w:t>
            </w:r>
          </w:p>
          <w:p w14:paraId="64BE6CC8" w14:textId="77777777" w:rsidR="003064B6" w:rsidRDefault="00000000">
            <w:pPr>
              <w:rPr>
                <w:b/>
              </w:rPr>
            </w:pPr>
            <w:r>
              <w:t>Operating Systems(A+), Independent Research (A+), Machine Learning (A-), Common-sense Reasoning (A), Software Foundations (A-), Big Data (A), Neurolinguistics (A-), Composition of Electronic Music (A)</w:t>
            </w:r>
          </w:p>
          <w:p w14:paraId="7860256C" w14:textId="77777777" w:rsidR="003064B6" w:rsidRDefault="00000000">
            <w:r>
              <w:rPr>
                <w:b/>
              </w:rPr>
              <w:t>Undergraduate</w:t>
            </w:r>
          </w:p>
          <w:p w14:paraId="1B88883D" w14:textId="77777777" w:rsidR="003064B6"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3064B6" w14:paraId="7036AC4B" w14:textId="77777777">
        <w:tc>
          <w:tcPr>
            <w:tcW w:w="10705" w:type="dxa"/>
            <w:gridSpan w:val="4"/>
          </w:tcPr>
          <w:p w14:paraId="13459A21" w14:textId="77777777" w:rsidR="003064B6" w:rsidRDefault="003064B6"/>
        </w:tc>
      </w:tr>
      <w:tr w:rsidR="003064B6" w14:paraId="3B4EF329" w14:textId="77777777">
        <w:trPr>
          <w:trHeight w:val="341"/>
        </w:trPr>
        <w:tc>
          <w:tcPr>
            <w:tcW w:w="1885" w:type="dxa"/>
          </w:tcPr>
          <w:p w14:paraId="7C7C9DF2" w14:textId="77777777" w:rsidR="003064B6" w:rsidRDefault="00000000">
            <w:pPr>
              <w:pStyle w:val="Heading2"/>
            </w:pPr>
            <w:r>
              <w:t>HONORS</w:t>
            </w:r>
          </w:p>
        </w:tc>
        <w:tc>
          <w:tcPr>
            <w:tcW w:w="270" w:type="dxa"/>
          </w:tcPr>
          <w:p w14:paraId="53C451E9" w14:textId="77777777" w:rsidR="003064B6" w:rsidRDefault="003064B6"/>
        </w:tc>
        <w:tc>
          <w:tcPr>
            <w:tcW w:w="8550" w:type="dxa"/>
            <w:gridSpan w:val="2"/>
          </w:tcPr>
          <w:p w14:paraId="2D87415F" w14:textId="77777777" w:rsidR="003064B6" w:rsidRDefault="00000000">
            <w:pPr>
              <w:tabs>
                <w:tab w:val="right" w:pos="8160"/>
              </w:tabs>
            </w:pPr>
            <w:r>
              <w:t>Merit-Based Scholarship of $2,000, UM Engineering Class of 1935</w:t>
            </w:r>
            <w:r>
              <w:tab/>
              <w:t xml:space="preserve"> 2017 – 2018</w:t>
            </w:r>
          </w:p>
          <w:p w14:paraId="38E3984D" w14:textId="77777777" w:rsidR="003064B6" w:rsidRDefault="00000000">
            <w:pPr>
              <w:tabs>
                <w:tab w:val="right" w:pos="8160"/>
              </w:tabs>
            </w:pPr>
            <w:r>
              <w:t>James B. Angell Scholar, University of Michigan</w:t>
            </w:r>
            <w:r>
              <w:tab/>
              <w:t>2017</w:t>
            </w:r>
          </w:p>
          <w:p w14:paraId="0E56A40F" w14:textId="77777777" w:rsidR="003064B6" w:rsidRDefault="00000000">
            <w:pPr>
              <w:tabs>
                <w:tab w:val="right" w:pos="8160"/>
              </w:tabs>
            </w:pPr>
            <w:r>
              <w:t>University Honors of all semesters, University of Michigan</w:t>
            </w:r>
            <w:r>
              <w:tab/>
              <w:t>2015 – 2018</w:t>
            </w:r>
          </w:p>
          <w:p w14:paraId="2CE07E03" w14:textId="77777777" w:rsidR="003064B6" w:rsidRDefault="00000000">
            <w:pPr>
              <w:tabs>
                <w:tab w:val="right" w:pos="8160"/>
              </w:tabs>
              <w:rPr>
                <w:lang w:eastAsia="zh-CN"/>
              </w:rPr>
            </w:pPr>
            <w:r>
              <w:t>Dean’s Honor List of all semesters, UM College of Engineering</w:t>
            </w:r>
            <w:r>
              <w:tab/>
              <w:t>2015 – 2018</w:t>
            </w:r>
          </w:p>
        </w:tc>
      </w:tr>
      <w:tr w:rsidR="003064B6" w14:paraId="68D6BE19" w14:textId="77777777">
        <w:trPr>
          <w:trHeight w:val="98"/>
        </w:trPr>
        <w:tc>
          <w:tcPr>
            <w:tcW w:w="10705" w:type="dxa"/>
            <w:gridSpan w:val="4"/>
          </w:tcPr>
          <w:p w14:paraId="5ED33CF7" w14:textId="77777777" w:rsidR="003064B6" w:rsidRDefault="003064B6">
            <w:pPr>
              <w:rPr>
                <w:b/>
                <w:lang w:eastAsia="zh-CN"/>
              </w:rPr>
            </w:pPr>
          </w:p>
        </w:tc>
      </w:tr>
      <w:tr w:rsidR="003064B6" w14:paraId="33A73950" w14:textId="77777777">
        <w:trPr>
          <w:trHeight w:val="983"/>
        </w:trPr>
        <w:tc>
          <w:tcPr>
            <w:tcW w:w="1885" w:type="dxa"/>
          </w:tcPr>
          <w:p w14:paraId="1147B447" w14:textId="77777777" w:rsidR="003064B6" w:rsidRDefault="00000000">
            <w:pPr>
              <w:pStyle w:val="Heading2"/>
            </w:pPr>
            <w:r>
              <w:rPr>
                <w:lang w:eastAsia="zh-CN"/>
              </w:rPr>
              <w:t>LANGUAGES</w:t>
            </w:r>
          </w:p>
        </w:tc>
        <w:tc>
          <w:tcPr>
            <w:tcW w:w="270" w:type="dxa"/>
          </w:tcPr>
          <w:p w14:paraId="06DBD08D" w14:textId="77777777" w:rsidR="003064B6" w:rsidRDefault="003064B6"/>
        </w:tc>
        <w:tc>
          <w:tcPr>
            <w:tcW w:w="8550" w:type="dxa"/>
            <w:gridSpan w:val="2"/>
          </w:tcPr>
          <w:p w14:paraId="39DC7303" w14:textId="77777777" w:rsidR="003064B6" w:rsidRDefault="00000000">
            <w:pPr>
              <w:rPr>
                <w:b/>
                <w:lang w:eastAsia="zh-CN"/>
              </w:rPr>
            </w:pPr>
            <w:r>
              <w:rPr>
                <w:b/>
                <w:lang w:eastAsia="zh-CN"/>
              </w:rPr>
              <w:t>Programming Languages</w:t>
            </w:r>
          </w:p>
          <w:p w14:paraId="5934FFFF" w14:textId="77777777" w:rsidR="003064B6" w:rsidRDefault="00000000">
            <w:r>
              <w:t>Python</w:t>
            </w:r>
          </w:p>
          <w:p w14:paraId="614DC588" w14:textId="77777777" w:rsidR="003064B6" w:rsidRDefault="00000000">
            <w:pPr>
              <w:rPr>
                <w:b/>
                <w:lang w:eastAsia="zh-CN"/>
              </w:rPr>
            </w:pPr>
            <w:r>
              <w:rPr>
                <w:b/>
                <w:lang w:eastAsia="zh-CN"/>
              </w:rPr>
              <w:t>Human Languages</w:t>
            </w:r>
          </w:p>
          <w:p w14:paraId="7F9FE1D2" w14:textId="77777777" w:rsidR="003064B6" w:rsidRDefault="00000000">
            <w:pPr>
              <w:rPr>
                <w:i/>
              </w:rPr>
            </w:pPr>
            <w:r>
              <w:t>Chinese (native), English (fully proficient), French (conversational)</w:t>
            </w:r>
            <w:r>
              <w:rPr>
                <w:i/>
              </w:rPr>
              <w:t xml:space="preserve"> </w:t>
            </w:r>
          </w:p>
        </w:tc>
      </w:tr>
      <w:tr w:rsidR="003064B6" w14:paraId="29C034CA" w14:textId="77777777">
        <w:trPr>
          <w:trHeight w:val="56"/>
        </w:trPr>
        <w:tc>
          <w:tcPr>
            <w:tcW w:w="1885" w:type="dxa"/>
          </w:tcPr>
          <w:p w14:paraId="314E8E00" w14:textId="77777777" w:rsidR="003064B6" w:rsidRDefault="003064B6">
            <w:pPr>
              <w:pStyle w:val="Heading2"/>
            </w:pPr>
          </w:p>
        </w:tc>
        <w:tc>
          <w:tcPr>
            <w:tcW w:w="270" w:type="dxa"/>
          </w:tcPr>
          <w:p w14:paraId="2DAA6AF8" w14:textId="77777777" w:rsidR="003064B6" w:rsidRDefault="003064B6"/>
        </w:tc>
        <w:tc>
          <w:tcPr>
            <w:tcW w:w="8550" w:type="dxa"/>
            <w:gridSpan w:val="2"/>
          </w:tcPr>
          <w:p w14:paraId="7DD6852E" w14:textId="77777777" w:rsidR="003064B6" w:rsidRDefault="003064B6">
            <w:pPr>
              <w:rPr>
                <w:b/>
                <w:lang w:eastAsia="zh-CN"/>
              </w:rPr>
            </w:pPr>
          </w:p>
        </w:tc>
      </w:tr>
      <w:tr w:rsidR="003064B6" w14:paraId="2FC129C8" w14:textId="77777777">
        <w:trPr>
          <w:trHeight w:val="983"/>
        </w:trPr>
        <w:tc>
          <w:tcPr>
            <w:tcW w:w="1885" w:type="dxa"/>
          </w:tcPr>
          <w:p w14:paraId="4DB6059E" w14:textId="77777777" w:rsidR="003064B6" w:rsidRDefault="00000000">
            <w:pPr>
              <w:pStyle w:val="Heading2"/>
            </w:pPr>
            <w:r>
              <w:t>TEST SCORES</w:t>
            </w:r>
          </w:p>
        </w:tc>
        <w:tc>
          <w:tcPr>
            <w:tcW w:w="270" w:type="dxa"/>
          </w:tcPr>
          <w:p w14:paraId="5B026F3D" w14:textId="77777777" w:rsidR="003064B6" w:rsidRDefault="003064B6"/>
        </w:tc>
        <w:tc>
          <w:tcPr>
            <w:tcW w:w="8550" w:type="dxa"/>
            <w:gridSpan w:val="2"/>
          </w:tcPr>
          <w:p w14:paraId="07726622" w14:textId="77777777" w:rsidR="003064B6" w:rsidRDefault="00000000">
            <w:pPr>
              <w:rPr>
                <w:lang w:eastAsia="zh-CN"/>
              </w:rPr>
            </w:pPr>
            <w:r>
              <w:rPr>
                <w:b/>
                <w:lang w:eastAsia="zh-CN"/>
              </w:rPr>
              <w:t xml:space="preserve">GRE </w:t>
            </w:r>
            <w:r>
              <w:rPr>
                <w:lang w:eastAsia="zh-CN"/>
              </w:rPr>
              <w:t>(May 2017): Verbal 162 91%, Quantitative 170 97%, Analytical Writing 4.5 82%</w:t>
            </w:r>
          </w:p>
          <w:p w14:paraId="4AC4DA34" w14:textId="77777777" w:rsidR="003064B6" w:rsidRDefault="00000000">
            <w:pPr>
              <w:rPr>
                <w:lang w:eastAsia="zh-CN"/>
              </w:rPr>
            </w:pPr>
            <w:r>
              <w:rPr>
                <w:b/>
                <w:lang w:eastAsia="zh-CN"/>
              </w:rPr>
              <w:t>SAT</w:t>
            </w:r>
            <w:r>
              <w:rPr>
                <w:lang w:eastAsia="zh-CN"/>
              </w:rPr>
              <w:t xml:space="preserve"> (Dec 2015): Reading 750, Writing 790, Math 800</w:t>
            </w:r>
          </w:p>
          <w:p w14:paraId="7CF3CB0A" w14:textId="77777777" w:rsidR="003064B6" w:rsidRDefault="00000000">
            <w:pPr>
              <w:rPr>
                <w:b/>
                <w:lang w:eastAsia="zh-CN"/>
              </w:rPr>
            </w:pPr>
            <w:r>
              <w:rPr>
                <w:b/>
                <w:lang w:eastAsia="zh-CN"/>
              </w:rPr>
              <w:t xml:space="preserve">TOEFL </w:t>
            </w:r>
            <w:r>
              <w:rPr>
                <w:lang w:eastAsia="zh-CN"/>
              </w:rPr>
              <w:t>(Dec 2013): Reading 28, Listening 29, Speaking 29, Writing 28</w:t>
            </w:r>
          </w:p>
        </w:tc>
      </w:tr>
      <w:tr w:rsidR="003064B6" w14:paraId="0458655E" w14:textId="77777777">
        <w:trPr>
          <w:trHeight w:val="45"/>
        </w:trPr>
        <w:tc>
          <w:tcPr>
            <w:tcW w:w="10705" w:type="dxa"/>
            <w:gridSpan w:val="4"/>
          </w:tcPr>
          <w:p w14:paraId="206CADE8" w14:textId="77777777" w:rsidR="003064B6" w:rsidRDefault="003064B6"/>
        </w:tc>
      </w:tr>
      <w:tr w:rsidR="003064B6" w14:paraId="1E2EF42C" w14:textId="77777777">
        <w:trPr>
          <w:trHeight w:val="56"/>
        </w:trPr>
        <w:tc>
          <w:tcPr>
            <w:tcW w:w="1885" w:type="dxa"/>
          </w:tcPr>
          <w:p w14:paraId="4E357095" w14:textId="77777777" w:rsidR="003064B6" w:rsidRDefault="00000000">
            <w:pPr>
              <w:pStyle w:val="Heading2"/>
            </w:pPr>
            <w:r>
              <w:t>HOBBIES</w:t>
            </w:r>
          </w:p>
        </w:tc>
        <w:tc>
          <w:tcPr>
            <w:tcW w:w="270" w:type="dxa"/>
          </w:tcPr>
          <w:p w14:paraId="732CEF20" w14:textId="77777777" w:rsidR="003064B6" w:rsidRDefault="003064B6"/>
        </w:tc>
        <w:tc>
          <w:tcPr>
            <w:tcW w:w="8550" w:type="dxa"/>
            <w:gridSpan w:val="2"/>
          </w:tcPr>
          <w:p w14:paraId="1DDE8727" w14:textId="77777777" w:rsidR="003064B6" w:rsidRDefault="00000000">
            <w:pPr>
              <w:tabs>
                <w:tab w:val="right" w:pos="8160"/>
              </w:tabs>
              <w:rPr>
                <w:b/>
              </w:rPr>
            </w:pPr>
            <w:r>
              <w:rPr>
                <w:b/>
              </w:rPr>
              <w:t>Music</w:t>
            </w:r>
          </w:p>
          <w:p w14:paraId="7CF3A5A0" w14:textId="77777777" w:rsidR="003064B6" w:rsidRDefault="00000000">
            <w:pPr>
              <w:tabs>
                <w:tab w:val="right" w:pos="8160"/>
              </w:tabs>
              <w:rPr>
                <w:bCs/>
              </w:rPr>
            </w:pPr>
            <w:r>
              <w:rPr>
                <w:bCs/>
              </w:rPr>
              <w:t xml:space="preserve">I play, record, and produce music regularly. My tracks are distributed under the name Haz Studio on YouTube, </w:t>
            </w:r>
            <w:proofErr w:type="spellStart"/>
            <w:r>
              <w:rPr>
                <w:bCs/>
              </w:rPr>
              <w:t>Bilibili</w:t>
            </w:r>
            <w:proofErr w:type="spellEnd"/>
            <w:r>
              <w:rPr>
                <w:bCs/>
              </w:rPr>
              <w:t xml:space="preserve">, Spotify, Apple </w:t>
            </w:r>
            <w:proofErr w:type="gramStart"/>
            <w:r>
              <w:rPr>
                <w:bCs/>
              </w:rPr>
              <w:t>Music</w:t>
            </w:r>
            <w:proofErr w:type="gramEnd"/>
            <w:r>
              <w:rPr>
                <w:bCs/>
              </w:rPr>
              <w:t xml:space="preserve"> and all streaming services. As of May 2023, my channel on </w:t>
            </w:r>
            <w:proofErr w:type="spellStart"/>
            <w:r>
              <w:rPr>
                <w:bCs/>
              </w:rPr>
              <w:t>Bilibili</w:t>
            </w:r>
            <w:proofErr w:type="spellEnd"/>
            <w:r>
              <w:rPr>
                <w:bCs/>
              </w:rPr>
              <w:t xml:space="preserve"> has 36,000 subscribers.</w:t>
            </w:r>
          </w:p>
          <w:p w14:paraId="2A25EFC0" w14:textId="77777777" w:rsidR="003064B6" w:rsidRDefault="00000000">
            <w:pPr>
              <w:tabs>
                <w:tab w:val="right" w:pos="8160"/>
              </w:tabs>
            </w:pPr>
            <w:r>
              <w:rPr>
                <w:b/>
              </w:rPr>
              <w:t>Billiards and Pool</w:t>
            </w:r>
          </w:p>
          <w:p w14:paraId="0C6B5FB6" w14:textId="77777777" w:rsidR="003064B6" w:rsidRDefault="00000000">
            <w:pPr>
              <w:tabs>
                <w:tab w:val="right" w:pos="8159"/>
              </w:tabs>
            </w:pPr>
            <w:r>
              <w:t>1</w:t>
            </w:r>
            <w:r>
              <w:rPr>
                <w:vertAlign w:val="superscript"/>
              </w:rPr>
              <w:t>st</w:t>
            </w:r>
            <w:r>
              <w:t xml:space="preserve"> Place out of 12, 9-Ball Scotch Doubles, 1</w:t>
            </w:r>
            <w:r>
              <w:rPr>
                <w:vertAlign w:val="superscript"/>
              </w:rPr>
              <w:t>st</w:t>
            </w:r>
            <w:r>
              <w:t xml:space="preserve"> Midwest Invitational</w:t>
            </w:r>
            <w:r>
              <w:tab/>
              <w:t>Feb 2018</w:t>
            </w:r>
          </w:p>
          <w:p w14:paraId="0E437D1F" w14:textId="77777777" w:rsidR="003064B6" w:rsidRDefault="00000000">
            <w:pPr>
              <w:tabs>
                <w:tab w:val="right" w:pos="8160"/>
              </w:tabs>
              <w:rPr>
                <w:lang w:eastAsia="zh-CN"/>
              </w:rPr>
            </w:pPr>
            <w:r>
              <w:t>7</w:t>
            </w:r>
            <w:r>
              <w:rPr>
                <w:vertAlign w:val="superscript"/>
              </w:rPr>
              <w:t>th</w:t>
            </w:r>
            <w:r>
              <w:t xml:space="preserve"> Place out of 32, 9-Ball Scotch Doubles, 14</w:t>
            </w:r>
            <w:r>
              <w:rPr>
                <w:vertAlign w:val="superscript"/>
              </w:rPr>
              <w:t>th</w:t>
            </w:r>
            <w:r>
              <w:t xml:space="preserve"> UM Team Pool Championship</w:t>
            </w:r>
            <w:r>
              <w:tab/>
              <w:t>Nov 2017</w:t>
            </w:r>
            <w:r>
              <w:rPr>
                <w:lang w:eastAsia="zh-CN"/>
              </w:rPr>
              <w:t xml:space="preserve"> </w:t>
            </w:r>
          </w:p>
          <w:p w14:paraId="4E23C3FC" w14:textId="77777777" w:rsidR="003064B6" w:rsidRDefault="00000000">
            <w:pPr>
              <w:tabs>
                <w:tab w:val="right" w:pos="8160"/>
              </w:tabs>
            </w:pPr>
            <w:r>
              <w:rPr>
                <w:lang w:eastAsia="zh-CN"/>
              </w:rPr>
              <w:lastRenderedPageBreak/>
              <w:t>Captain of Michigan Billiards Team</w:t>
            </w:r>
            <w:r>
              <w:tab/>
              <w:t>Sept 2017 – Dec 2018</w:t>
            </w:r>
          </w:p>
          <w:p w14:paraId="4D227D74" w14:textId="77777777" w:rsidR="003064B6" w:rsidRDefault="00000000">
            <w:pPr>
              <w:tabs>
                <w:tab w:val="right" w:pos="8160"/>
              </w:tabs>
              <w:rPr>
                <w:b/>
              </w:rPr>
            </w:pPr>
            <w:r>
              <w:rPr>
                <w:b/>
              </w:rPr>
              <w:t>E-Sport</w:t>
            </w:r>
          </w:p>
          <w:p w14:paraId="3F339BFD" w14:textId="77777777" w:rsidR="003064B6" w:rsidRDefault="00000000">
            <w:pPr>
              <w:tabs>
                <w:tab w:val="right" w:pos="8160"/>
              </w:tabs>
            </w:pPr>
            <w:r>
              <w:t>Top 32 out of 828 teams, TESPA Hearthstone Collegiate Championship</w:t>
            </w:r>
            <w:r>
              <w:rPr>
                <w:lang w:eastAsia="zh-CN"/>
              </w:rPr>
              <w:tab/>
            </w:r>
            <w:r>
              <w:t>Apr 2018</w:t>
            </w:r>
          </w:p>
          <w:p w14:paraId="39F41260" w14:textId="77777777" w:rsidR="003064B6" w:rsidRDefault="00000000">
            <w:pPr>
              <w:tabs>
                <w:tab w:val="right" w:pos="8160"/>
              </w:tabs>
            </w:pPr>
            <w:r>
              <w:t>#29 out of approx. 5 million in Ranked Play, Hearthstone, North America</w:t>
            </w:r>
            <w:r>
              <w:rPr>
                <w:lang w:eastAsia="zh-CN"/>
              </w:rPr>
              <w:tab/>
            </w:r>
            <w:r>
              <w:t>Mar 2018</w:t>
            </w:r>
          </w:p>
          <w:p w14:paraId="6371C211" w14:textId="77777777" w:rsidR="003064B6" w:rsidRDefault="00000000">
            <w:pPr>
              <w:tabs>
                <w:tab w:val="right" w:pos="8160"/>
              </w:tabs>
            </w:pPr>
            <w:r>
              <w:t>Member, Michigan Hearthstone Team</w:t>
            </w:r>
            <w:r>
              <w:rPr>
                <w:lang w:eastAsia="zh-CN"/>
              </w:rPr>
              <w:tab/>
            </w:r>
            <w:r>
              <w:t>Sept 2016 – May 2018</w:t>
            </w:r>
          </w:p>
        </w:tc>
      </w:tr>
      <w:tr w:rsidR="003064B6" w14:paraId="7A3D1C38" w14:textId="77777777">
        <w:trPr>
          <w:trHeight w:val="56"/>
        </w:trPr>
        <w:tc>
          <w:tcPr>
            <w:tcW w:w="1885" w:type="dxa"/>
          </w:tcPr>
          <w:p w14:paraId="0A5A0857" w14:textId="77777777" w:rsidR="003064B6" w:rsidRDefault="003064B6">
            <w:pPr>
              <w:pStyle w:val="Heading2"/>
            </w:pPr>
          </w:p>
        </w:tc>
        <w:tc>
          <w:tcPr>
            <w:tcW w:w="270" w:type="dxa"/>
          </w:tcPr>
          <w:p w14:paraId="3AFEA89A" w14:textId="77777777" w:rsidR="003064B6" w:rsidRDefault="003064B6"/>
        </w:tc>
        <w:tc>
          <w:tcPr>
            <w:tcW w:w="8550" w:type="dxa"/>
            <w:gridSpan w:val="2"/>
          </w:tcPr>
          <w:p w14:paraId="56970239" w14:textId="77777777" w:rsidR="003064B6" w:rsidRDefault="003064B6">
            <w:pPr>
              <w:tabs>
                <w:tab w:val="right" w:pos="8160"/>
              </w:tabs>
              <w:rPr>
                <w:b/>
              </w:rPr>
            </w:pPr>
          </w:p>
        </w:tc>
      </w:tr>
      <w:tr w:rsidR="003064B6" w14:paraId="6ED5B31C" w14:textId="77777777">
        <w:trPr>
          <w:trHeight w:val="56"/>
        </w:trPr>
        <w:tc>
          <w:tcPr>
            <w:tcW w:w="1885" w:type="dxa"/>
            <w:vMerge w:val="restart"/>
          </w:tcPr>
          <w:p w14:paraId="1570968B" w14:textId="77777777" w:rsidR="003064B6" w:rsidRDefault="00000000">
            <w:pPr>
              <w:pStyle w:val="Heading2"/>
            </w:pPr>
            <w:r>
              <w:t>SECONDARY RESEARCH</w:t>
            </w:r>
          </w:p>
        </w:tc>
        <w:tc>
          <w:tcPr>
            <w:tcW w:w="270" w:type="dxa"/>
          </w:tcPr>
          <w:p w14:paraId="1B4C1243" w14:textId="77777777" w:rsidR="003064B6" w:rsidRDefault="003064B6"/>
        </w:tc>
        <w:tc>
          <w:tcPr>
            <w:tcW w:w="8550" w:type="dxa"/>
            <w:gridSpan w:val="2"/>
          </w:tcPr>
          <w:p w14:paraId="50655DEB" w14:textId="77777777" w:rsidR="003064B6"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5BD0E872" w14:textId="77777777" w:rsidR="003064B6" w:rsidRDefault="00000000">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787242B7" w14:textId="77777777" w:rsidR="003064B6" w:rsidRDefault="00000000">
            <w:r>
              <w:rPr>
                <w:i/>
              </w:rPr>
              <w:t xml:space="preserve">Work done as an intern at IBM Research, advised by </w:t>
            </w:r>
            <w:proofErr w:type="spellStart"/>
            <w:r>
              <w:rPr>
                <w:i/>
              </w:rPr>
              <w:t>Yunyao</w:t>
            </w:r>
            <w:proofErr w:type="spellEnd"/>
            <w:r>
              <w:rPr>
                <w:i/>
              </w:rPr>
              <w:t xml:space="preserve"> Li</w:t>
            </w:r>
          </w:p>
          <w:p w14:paraId="5276567F" w14:textId="77777777" w:rsidR="003064B6" w:rsidRDefault="00000000">
            <w:r>
              <w:t>• Semantic Role Labeling is a core NLP task, answering the question “who did what to whom, when and how,” by labeling tokens in a sentence as arguments of some predicate.</w:t>
            </w:r>
          </w:p>
          <w:p w14:paraId="20E13542" w14:textId="77777777" w:rsidR="003064B6" w:rsidRDefault="00000000">
            <w:r>
              <w:t>• Instead of using symbolic labels (</w:t>
            </w:r>
            <w:proofErr w:type="gramStart"/>
            <w:r>
              <w:t>e.g.</w:t>
            </w:r>
            <w:proofErr w:type="gramEnd"/>
            <w:r>
              <w:t xml:space="preserve"> A0, AM-TMP) for arguments, we propose to provide models with label definitions, which linguistics used to annotate data</w:t>
            </w:r>
          </w:p>
          <w:p w14:paraId="7AC4E6C3" w14:textId="77777777" w:rsidR="003064B6" w:rsidRDefault="00000000">
            <w:pPr>
              <w:tabs>
                <w:tab w:val="right" w:pos="8160"/>
              </w:tabs>
              <w:rPr>
                <w:b/>
              </w:rPr>
            </w:pPr>
            <w:r>
              <w:t>• Models trained on our definition-injected data achieve state-of-the-art performance on the CoNLL09 benchmark given predicate senses, and strong few-shot performance</w:t>
            </w:r>
          </w:p>
        </w:tc>
      </w:tr>
      <w:tr w:rsidR="003064B6" w14:paraId="24722963" w14:textId="77777777">
        <w:trPr>
          <w:trHeight w:val="56"/>
        </w:trPr>
        <w:tc>
          <w:tcPr>
            <w:tcW w:w="1885" w:type="dxa"/>
            <w:vMerge/>
          </w:tcPr>
          <w:p w14:paraId="17452525" w14:textId="77777777" w:rsidR="003064B6" w:rsidRDefault="003064B6">
            <w:pPr>
              <w:pStyle w:val="Heading2"/>
            </w:pPr>
          </w:p>
        </w:tc>
        <w:tc>
          <w:tcPr>
            <w:tcW w:w="270" w:type="dxa"/>
          </w:tcPr>
          <w:p w14:paraId="52AECC8A" w14:textId="77777777" w:rsidR="003064B6" w:rsidRDefault="003064B6"/>
        </w:tc>
        <w:tc>
          <w:tcPr>
            <w:tcW w:w="8550" w:type="dxa"/>
            <w:gridSpan w:val="2"/>
          </w:tcPr>
          <w:p w14:paraId="16E9AAA5" w14:textId="77777777" w:rsidR="003064B6"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3064B6" w:rsidRDefault="00000000">
            <w:pPr>
              <w:rPr>
                <w:u w:val="single"/>
              </w:rPr>
            </w:pPr>
            <w:r>
              <w:rPr>
                <w:u w:val="single"/>
              </w:rPr>
              <w:t xml:space="preserve">Convert English data to another language by translation, alignment, and </w:t>
            </w:r>
            <w:proofErr w:type="gramStart"/>
            <w:r>
              <w:rPr>
                <w:u w:val="single"/>
              </w:rPr>
              <w:t>projection</w:t>
            </w:r>
            <w:proofErr w:type="gramEnd"/>
          </w:p>
          <w:p w14:paraId="5B96F0A5" w14:textId="77777777" w:rsidR="003064B6" w:rsidRDefault="00000000">
            <w:r>
              <w:rPr>
                <w:i/>
              </w:rPr>
              <w:t xml:space="preserve">Advised by Prof. Chris Callison-Burch, part of the DARPA BETTER </w:t>
            </w:r>
            <w:proofErr w:type="gramStart"/>
            <w:r>
              <w:rPr>
                <w:i/>
              </w:rPr>
              <w:t>project</w:t>
            </w:r>
            <w:proofErr w:type="gramEnd"/>
          </w:p>
          <w:p w14:paraId="489AD982" w14:textId="77777777" w:rsidR="003064B6" w:rsidRDefault="00000000">
            <w:r>
              <w:t>• Event extraction deals with identifying entities and events from texts, along with their arguments and relations, given an otology in the domain of interest.</w:t>
            </w:r>
          </w:p>
          <w:p w14:paraId="77973BD2" w14:textId="77777777" w:rsidR="003064B6"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3064B6" w:rsidRDefault="00000000">
            <w:pPr>
              <w:tabs>
                <w:tab w:val="right" w:pos="8160"/>
              </w:tabs>
              <w:rPr>
                <w:b/>
              </w:rPr>
            </w:pPr>
            <w:r>
              <w:t>• Models trained on our data with projected annotations achieve strong performance compared to cross-lingual zero-shot models.</w:t>
            </w:r>
          </w:p>
        </w:tc>
      </w:tr>
      <w:tr w:rsidR="003064B6" w14:paraId="48FC5546" w14:textId="77777777">
        <w:trPr>
          <w:trHeight w:val="56"/>
        </w:trPr>
        <w:tc>
          <w:tcPr>
            <w:tcW w:w="1885" w:type="dxa"/>
            <w:vMerge/>
          </w:tcPr>
          <w:p w14:paraId="4AAA75EF" w14:textId="77777777" w:rsidR="003064B6" w:rsidRDefault="003064B6">
            <w:pPr>
              <w:pStyle w:val="Heading2"/>
            </w:pPr>
          </w:p>
        </w:tc>
        <w:tc>
          <w:tcPr>
            <w:tcW w:w="270" w:type="dxa"/>
          </w:tcPr>
          <w:p w14:paraId="087B29CB" w14:textId="77777777" w:rsidR="003064B6" w:rsidRDefault="003064B6"/>
        </w:tc>
        <w:tc>
          <w:tcPr>
            <w:tcW w:w="8550" w:type="dxa"/>
            <w:gridSpan w:val="2"/>
          </w:tcPr>
          <w:p w14:paraId="77FF0DA9" w14:textId="77777777" w:rsidR="003064B6"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3064B6" w:rsidRDefault="00000000">
            <w:pPr>
              <w:rPr>
                <w:u w:val="single"/>
              </w:rPr>
            </w:pPr>
            <w:r>
              <w:rPr>
                <w:u w:val="single"/>
              </w:rPr>
              <w:t xml:space="preserve">Revamp the evaluation for the text simplification task of splitting long </w:t>
            </w:r>
            <w:proofErr w:type="gramStart"/>
            <w:r>
              <w:rPr>
                <w:u w:val="single"/>
              </w:rPr>
              <w:t>sentences</w:t>
            </w:r>
            <w:proofErr w:type="gramEnd"/>
          </w:p>
          <w:p w14:paraId="5D5C10DA" w14:textId="77777777" w:rsidR="003064B6" w:rsidRDefault="00000000">
            <w:r>
              <w:rPr>
                <w:i/>
              </w:rPr>
              <w:t xml:space="preserve">Work done as an intern at IBM Research, advised by </w:t>
            </w:r>
            <w:proofErr w:type="spellStart"/>
            <w:r>
              <w:rPr>
                <w:i/>
              </w:rPr>
              <w:t>Yunyao</w:t>
            </w:r>
            <w:proofErr w:type="spellEnd"/>
            <w:r>
              <w:rPr>
                <w:i/>
              </w:rPr>
              <w:t xml:space="preserve"> Li</w:t>
            </w:r>
          </w:p>
          <w:p w14:paraId="2FFF5243" w14:textId="77777777" w:rsidR="003064B6" w:rsidRDefault="00000000">
            <w:r>
              <w:t>• We developed a rule-based model using no training data which performs on par with the current state-of-the-art neural model, showing the evaluation might be flawed.</w:t>
            </w:r>
          </w:p>
          <w:p w14:paraId="7103B0B9" w14:textId="77777777" w:rsidR="003064B6" w:rsidRDefault="00000000">
            <w:r>
              <w:t>• We released two new crowdsourced benchmarks with improved quality.</w:t>
            </w:r>
          </w:p>
          <w:p w14:paraId="359FA7FD" w14:textId="77777777" w:rsidR="003064B6" w:rsidRDefault="00000000">
            <w:pPr>
              <w:tabs>
                <w:tab w:val="right" w:pos="8160"/>
              </w:tabs>
              <w:rPr>
                <w:b/>
                <w:lang w:eastAsia="zh-CN"/>
              </w:rPr>
            </w:pPr>
            <w:r>
              <w:t>• We conducted a case study on the flaws of BLEU score, and the cost-efficiency of using crowd workers to evaluate model performance.</w:t>
            </w:r>
          </w:p>
        </w:tc>
      </w:tr>
      <w:tr w:rsidR="003064B6" w14:paraId="2576D6CA" w14:textId="77777777">
        <w:trPr>
          <w:trHeight w:val="56"/>
        </w:trPr>
        <w:tc>
          <w:tcPr>
            <w:tcW w:w="1885" w:type="dxa"/>
            <w:vMerge/>
          </w:tcPr>
          <w:p w14:paraId="13603965" w14:textId="77777777" w:rsidR="003064B6" w:rsidRDefault="003064B6">
            <w:pPr>
              <w:pStyle w:val="Heading2"/>
            </w:pPr>
          </w:p>
        </w:tc>
        <w:tc>
          <w:tcPr>
            <w:tcW w:w="270" w:type="dxa"/>
          </w:tcPr>
          <w:p w14:paraId="6D869ECC" w14:textId="77777777" w:rsidR="003064B6" w:rsidRDefault="003064B6"/>
        </w:tc>
        <w:tc>
          <w:tcPr>
            <w:tcW w:w="8550" w:type="dxa"/>
            <w:gridSpan w:val="2"/>
          </w:tcPr>
          <w:p w14:paraId="6086E068" w14:textId="77777777" w:rsidR="003064B6"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3064B6" w:rsidRDefault="00000000">
            <w:pPr>
              <w:rPr>
                <w:u w:val="single"/>
              </w:rPr>
            </w:pPr>
            <w:r>
              <w:rPr>
                <w:u w:val="single"/>
              </w:rPr>
              <w:t xml:space="preserve">Explore transfer learning methods using sentence embeddings in semantic </w:t>
            </w:r>
            <w:proofErr w:type="gramStart"/>
            <w:r>
              <w:rPr>
                <w:u w:val="single"/>
              </w:rPr>
              <w:t>similarity</w:t>
            </w:r>
            <w:proofErr w:type="gramEnd"/>
          </w:p>
          <w:p w14:paraId="2F12A091" w14:textId="77777777" w:rsidR="003064B6" w:rsidRDefault="00000000">
            <w:r>
              <w:rPr>
                <w:i/>
              </w:rPr>
              <w:t xml:space="preserve">Advised by Prof. Rada Mihalcea </w:t>
            </w:r>
          </w:p>
          <w:p w14:paraId="78A6A47A" w14:textId="77777777" w:rsidR="003064B6" w:rsidRDefault="00000000">
            <w:r>
              <w:t>• Proposed a new transfer learning method for semantic similarity tasks, achieving state-of-the-art performance on various datasets using various neural networks architectures.</w:t>
            </w:r>
          </w:p>
          <w:p w14:paraId="2C00D94D" w14:textId="77777777" w:rsidR="003064B6" w:rsidRDefault="00000000">
            <w:r>
              <w:t>• Compared and analyzed performances of popular transfer learning methods on a collection of mainstream LSTM-based models and semantic similarity datasets.</w:t>
            </w:r>
          </w:p>
          <w:p w14:paraId="379D37EA" w14:textId="77777777" w:rsidR="003064B6" w:rsidRDefault="00000000">
            <w:pPr>
              <w:tabs>
                <w:tab w:val="right" w:pos="8160"/>
              </w:tabs>
              <w:rPr>
                <w:b/>
              </w:rPr>
            </w:pPr>
            <w:r>
              <w:t>• Interpreted qualitatively the source of improvement in the domain of human activities.</w:t>
            </w:r>
          </w:p>
        </w:tc>
      </w:tr>
      <w:tr w:rsidR="003064B6" w14:paraId="64D99CF0" w14:textId="77777777">
        <w:trPr>
          <w:trHeight w:val="56"/>
        </w:trPr>
        <w:tc>
          <w:tcPr>
            <w:tcW w:w="1885" w:type="dxa"/>
            <w:vMerge/>
          </w:tcPr>
          <w:p w14:paraId="5B1AC17F" w14:textId="77777777" w:rsidR="003064B6" w:rsidRDefault="003064B6">
            <w:pPr>
              <w:pStyle w:val="Heading2"/>
            </w:pPr>
          </w:p>
        </w:tc>
        <w:tc>
          <w:tcPr>
            <w:tcW w:w="270" w:type="dxa"/>
          </w:tcPr>
          <w:p w14:paraId="2C7E153B" w14:textId="77777777" w:rsidR="003064B6" w:rsidRDefault="003064B6"/>
        </w:tc>
        <w:tc>
          <w:tcPr>
            <w:tcW w:w="8550" w:type="dxa"/>
            <w:gridSpan w:val="2"/>
          </w:tcPr>
          <w:p w14:paraId="7C014814" w14:textId="77777777" w:rsidR="003064B6"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3064B6" w:rsidRDefault="00000000">
            <w:pPr>
              <w:rPr>
                <w:u w:val="single"/>
              </w:rPr>
            </w:pPr>
            <w:r>
              <w:rPr>
                <w:u w:val="single"/>
              </w:rPr>
              <w:t xml:space="preserve">Explore multi-task learning using sentence embeddings in semantic </w:t>
            </w:r>
            <w:proofErr w:type="gramStart"/>
            <w:r>
              <w:rPr>
                <w:u w:val="single"/>
              </w:rPr>
              <w:t>similarity</w:t>
            </w:r>
            <w:proofErr w:type="gramEnd"/>
          </w:p>
          <w:p w14:paraId="576D92DA" w14:textId="77777777" w:rsidR="003064B6" w:rsidRDefault="00000000">
            <w:r>
              <w:rPr>
                <w:i/>
              </w:rPr>
              <w:t xml:space="preserve">Advised by Prof. Rada Mihalcea </w:t>
            </w:r>
          </w:p>
          <w:p w14:paraId="21A7AB22" w14:textId="77777777" w:rsidR="003064B6" w:rsidRDefault="00000000">
            <w:r>
              <w:t>• Proposed a modification of LSTM architecture for semantic similarity datasets with multiple relations, achieving state-of-the-art in various dimensions.</w:t>
            </w:r>
          </w:p>
          <w:p w14:paraId="385D0D72" w14:textId="77777777" w:rsidR="003064B6" w:rsidRDefault="00000000">
            <w:pPr>
              <w:tabs>
                <w:tab w:val="right" w:pos="8160"/>
              </w:tabs>
              <w:rPr>
                <w:b/>
              </w:rPr>
            </w:pPr>
            <w:r>
              <w:t xml:space="preserve">• Compared with multi-task learning and </w:t>
            </w:r>
            <w:proofErr w:type="gramStart"/>
            <w:r>
              <w:t>single-task</w:t>
            </w:r>
            <w:proofErr w:type="gramEnd"/>
            <w:r>
              <w:t xml:space="preserve"> learning baselines. </w:t>
            </w:r>
          </w:p>
        </w:tc>
      </w:tr>
      <w:tr w:rsidR="003064B6" w14:paraId="0652B934" w14:textId="77777777">
        <w:trPr>
          <w:trHeight w:val="56"/>
        </w:trPr>
        <w:tc>
          <w:tcPr>
            <w:tcW w:w="1885" w:type="dxa"/>
            <w:vMerge/>
          </w:tcPr>
          <w:p w14:paraId="0B668AD1" w14:textId="77777777" w:rsidR="003064B6" w:rsidRDefault="003064B6">
            <w:pPr>
              <w:pStyle w:val="Heading2"/>
            </w:pPr>
          </w:p>
        </w:tc>
        <w:tc>
          <w:tcPr>
            <w:tcW w:w="270" w:type="dxa"/>
          </w:tcPr>
          <w:p w14:paraId="77E82F6A" w14:textId="77777777" w:rsidR="003064B6" w:rsidRDefault="003064B6"/>
        </w:tc>
        <w:tc>
          <w:tcPr>
            <w:tcW w:w="8550" w:type="dxa"/>
            <w:gridSpan w:val="2"/>
          </w:tcPr>
          <w:p w14:paraId="216FFE41" w14:textId="77777777" w:rsidR="003064B6"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3064B6" w:rsidRDefault="00000000">
            <w:pPr>
              <w:rPr>
                <w:u w:val="single"/>
              </w:rPr>
            </w:pPr>
            <w:r>
              <w:rPr>
                <w:u w:val="single"/>
              </w:rPr>
              <w:t xml:space="preserve">Use multi-modal news reports to generate hypotheses about real life </w:t>
            </w:r>
            <w:proofErr w:type="gramStart"/>
            <w:r>
              <w:rPr>
                <w:u w:val="single"/>
              </w:rPr>
              <w:t>events</w:t>
            </w:r>
            <w:proofErr w:type="gramEnd"/>
          </w:p>
          <w:p w14:paraId="3B4BDE2E" w14:textId="77777777" w:rsidR="003064B6" w:rsidRDefault="00000000">
            <w:r>
              <w:rPr>
                <w:i/>
              </w:rPr>
              <w:t xml:space="preserve">Advised by Prof. Rada Mihalcea, part of the DARPA AIDA </w:t>
            </w:r>
            <w:proofErr w:type="gramStart"/>
            <w:r>
              <w:rPr>
                <w:i/>
              </w:rPr>
              <w:t>project</w:t>
            </w:r>
            <w:proofErr w:type="gramEnd"/>
          </w:p>
          <w:p w14:paraId="68975929" w14:textId="77777777" w:rsidR="003064B6" w:rsidRDefault="00000000">
            <w:pPr>
              <w:tabs>
                <w:tab w:val="right" w:pos="8334"/>
              </w:tabs>
            </w:pPr>
            <w:r>
              <w:t xml:space="preserve">• Produced knowledge elements using the text from multiple account of the events regarding the Ukrainian-Russian relations. </w:t>
            </w:r>
          </w:p>
          <w:p w14:paraId="11445A8E" w14:textId="77777777" w:rsidR="003064B6" w:rsidRDefault="00000000">
            <w:pPr>
              <w:tabs>
                <w:tab w:val="right" w:pos="8160"/>
              </w:tabs>
              <w:rPr>
                <w:b/>
              </w:rPr>
            </w:pPr>
            <w:r>
              <w:t>• Performed keyword extraction and named entity recognition to extract knowledge elements and assign saliency to them.</w:t>
            </w:r>
          </w:p>
        </w:tc>
      </w:tr>
      <w:tr w:rsidR="003064B6" w14:paraId="759271C3" w14:textId="77777777">
        <w:trPr>
          <w:trHeight w:val="56"/>
        </w:trPr>
        <w:tc>
          <w:tcPr>
            <w:tcW w:w="1885" w:type="dxa"/>
            <w:vMerge/>
          </w:tcPr>
          <w:p w14:paraId="2E97BB89" w14:textId="77777777" w:rsidR="003064B6" w:rsidRDefault="003064B6">
            <w:pPr>
              <w:pStyle w:val="Heading2"/>
            </w:pPr>
          </w:p>
        </w:tc>
        <w:tc>
          <w:tcPr>
            <w:tcW w:w="270" w:type="dxa"/>
          </w:tcPr>
          <w:p w14:paraId="0E0240BA" w14:textId="77777777" w:rsidR="003064B6" w:rsidRDefault="003064B6"/>
        </w:tc>
        <w:tc>
          <w:tcPr>
            <w:tcW w:w="8550" w:type="dxa"/>
            <w:gridSpan w:val="2"/>
          </w:tcPr>
          <w:p w14:paraId="0779DDC4" w14:textId="77777777" w:rsidR="003064B6"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3064B6" w:rsidRDefault="00000000">
            <w:pPr>
              <w:rPr>
                <w:u w:val="single"/>
              </w:rPr>
            </w:pPr>
            <w:r>
              <w:rPr>
                <w:u w:val="single"/>
              </w:rPr>
              <w:t xml:space="preserve">Part of the IBM Sapphire project to build a dialogue system for academic </w:t>
            </w:r>
            <w:proofErr w:type="gramStart"/>
            <w:r>
              <w:rPr>
                <w:u w:val="single"/>
              </w:rPr>
              <w:t>advising</w:t>
            </w:r>
            <w:proofErr w:type="gramEnd"/>
          </w:p>
          <w:p w14:paraId="709443A8" w14:textId="77777777" w:rsidR="003064B6" w:rsidRDefault="00000000">
            <w:r>
              <w:rPr>
                <w:i/>
              </w:rPr>
              <w:t xml:space="preserve">Advised by Prof. Dragomir Radev </w:t>
            </w:r>
          </w:p>
          <w:p w14:paraId="02F487D6" w14:textId="77777777" w:rsidR="003064B6" w:rsidRDefault="00000000">
            <w:r>
              <w:t>• Implemented a named entity recognizer specifically on the academic advising ontology to automatically expand training data by permutating entities.</w:t>
            </w:r>
          </w:p>
          <w:p w14:paraId="7A0BBD55" w14:textId="77777777" w:rsidR="003064B6" w:rsidRDefault="00000000">
            <w:r>
              <w:t>• Designed over 50 semantically distinct and meaningful advising questions as well as their corresponding SQL queries to be used as training data.</w:t>
            </w:r>
          </w:p>
          <w:p w14:paraId="2F6B669C" w14:textId="77777777" w:rsidR="003064B6" w:rsidRDefault="00000000">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464C3B79" w14:textId="77777777" w:rsidR="003064B6" w:rsidRDefault="00000000">
            <w:pPr>
              <w:tabs>
                <w:tab w:val="right" w:pos="8160"/>
              </w:tabs>
              <w:rPr>
                <w:b/>
              </w:rPr>
            </w:pPr>
            <w:r>
              <w:t>• Presented in 2016 Michigan Research Community poster symposium.</w:t>
            </w:r>
          </w:p>
        </w:tc>
      </w:tr>
      <w:tr w:rsidR="003064B6" w14:paraId="72C57F1F" w14:textId="77777777">
        <w:trPr>
          <w:trHeight w:val="56"/>
        </w:trPr>
        <w:tc>
          <w:tcPr>
            <w:tcW w:w="1885" w:type="dxa"/>
            <w:vMerge/>
          </w:tcPr>
          <w:p w14:paraId="0E2339C2" w14:textId="77777777" w:rsidR="003064B6" w:rsidRDefault="003064B6">
            <w:pPr>
              <w:pStyle w:val="Heading2"/>
            </w:pPr>
          </w:p>
        </w:tc>
        <w:tc>
          <w:tcPr>
            <w:tcW w:w="270" w:type="dxa"/>
          </w:tcPr>
          <w:p w14:paraId="786B7AF3" w14:textId="77777777" w:rsidR="003064B6" w:rsidRDefault="003064B6"/>
        </w:tc>
        <w:tc>
          <w:tcPr>
            <w:tcW w:w="8550" w:type="dxa"/>
            <w:gridSpan w:val="2"/>
          </w:tcPr>
          <w:p w14:paraId="4E58B450" w14:textId="77777777" w:rsidR="003064B6" w:rsidRDefault="00000000">
            <w:pPr>
              <w:tabs>
                <w:tab w:val="right" w:pos="8160"/>
              </w:tabs>
              <w:rPr>
                <w:b/>
              </w:rPr>
            </w:pPr>
            <w:r>
              <w:rPr>
                <w:b/>
              </w:rPr>
              <w:t>Text Clustering Based on Humor in Cartoons</w:t>
            </w:r>
            <w:r>
              <w:rPr>
                <w:b/>
              </w:rPr>
              <w:tab/>
            </w:r>
            <w:r>
              <w:t>Jan 2016 – Apr 2016</w:t>
            </w:r>
          </w:p>
          <w:p w14:paraId="3C0A3A9A" w14:textId="77777777" w:rsidR="003064B6" w:rsidRDefault="00000000">
            <w:pPr>
              <w:rPr>
                <w:u w:val="single"/>
              </w:rPr>
            </w:pPr>
            <w:r>
              <w:rPr>
                <w:u w:val="single"/>
              </w:rPr>
              <w:t xml:space="preserve">Dataset from caption submissions for the cartoon section of New Yorker magazine </w:t>
            </w:r>
          </w:p>
          <w:p w14:paraId="6F77021B" w14:textId="77777777" w:rsidR="003064B6" w:rsidRDefault="00000000">
            <w:pPr>
              <w:rPr>
                <w:i/>
              </w:rPr>
            </w:pPr>
            <w:r>
              <w:rPr>
                <w:i/>
              </w:rPr>
              <w:t xml:space="preserve">Advised by Prof. Dragomir Radev </w:t>
            </w:r>
          </w:p>
          <w:p w14:paraId="4398AFAF" w14:textId="77777777" w:rsidR="003064B6" w:rsidRDefault="00000000">
            <w:pPr>
              <w:rPr>
                <w:u w:val="single"/>
              </w:rPr>
            </w:pPr>
            <w:r>
              <w:t>• Restarted and oversaw the project with under-documented codebase.</w:t>
            </w:r>
          </w:p>
          <w:p w14:paraId="53989960" w14:textId="77777777" w:rsidR="003064B6" w:rsidRDefault="00000000">
            <w:r>
              <w:t>• Rewrote Perl scripts in Python using state-of-the-art machine learning APIs.</w:t>
            </w:r>
          </w:p>
          <w:p w14:paraId="2040D8AF" w14:textId="77777777" w:rsidR="003064B6"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3064B6" w14:paraId="4B2E0B7B" w14:textId="77777777">
        <w:trPr>
          <w:trHeight w:val="56"/>
        </w:trPr>
        <w:tc>
          <w:tcPr>
            <w:tcW w:w="1885" w:type="dxa"/>
            <w:vMerge/>
          </w:tcPr>
          <w:p w14:paraId="1DAAC864" w14:textId="77777777" w:rsidR="003064B6" w:rsidRDefault="003064B6">
            <w:pPr>
              <w:pStyle w:val="Heading2"/>
            </w:pPr>
          </w:p>
        </w:tc>
        <w:tc>
          <w:tcPr>
            <w:tcW w:w="270" w:type="dxa"/>
          </w:tcPr>
          <w:p w14:paraId="3BD66F2F" w14:textId="77777777" w:rsidR="003064B6" w:rsidRDefault="003064B6"/>
        </w:tc>
        <w:tc>
          <w:tcPr>
            <w:tcW w:w="8550" w:type="dxa"/>
            <w:gridSpan w:val="2"/>
          </w:tcPr>
          <w:p w14:paraId="2C742329" w14:textId="77777777" w:rsidR="003064B6" w:rsidRDefault="00000000">
            <w:pPr>
              <w:tabs>
                <w:tab w:val="right" w:pos="8160"/>
              </w:tabs>
              <w:rPr>
                <w:b/>
              </w:rPr>
            </w:pPr>
            <w:r>
              <w:rPr>
                <w:b/>
              </w:rPr>
              <w:t>ACL Anthology Network</w:t>
            </w:r>
            <w:r>
              <w:tab/>
              <w:t>Sept 2016 – Dec 2016</w:t>
            </w:r>
          </w:p>
          <w:p w14:paraId="7E75A180" w14:textId="77777777" w:rsidR="003064B6" w:rsidRDefault="00000000">
            <w:pPr>
              <w:rPr>
                <w:u w:val="single"/>
              </w:rPr>
            </w:pPr>
            <w:r>
              <w:rPr>
                <w:u w:val="single"/>
              </w:rPr>
              <w:t>A power taxonomy of papers from top NLP conferences</w:t>
            </w:r>
          </w:p>
          <w:p w14:paraId="01C1A1E4" w14:textId="77777777" w:rsidR="003064B6" w:rsidRDefault="00000000">
            <w:pPr>
              <w:rPr>
                <w:i/>
              </w:rPr>
            </w:pPr>
            <w:r>
              <w:rPr>
                <w:i/>
              </w:rPr>
              <w:t xml:space="preserve">Advised by Prof. Dragomir Radev </w:t>
            </w:r>
          </w:p>
          <w:p w14:paraId="7C6C5B00" w14:textId="77777777" w:rsidR="003064B6" w:rsidRDefault="00000000">
            <w:pPr>
              <w:rPr>
                <w:u w:val="single"/>
              </w:rPr>
            </w:pPr>
            <w:r>
              <w:t>• Implemented distance metrics between papers classified into the same category.</w:t>
            </w:r>
          </w:p>
          <w:p w14:paraId="63EC1187" w14:textId="77777777" w:rsidR="003064B6" w:rsidRDefault="00000000">
            <w:r>
              <w:t>• Fixed display issues on the front end and did QA on the database.</w:t>
            </w:r>
          </w:p>
          <w:p w14:paraId="726942A1" w14:textId="77777777" w:rsidR="003064B6" w:rsidRDefault="00000000">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EC39A" w14:textId="77777777" w:rsidR="00FA2F89" w:rsidRDefault="00FA2F89">
      <w:pPr>
        <w:spacing w:after="0"/>
      </w:pPr>
      <w:r>
        <w:separator/>
      </w:r>
    </w:p>
  </w:endnote>
  <w:endnote w:type="continuationSeparator" w:id="0">
    <w:p w14:paraId="3F79BD2D" w14:textId="77777777" w:rsidR="00FA2F89" w:rsidRDefault="00FA2F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83F3E" w14:textId="77777777" w:rsidR="00FA2F89" w:rsidRDefault="00FA2F89">
      <w:pPr>
        <w:spacing w:after="0"/>
      </w:pPr>
      <w:r>
        <w:separator/>
      </w:r>
    </w:p>
  </w:footnote>
  <w:footnote w:type="continuationSeparator" w:id="0">
    <w:p w14:paraId="357E90E9" w14:textId="77777777" w:rsidR="00FA2F89" w:rsidRDefault="00FA2F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2742</Words>
  <Characters>15635</Characters>
  <Application>Microsoft Office Word</Application>
  <DocSecurity>0</DocSecurity>
  <Lines>130</Lines>
  <Paragraphs>36</Paragraphs>
  <ScaleCrop>false</ScaleCrop>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Li Zhang</cp:lastModifiedBy>
  <cp:revision>445</cp:revision>
  <cp:lastPrinted>2023-05-30T16:19:00Z</cp:lastPrinted>
  <dcterms:created xsi:type="dcterms:W3CDTF">2017-09-02T05:26:00Z</dcterms:created>
  <dcterms:modified xsi:type="dcterms:W3CDTF">2023-09-21T00:33:00Z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