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80E73" w:rsidRPr="00F44C13" w:rsidRDefault="00880E73" w:rsidP="00880E73">
      <w:pPr>
        <w:rPr>
          <w:rFonts w:ascii="Times New Roman" w:hAnsi="Times New Roman" w:cs="Times New Roman"/>
          <w:lang w:val="en-US"/>
        </w:rPr>
      </w:pPr>
      <w:r w:rsidRPr="00F44C13">
        <w:rPr>
          <w:rFonts w:ascii="Times New Roman" w:hAnsi="Times New Roman" w:cs="Times New Roman"/>
          <w:lang w:val="en-US"/>
        </w:rPr>
        <w:t>Homework for week</w:t>
      </w:r>
      <w:r w:rsidR="00F44C13" w:rsidRPr="00F44C13">
        <w:rPr>
          <w:rFonts w:ascii="Times New Roman" w:hAnsi="Times New Roman" w:cs="Times New Roman"/>
          <w:lang w:val="en-US"/>
        </w:rPr>
        <w:t xml:space="preserve"> 3</w:t>
      </w:r>
      <w:r w:rsidRPr="00F44C13">
        <w:rPr>
          <w:rFonts w:ascii="Times New Roman" w:hAnsi="Times New Roman" w:cs="Times New Roman"/>
          <w:lang w:val="en-US"/>
        </w:rPr>
        <w:t xml:space="preserve">, </w:t>
      </w:r>
      <w:r w:rsidRPr="00F44C13">
        <w:rPr>
          <w:rFonts w:ascii="Times New Roman" w:hAnsi="Times New Roman" w:cs="Times New Roman"/>
          <w:b/>
          <w:bCs/>
          <w:color w:val="C00000"/>
          <w:sz w:val="36"/>
          <w:szCs w:val="36"/>
          <w:lang w:val="en-US"/>
        </w:rPr>
        <w:t>submission deadline 23:59 on Sunday night</w:t>
      </w:r>
      <w:r w:rsidRPr="00F44C13">
        <w:rPr>
          <w:rFonts w:ascii="Times New Roman" w:hAnsi="Times New Roman" w:cs="Times New Roman"/>
          <w:lang w:val="en-US"/>
        </w:rPr>
        <w:t>.</w:t>
      </w:r>
    </w:p>
    <w:p w:rsidR="00680E65" w:rsidRPr="00F44C13" w:rsidRDefault="00F7442B" w:rsidP="00F44C13">
      <w:pPr>
        <w:pStyle w:val="ListParagraph"/>
        <w:numPr>
          <w:ilvl w:val="0"/>
          <w:numId w:val="4"/>
        </w:numPr>
        <w:rPr>
          <w:rFonts w:ascii="Times New Roman" w:hAnsi="Times New Roman" w:cs="Times New Roman"/>
          <w:lang w:val="en-US"/>
        </w:rPr>
      </w:pPr>
      <w:r>
        <w:rPr>
          <w:rFonts w:ascii="Times New Roman" w:hAnsi="Times New Roman" w:cs="Times New Roman"/>
        </w:rPr>
        <w:t xml:space="preserve">Use nature microbiology paper </w:t>
      </w:r>
      <w:r w:rsidR="00F44C13" w:rsidRPr="00F44C13">
        <w:rPr>
          <w:rFonts w:ascii="Times New Roman" w:hAnsi="Times New Roman" w:cs="Times New Roman"/>
        </w:rPr>
        <w:t>from</w:t>
      </w:r>
      <w:r w:rsidR="00F44C13" w:rsidRPr="00F44C13">
        <w:rPr>
          <w:rFonts w:ascii="Times New Roman" w:hAnsi="Times New Roman" w:cs="Times New Roman"/>
          <w:lang w:val="en-US"/>
        </w:rPr>
        <w:t xml:space="preserve"> last week and </w:t>
      </w:r>
      <w:r w:rsidR="00F44C13" w:rsidRPr="00F44C13">
        <w:rPr>
          <w:rFonts w:ascii="Times New Roman" w:hAnsi="Times New Roman" w:cs="Times New Roman"/>
        </w:rPr>
        <w:t xml:space="preserve">use a GSE identified from Week 2 homework, answer the question list in the </w:t>
      </w:r>
      <w:r w:rsidR="00F44C13" w:rsidRPr="00F44C13">
        <w:rPr>
          <w:rFonts w:ascii="Times New Roman" w:hAnsi="Times New Roman" w:cs="Times New Roman"/>
          <w:lang w:val="en-US"/>
        </w:rPr>
        <w:t xml:space="preserve">table below. </w:t>
      </w:r>
      <w:r w:rsidR="003416F4">
        <w:rPr>
          <w:rFonts w:ascii="Times New Roman" w:hAnsi="Times New Roman" w:cs="Times New Roman" w:hint="eastAsia"/>
          <w:lang w:val="en-US"/>
        </w:rPr>
        <w:t>If</w:t>
      </w:r>
      <w:r w:rsidR="003416F4">
        <w:rPr>
          <w:rFonts w:ascii="Times New Roman" w:hAnsi="Times New Roman" w:cs="Times New Roman"/>
          <w:lang w:val="en-US"/>
        </w:rPr>
        <w:t xml:space="preserve"> you use AI-agent or R to facilitate this process, please paste code or script at the end.</w:t>
      </w:r>
    </w:p>
    <w:tbl>
      <w:tblPr>
        <w:tblStyle w:val="TableGrid"/>
        <w:tblW w:w="5000" w:type="pct"/>
        <w:jc w:val="center"/>
        <w:tblLook w:val="04A0" w:firstRow="1" w:lastRow="0" w:firstColumn="1" w:lastColumn="0" w:noHBand="0" w:noVBand="1"/>
      </w:tblPr>
      <w:tblGrid>
        <w:gridCol w:w="621"/>
        <w:gridCol w:w="4590"/>
        <w:gridCol w:w="4139"/>
      </w:tblGrid>
      <w:tr w:rsidR="00F44C13" w:rsidRPr="00F44C13" w:rsidTr="00D70264">
        <w:trPr>
          <w:tblHeader/>
          <w:jc w:val="center"/>
        </w:trPr>
        <w:tc>
          <w:tcPr>
            <w:tcW w:w="621" w:type="dxa"/>
            <w:shd w:val="clear" w:color="auto" w:fill="5A2D91"/>
            <w:tcMar>
              <w:top w:w="55" w:type="dxa"/>
              <w:left w:w="65" w:type="dxa"/>
              <w:bottom w:w="55" w:type="dxa"/>
              <w:right w:w="65"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b/>
                <w:color w:val="FFFFFF"/>
                <w:sz w:val="24"/>
                <w:szCs w:val="24"/>
              </w:rPr>
              <w:t>Step</w:t>
            </w:r>
          </w:p>
        </w:tc>
        <w:tc>
          <w:tcPr>
            <w:tcW w:w="4590" w:type="dxa"/>
            <w:shd w:val="clear" w:color="auto" w:fill="5A2D91"/>
            <w:tcMar>
              <w:top w:w="55" w:type="dxa"/>
              <w:left w:w="65" w:type="dxa"/>
              <w:bottom w:w="55" w:type="dxa"/>
              <w:right w:w="65"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b/>
                <w:color w:val="FFFFFF"/>
                <w:sz w:val="24"/>
                <w:szCs w:val="24"/>
              </w:rPr>
              <w:t>Student action</w:t>
            </w:r>
          </w:p>
        </w:tc>
        <w:tc>
          <w:tcPr>
            <w:tcW w:w="4139" w:type="dxa"/>
            <w:shd w:val="clear" w:color="auto" w:fill="5A2D91"/>
            <w:tcMar>
              <w:top w:w="55" w:type="dxa"/>
              <w:left w:w="65" w:type="dxa"/>
              <w:bottom w:w="55" w:type="dxa"/>
              <w:right w:w="65"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b/>
                <w:color w:val="FFFFFF"/>
                <w:sz w:val="24"/>
                <w:szCs w:val="24"/>
              </w:rPr>
              <w:t>Evidence to record</w:t>
            </w:r>
          </w:p>
        </w:tc>
      </w:tr>
      <w:tr w:rsidR="00F44C13" w:rsidRPr="00F44C13" w:rsidTr="00D70264">
        <w:trPr>
          <w:cantSplit/>
          <w:trHeight w:val="626"/>
          <w:jc w:val="center"/>
        </w:trPr>
        <w:tc>
          <w:tcPr>
            <w:tcW w:w="621"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1</w:t>
            </w:r>
          </w:p>
        </w:tc>
        <w:tc>
          <w:tcPr>
            <w:tcW w:w="4590"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State the Week 2 data-driven question.</w:t>
            </w:r>
          </w:p>
        </w:tc>
        <w:tc>
          <w:tcPr>
            <w:tcW w:w="4139"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One sentence with population/system, comparison, outcome, and data type.</w:t>
            </w:r>
          </w:p>
        </w:tc>
      </w:tr>
      <w:tr w:rsidR="00F44C13" w:rsidRPr="00F44C13" w:rsidTr="00D70264">
        <w:trPr>
          <w:cantSplit/>
          <w:jc w:val="center"/>
        </w:trPr>
        <w:tc>
          <w:tcPr>
            <w:tcW w:w="621"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2</w:t>
            </w:r>
          </w:p>
        </w:tc>
        <w:tc>
          <w:tcPr>
            <w:tcW w:w="4590"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Confirm study identity.</w:t>
            </w:r>
          </w:p>
        </w:tc>
        <w:tc>
          <w:tcPr>
            <w:tcW w:w="4139"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GSE, title, organism, publication, and platform.</w:t>
            </w:r>
          </w:p>
        </w:tc>
      </w:tr>
      <w:tr w:rsidR="00F44C13" w:rsidRPr="00F44C13" w:rsidTr="00D70264">
        <w:trPr>
          <w:cantSplit/>
          <w:jc w:val="center"/>
        </w:trPr>
        <w:tc>
          <w:tcPr>
            <w:tcW w:w="621"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3</w:t>
            </w:r>
          </w:p>
        </w:tc>
        <w:tc>
          <w:tcPr>
            <w:tcW w:w="4590"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Map accessions.</w:t>
            </w:r>
          </w:p>
        </w:tc>
        <w:tc>
          <w:tcPr>
            <w:tcW w:w="4139"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 xml:space="preserve">At least one GSM and any linked </w:t>
            </w:r>
            <w:proofErr w:type="spellStart"/>
            <w:r w:rsidRPr="00F44C13">
              <w:rPr>
                <w:rFonts w:ascii="Times New Roman" w:hAnsi="Times New Roman" w:cs="Times New Roman"/>
                <w:color w:val="1D1F24"/>
                <w:sz w:val="24"/>
                <w:szCs w:val="24"/>
              </w:rPr>
              <w:t>BioProject</w:t>
            </w:r>
            <w:proofErr w:type="spellEnd"/>
            <w:r w:rsidRPr="00F44C13">
              <w:rPr>
                <w:rFonts w:ascii="Times New Roman" w:hAnsi="Times New Roman" w:cs="Times New Roman"/>
                <w:color w:val="1D1F24"/>
                <w:sz w:val="24"/>
                <w:szCs w:val="24"/>
              </w:rPr>
              <w:t>/SRP/SRR.</w:t>
            </w:r>
          </w:p>
        </w:tc>
      </w:tr>
      <w:tr w:rsidR="00F44C13" w:rsidRPr="00F44C13" w:rsidTr="00D70264">
        <w:trPr>
          <w:cantSplit/>
          <w:jc w:val="center"/>
        </w:trPr>
        <w:tc>
          <w:tcPr>
            <w:tcW w:w="621"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4</w:t>
            </w:r>
          </w:p>
        </w:tc>
        <w:tc>
          <w:tcPr>
            <w:tcW w:w="4590"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Identify available data layers.</w:t>
            </w:r>
          </w:p>
        </w:tc>
        <w:tc>
          <w:tcPr>
            <w:tcW w:w="4139" w:type="dxa"/>
            <w:shd w:val="clear" w:color="auto" w:fill="F3F1F7"/>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Series matrix, supplementary counts, raw reads, or single-cell files.</w:t>
            </w:r>
          </w:p>
        </w:tc>
      </w:tr>
      <w:tr w:rsidR="00F44C13" w:rsidRPr="00F44C13" w:rsidTr="00D70264">
        <w:trPr>
          <w:cantSplit/>
          <w:jc w:val="center"/>
        </w:trPr>
        <w:tc>
          <w:tcPr>
            <w:tcW w:w="621"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5</w:t>
            </w:r>
          </w:p>
        </w:tc>
        <w:tc>
          <w:tcPr>
            <w:tcW w:w="4590"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Reconstruct the design.</w:t>
            </w:r>
          </w:p>
        </w:tc>
        <w:tc>
          <w:tcPr>
            <w:tcW w:w="4139" w:type="dxa"/>
            <w:shd w:val="clear" w:color="auto" w:fill="FFFFFF"/>
            <w:tcMar>
              <w:top w:w="45" w:type="dxa"/>
              <w:left w:w="60" w:type="dxa"/>
              <w:bottom w:w="45" w:type="dxa"/>
              <w:right w:w="60" w:type="dxa"/>
            </w:tcMar>
            <w:vAlign w:val="center"/>
          </w:tcPr>
          <w:p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Groups, n, subject/paired structure, major covariates, batch.</w:t>
            </w:r>
          </w:p>
        </w:tc>
      </w:tr>
    </w:tbl>
    <w:p>
      <w:pPr>
        <w:spacing w:before="240" w:after="80" w:line="276" w:lineRule="auto"/>
      </w:pPr>
      <w:r>
        <w:rPr>
          <w:rFonts w:ascii="Times New Roman" w:hAnsi="Times New Roman" w:cs="Times New Roman" w:eastAsia="Times New Roman"/>
          <w:b/>
          <w:i w:val="0"/>
          <w:sz w:val="26"/>
        </w:rPr>
        <w:t>Answers for this week's question list - dataset selected from Week 2 homework</w:t>
      </w:r>
    </w:p>
    <w:p>
      <w:pPr>
        <w:spacing w:before="0" w:after="120" w:line="276" w:lineRule="auto"/>
      </w:pPr>
      <w:r>
        <w:rPr>
          <w:rFonts w:ascii="Times New Roman" w:hAnsi="Times New Roman" w:cs="Times New Roman" w:eastAsia="Times New Roman"/>
          <w:b w:val="0"/>
          <w:i/>
          <w:sz w:val="21"/>
        </w:rPr>
        <w:t>GSE from Week 2 homework: GSE111889 (host RNA-seq of the HMP2 / IBD Multi'omics Database IBD cohort, the IBD arm of Priya et al., Nature Microbiology 2022). The rows below answer steps 1-5 of the table above.</w:t>
      </w:r>
    </w:p>
    <w:tbl>
      <w:tblPr>
        <w:tblStyle w:val="TableGrid"/>
        <w:jc w:val="center"/>
        <w:tblLook w:firstColumn="1" w:firstRow="1" w:lastColumn="0" w:lastRow="0" w:noHBand="0" w:noVBand="1" w:val="04A0"/>
        <w:tblW w:w="5000" w:type="pct"/>
        <w:tblLayout w:type="fixed"/>
      </w:tblPr>
      <w:tblGrid>
        <w:gridCol w:w="520"/>
        <w:gridCol w:w="2480"/>
        <w:gridCol w:w="6350"/>
      </w:tblGrid>
      <w:tr>
        <w:tc>
          <w:tcPr>
            <w:tcW w:type="dxa" w:w="520"/>
            <w:shd w:val="clear" w:color="auto" w:fill="5A2D91"/>
          </w:tcPr>
          <w:p>
            <w:pPr>
              <w:spacing w:before="40" w:after="40" w:line="252" w:lineRule="auto"/>
            </w:pPr>
            <w:r/>
            <w:r>
              <w:rPr>
                <w:rFonts w:ascii="Times New Roman" w:hAnsi="Times New Roman" w:cs="Times New Roman" w:eastAsia="Times New Roman"/>
                <w:b/>
                <w:i w:val="0"/>
                <w:color w:val="FFFFFF"/>
                <w:sz w:val="20"/>
              </w:rPr>
              <w:t>Step</w:t>
            </w:r>
          </w:p>
        </w:tc>
        <w:tc>
          <w:tcPr>
            <w:tcW w:type="dxa" w:w="2480"/>
            <w:shd w:val="clear" w:color="auto" w:fill="5A2D91"/>
          </w:tcPr>
          <w:p>
            <w:pPr>
              <w:spacing w:before="40" w:after="40" w:line="252" w:lineRule="auto"/>
            </w:pPr>
            <w:r/>
            <w:r>
              <w:rPr>
                <w:rFonts w:ascii="Times New Roman" w:hAnsi="Times New Roman" w:cs="Times New Roman" w:eastAsia="Times New Roman"/>
                <w:b/>
                <w:i w:val="0"/>
                <w:color w:val="FFFFFF"/>
                <w:sz w:val="20"/>
              </w:rPr>
              <w:t>Student action</w:t>
            </w:r>
          </w:p>
        </w:tc>
        <w:tc>
          <w:tcPr>
            <w:tcW w:type="dxa" w:w="6350"/>
            <w:shd w:val="clear" w:color="auto" w:fill="5A2D91"/>
          </w:tcPr>
          <w:p>
            <w:pPr>
              <w:spacing w:before="40" w:after="40" w:line="252" w:lineRule="auto"/>
            </w:pPr>
            <w:r/>
            <w:r>
              <w:rPr>
                <w:rFonts w:ascii="Times New Roman" w:hAnsi="Times New Roman" w:cs="Times New Roman" w:eastAsia="Times New Roman"/>
                <w:b/>
                <w:i w:val="0"/>
                <w:color w:val="FFFFFF"/>
                <w:sz w:val="20"/>
              </w:rPr>
              <w:t>Evidence to record</w:t>
            </w:r>
          </w:p>
        </w:tc>
      </w:tr>
      <w:tr>
        <w:tc>
          <w:tcPr>
            <w:tcW w:type="dxa" w:w="520"/>
          </w:tcPr>
          <w:p>
            <w:pPr>
              <w:spacing w:before="40" w:after="40" w:line="252" w:lineRule="auto"/>
            </w:pPr>
            <w:r/>
            <w:r>
              <w:rPr>
                <w:rFonts w:ascii="Times New Roman" w:hAnsi="Times New Roman" w:cs="Times New Roman" w:eastAsia="Times New Roman"/>
                <w:b w:val="0"/>
                <w:i w:val="0"/>
                <w:sz w:val="20"/>
              </w:rPr>
              <w:t>1</w:t>
            </w:r>
          </w:p>
        </w:tc>
        <w:tc>
          <w:tcPr>
            <w:tcW w:type="dxa" w:w="2480"/>
          </w:tcPr>
          <w:p>
            <w:pPr>
              <w:spacing w:before="40" w:after="40" w:line="252" w:lineRule="auto"/>
            </w:pPr>
            <w:r/>
            <w:r>
              <w:rPr>
                <w:rFonts w:ascii="Times New Roman" w:hAnsi="Times New Roman" w:cs="Times New Roman" w:eastAsia="Times New Roman"/>
                <w:b w:val="0"/>
                <w:i w:val="0"/>
                <w:sz w:val="20"/>
              </w:rPr>
              <w:t>State the Week 2 data-driven question.</w:t>
            </w:r>
          </w:p>
        </w:tc>
        <w:tc>
          <w:tcPr>
            <w:tcW w:type="dxa" w:w="6350"/>
          </w:tcPr>
          <w:p>
            <w:pPr>
              <w:spacing w:before="40" w:after="40" w:line="252" w:lineRule="auto"/>
            </w:pPr>
            <w:r/>
            <w:r>
              <w:rPr>
                <w:rFonts w:ascii="Times New Roman" w:hAnsi="Times New Roman" w:cs="Times New Roman" w:eastAsia="Times New Roman"/>
                <w:b w:val="0"/>
                <w:i w:val="0"/>
                <w:sz w:val="20"/>
              </w:rPr>
              <w:t>In adults with inflammatory bowel disease (Crohn's disease or ulcerative colitis) versus non-IBD controls (population), does the mucosal gut microbiome (exposure) associate with host colonic mucosal gene expression (outcome), compared with non-IBD controls and with the shared versus disease-specific host-microbe patterns reported for CRC and IBS (comparison), using paired 16S rRNA amplicon profiles and bulk RNA-seq read-count data from colonic biopsies (data type)?  [This is the Week 2 PECO question for the Nature Microbiology paper (Priya et al. 2022), whose Data Availability statement supplied the GSE used here. The Week 2 topic-list choice (muscle regeneration and aging) had no public GSE accession attached, so the GSE for Week 3 comes from that paper.]</w:t>
            </w:r>
          </w:p>
        </w:tc>
      </w:tr>
      <w:tr>
        <w:tc>
          <w:tcPr>
            <w:tcW w:type="dxa" w:w="520"/>
          </w:tcPr>
          <w:p>
            <w:pPr>
              <w:spacing w:before="40" w:after="40" w:line="252" w:lineRule="auto"/>
            </w:pPr>
            <w:r/>
            <w:r>
              <w:rPr>
                <w:rFonts w:ascii="Times New Roman" w:hAnsi="Times New Roman" w:cs="Times New Roman" w:eastAsia="Times New Roman"/>
                <w:b w:val="0"/>
                <w:i w:val="0"/>
                <w:sz w:val="20"/>
              </w:rPr>
              <w:t>2</w:t>
            </w:r>
          </w:p>
        </w:tc>
        <w:tc>
          <w:tcPr>
            <w:tcW w:type="dxa" w:w="2480"/>
          </w:tcPr>
          <w:p>
            <w:pPr>
              <w:spacing w:before="40" w:after="40" w:line="252" w:lineRule="auto"/>
            </w:pPr>
            <w:r/>
            <w:r>
              <w:rPr>
                <w:rFonts w:ascii="Times New Roman" w:hAnsi="Times New Roman" w:cs="Times New Roman" w:eastAsia="Times New Roman"/>
                <w:b w:val="0"/>
                <w:i w:val="0"/>
                <w:sz w:val="20"/>
              </w:rPr>
              <w:t>Confirm study identity.</w:t>
            </w:r>
          </w:p>
        </w:tc>
        <w:tc>
          <w:tcPr>
            <w:tcW w:type="dxa" w:w="6350"/>
          </w:tcPr>
          <w:p>
            <w:pPr>
              <w:spacing w:before="40" w:after="40" w:line="252" w:lineRule="auto"/>
            </w:pPr>
            <w:r/>
            <w:r>
              <w:rPr>
                <w:rFonts w:ascii="Times New Roman" w:hAnsi="Times New Roman" w:cs="Times New Roman" w:eastAsia="Times New Roman"/>
                <w:b w:val="0"/>
                <w:i w:val="0"/>
                <w:sz w:val="20"/>
              </w:rPr>
              <w:t>GSE: GSE111889. Title: 'Longitudinal Multi'omics of the Human Microbiome in Inflammatory Bowel Disease'. Organism: Homo sapiens (taxid 9606). Publication: Lloyd-Price J, et al. Multi-omics of the gut microbial ecosystem in inflammatory bowel diseases. Nature 2019;569(7758):655-662 (PMID 31142855; doi:10.1038/s41586-019-1237-9) - the same HMP2 / IBDMDB cohort is one of the three cohort datasets re-analysed in Priya S, et al. Nature Microbiology 2022;7(6):780-795 (last week's paper). Platform: GPL11154 (Illumina HiSeq 2000, Homo sapiens); all 251 samples are RNA-Seq libraries on this single platform.</w:t>
            </w:r>
          </w:p>
        </w:tc>
      </w:tr>
      <w:tr>
        <w:tc>
          <w:tcPr>
            <w:tcW w:type="dxa" w:w="520"/>
          </w:tcPr>
          <w:p>
            <w:pPr>
              <w:spacing w:before="40" w:after="40" w:line="252" w:lineRule="auto"/>
            </w:pPr>
            <w:r/>
            <w:r>
              <w:rPr>
                <w:rFonts w:ascii="Times New Roman" w:hAnsi="Times New Roman" w:cs="Times New Roman" w:eastAsia="Times New Roman"/>
                <w:b w:val="0"/>
                <w:i w:val="0"/>
                <w:sz w:val="20"/>
              </w:rPr>
              <w:t>3</w:t>
            </w:r>
          </w:p>
        </w:tc>
        <w:tc>
          <w:tcPr>
            <w:tcW w:type="dxa" w:w="2480"/>
          </w:tcPr>
          <w:p>
            <w:pPr>
              <w:spacing w:before="40" w:after="40" w:line="252" w:lineRule="auto"/>
            </w:pPr>
            <w:r/>
            <w:r>
              <w:rPr>
                <w:rFonts w:ascii="Times New Roman" w:hAnsi="Times New Roman" w:cs="Times New Roman" w:eastAsia="Times New Roman"/>
                <w:b w:val="0"/>
                <w:i w:val="0"/>
                <w:sz w:val="20"/>
              </w:rPr>
              <w:t>Map accessions.</w:t>
            </w:r>
          </w:p>
        </w:tc>
        <w:tc>
          <w:tcPr>
            <w:tcW w:type="dxa" w:w="6350"/>
          </w:tcPr>
          <w:p>
            <w:pPr>
              <w:spacing w:before="40" w:after="40" w:line="252" w:lineRule="auto"/>
            </w:pPr>
            <w:r/>
            <w:r>
              <w:rPr>
                <w:rFonts w:ascii="Times New Roman" w:hAnsi="Times New Roman" w:cs="Times New Roman" w:eastAsia="Times New Roman"/>
                <w:b w:val="0"/>
                <w:i w:val="0"/>
                <w:sz w:val="20"/>
              </w:rPr>
              <w:t>Series GSE111889: samples GSM3043377-GSM3043627 (251 samples). Example sample: GSM3043377 (title CSM5FZ1G; colon tissue; Crohn's disease; female; biopsy location Sigmoid Colon) = BioSample SAMN08723464. Linked project: BioProject PRJNA438663 (registration 15-Mar-2018; accession line 'PRJNA438663; GEO: GSE111889'; 251 BioSamples linked). No public SRP/SRR: the Series overall design states that raw reads are submitted to dbGaP instead of SRA ('Submitter declares that the raw data will be submitted to dbGaP ... because of patient privacy concerns'), so this Series has no downloadable raw-read layer on GEO/SRA.</w:t>
            </w:r>
          </w:p>
        </w:tc>
      </w:tr>
      <w:tr>
        <w:tc>
          <w:tcPr>
            <w:tcW w:type="dxa" w:w="520"/>
          </w:tcPr>
          <w:p>
            <w:pPr>
              <w:spacing w:before="40" w:after="40" w:line="252" w:lineRule="auto"/>
            </w:pPr>
            <w:r/>
            <w:r>
              <w:rPr>
                <w:rFonts w:ascii="Times New Roman" w:hAnsi="Times New Roman" w:cs="Times New Roman" w:eastAsia="Times New Roman"/>
                <w:b w:val="0"/>
                <w:i w:val="0"/>
                <w:sz w:val="20"/>
              </w:rPr>
              <w:t>4</w:t>
            </w:r>
          </w:p>
        </w:tc>
        <w:tc>
          <w:tcPr>
            <w:tcW w:type="dxa" w:w="2480"/>
          </w:tcPr>
          <w:p>
            <w:pPr>
              <w:spacing w:before="40" w:after="40" w:line="252" w:lineRule="auto"/>
            </w:pPr>
            <w:r/>
            <w:r>
              <w:rPr>
                <w:rFonts w:ascii="Times New Roman" w:hAnsi="Times New Roman" w:cs="Times New Roman" w:eastAsia="Times New Roman"/>
                <w:b w:val="0"/>
                <w:i w:val="0"/>
                <w:sz w:val="20"/>
              </w:rPr>
              <w:t>Identify available data layers.</w:t>
            </w:r>
          </w:p>
        </w:tc>
        <w:tc>
          <w:tcPr>
            <w:tcW w:type="dxa" w:w="6350"/>
          </w:tcPr>
          <w:p>
            <w:pPr>
              <w:spacing w:before="40" w:after="40" w:line="252" w:lineRule="auto"/>
            </w:pPr>
            <w:r/>
            <w:r>
              <w:rPr>
                <w:rFonts w:ascii="Times New Roman" w:hAnsi="Times New Roman" w:cs="Times New Roman" w:eastAsia="Times New Roman"/>
                <w:b w:val="0"/>
                <w:i w:val="0"/>
                <w:sz w:val="20"/>
              </w:rPr>
              <w:t>(i) Series Matrix: GSE111889_series_matrix.txt.gz (13 KB) - the sample-metadata layer; the per-sample records report data_row_count = 0, i.e. no expression table travels in the Series Matrix. (ii) Supplementary counts: GSE111889_host_tx_counts.tsv.gz (11 MB) - one gene x sample htseq-count table; GSE111889_RAW.tar (68.5 MB) - the 251 per-sample count tables (e.g. GSM3043377_CSM5FZ1G.tsv.gz, ~0.2-0.3 MB each) plus filelist.txt (16 KB). (iii) Raw reads: not public (dbGaP controlled access, see step 3). (iv) No single-cell files (H5/MTX) - bulk RNA-seq only. Value type = raw integer gene counts (TopHat v2.0.14 alignment to hg19, htseq-count v0.6.1).</w:t>
            </w:r>
          </w:p>
        </w:tc>
      </w:tr>
      <w:tr>
        <w:tc>
          <w:tcPr>
            <w:tcW w:type="dxa" w:w="520"/>
          </w:tcPr>
          <w:p>
            <w:pPr>
              <w:spacing w:before="40" w:after="40" w:line="252" w:lineRule="auto"/>
            </w:pPr>
            <w:r/>
            <w:r>
              <w:rPr>
                <w:rFonts w:ascii="Times New Roman" w:hAnsi="Times New Roman" w:cs="Times New Roman" w:eastAsia="Times New Roman"/>
                <w:b w:val="0"/>
                <w:i w:val="0"/>
                <w:sz w:val="20"/>
              </w:rPr>
              <w:t>5</w:t>
            </w:r>
          </w:p>
        </w:tc>
        <w:tc>
          <w:tcPr>
            <w:tcW w:type="dxa" w:w="2480"/>
          </w:tcPr>
          <w:p>
            <w:pPr>
              <w:spacing w:before="40" w:after="40" w:line="252" w:lineRule="auto"/>
            </w:pPr>
            <w:r/>
            <w:r>
              <w:rPr>
                <w:rFonts w:ascii="Times New Roman" w:hAnsi="Times New Roman" w:cs="Times New Roman" w:eastAsia="Times New Roman"/>
                <w:b w:val="0"/>
                <w:i w:val="0"/>
                <w:sz w:val="20"/>
              </w:rPr>
              <w:t>Reconstruct the design.</w:t>
            </w:r>
          </w:p>
        </w:tc>
        <w:tc>
          <w:tcPr>
            <w:tcW w:type="dxa" w:w="6350"/>
          </w:tcPr>
          <w:p>
            <w:pPr>
              <w:spacing w:before="40" w:after="40" w:line="252" w:lineRule="auto"/>
            </w:pPr>
            <w:r/>
            <w:r>
              <w:rPr>
                <w:rFonts w:ascii="Times New Roman" w:hAnsi="Times New Roman" w:cs="Times New Roman" w:eastAsia="Times New Roman"/>
                <w:b w:val="0"/>
                <w:i w:val="0"/>
                <w:sz w:val="20"/>
              </w:rPr>
              <w:t>Groups (sample-level 'disease status' characteristic, all 251 samples): Crohn's disease 127, ulcerative colitis 74, non-IBD 50. n = 251 biopsy-level RNA-seq samples; the source HMP2 / IBDMDB study followed 132 subjects for one year, and the Nature Microbiology re-analysis used 78 of these samples = 78 individuals (56 IBD: 34 CD + 22 UC, plus 22 non-IBD controls), one biopsy per individual, each paired with a 16S profile. Subject/paired structure: the 251 samples are not independent - repeated sampling per individual appears as 18 families of sample titles sharing a six-character prefix (e.g. 'CSM5FZ' 50, 'HSM6S4' 30, 'HSM5FZ' 27, 'CSMDRV' 26, 'MSM5LW' 26 samples) and the Series describes longitudinal sampling, but the public GEO/BioSample records carry only three sample attributes (disease status, biopsy location, sex) with no subject ID or visit/time field, so the pairing key has to be taken from the source study metadata (ibdmdb.org) or the publication's supplementary tables. Major covariates: disease status; biopsy location (Rectum 100, Ileum 89, Sigmoid colon 22, Transverse colon 14, Descending colon 9, Ascending colon 8, Cecum 5, Terminal ileum 3, Non-inflamed 1); sex (female 139 / male 112). Batch: one platform (GPL11154), one instrument (Illumina HiSeq 2000), one submission date and one processing pipeline (homogeneous); no batch, site or run-date field is annotated, and because the raw reads are controlled-access, hidden technical batch cannot be assessed from the public record.</w:t>
            </w:r>
          </w:p>
        </w:tc>
      </w:tr>
    </w:tbl>
    <w:p w:rsidR="00F44C13" w:rsidRPr="00F44C13" w:rsidRDefault="00F44C13" w:rsidP="00F44C13">
      <w:pPr>
        <w:rPr>
          <w:rFonts w:ascii="Times New Roman" w:hAnsi="Times New Roman" w:cs="Times New Roman"/>
        </w:rPr>
      </w:pPr>
    </w:p>
    <w:p w:rsidR="00651052" w:rsidRPr="003416F4" w:rsidRDefault="00F44C13" w:rsidP="003416F4">
      <w:pPr>
        <w:pStyle w:val="ListParagraph"/>
        <w:numPr>
          <w:ilvl w:val="0"/>
          <w:numId w:val="4"/>
        </w:numPr>
        <w:rPr>
          <w:rFonts w:ascii="Times New Roman" w:hAnsi="Times New Roman" w:cs="Times New Roman"/>
          <w:lang w:val="en-US"/>
        </w:rPr>
      </w:pPr>
      <w:r w:rsidRPr="00293EA4">
        <w:rPr>
          <w:rFonts w:ascii="Times New Roman" w:hAnsi="Times New Roman" w:cs="Times New Roman"/>
        </w:rPr>
        <w:t>GSE87487 is a human bulk RNA-seq study of 20 liver allograft biopsies, with pre- and post-reperfusion sampling and a 3.7 MB supplementary count matrix. The Series links to SRA project SRP090633</w:t>
      </w:r>
      <w:r w:rsidRPr="00293EA4">
        <w:rPr>
          <w:rFonts w:ascii="Times New Roman" w:hAnsi="Times New Roman" w:cs="Times New Roman"/>
          <w:lang w:val="en-US"/>
        </w:rPr>
        <w:t>.</w:t>
      </w:r>
      <w:r w:rsidR="003416F4">
        <w:rPr>
          <w:rFonts w:ascii="Times New Roman" w:hAnsi="Times New Roman" w:cs="Times New Roman"/>
          <w:lang w:val="en-US"/>
        </w:rPr>
        <w:t xml:space="preserve"> </w:t>
      </w:r>
      <w:r w:rsidR="003416F4">
        <w:rPr>
          <w:rFonts w:ascii="Times New Roman" w:hAnsi="Times New Roman" w:cs="Times New Roman" w:hint="eastAsia"/>
          <w:lang w:val="en-US"/>
        </w:rPr>
        <w:t>If</w:t>
      </w:r>
      <w:r w:rsidR="003416F4">
        <w:rPr>
          <w:rFonts w:ascii="Times New Roman" w:hAnsi="Times New Roman" w:cs="Times New Roman"/>
          <w:lang w:val="en-US"/>
        </w:rPr>
        <w:t xml:space="preserve"> you use AI-agent or R to facilitate this process, please paste code or script at the end.</w:t>
      </w:r>
    </w:p>
    <w:tbl>
      <w:tblPr>
        <w:tblStyle w:val="TableGrid"/>
        <w:tblW w:w="5000" w:type="pct"/>
        <w:jc w:val="center"/>
        <w:tblLook w:val="04A0" w:firstRow="1" w:lastRow="0" w:firstColumn="1" w:lastColumn="0" w:noHBand="0" w:noVBand="1"/>
      </w:tblPr>
      <w:tblGrid>
        <w:gridCol w:w="4413"/>
        <w:gridCol w:w="4937"/>
      </w:tblGrid>
      <w:tr w:rsidR="00F44C13" w:rsidRPr="00293EA4" w:rsidTr="00F44C13">
        <w:trPr>
          <w:tblHeader/>
          <w:jc w:val="center"/>
        </w:trPr>
        <w:tc>
          <w:tcPr>
            <w:tcW w:w="2360" w:type="pct"/>
            <w:shd w:val="clear" w:color="auto" w:fill="5A2D91"/>
            <w:tcMar>
              <w:top w:w="55" w:type="dxa"/>
              <w:left w:w="65" w:type="dxa"/>
              <w:bottom w:w="55" w:type="dxa"/>
              <w:right w:w="65"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b/>
                <w:color w:val="FFFFFF"/>
                <w:sz w:val="24"/>
                <w:szCs w:val="24"/>
              </w:rPr>
              <w:t>Question</w:t>
            </w:r>
          </w:p>
        </w:tc>
        <w:tc>
          <w:tcPr>
            <w:tcW w:w="2640" w:type="pct"/>
            <w:shd w:val="clear" w:color="auto" w:fill="5A2D91"/>
            <w:tcMar>
              <w:top w:w="55" w:type="dxa"/>
              <w:left w:w="65" w:type="dxa"/>
              <w:bottom w:w="55" w:type="dxa"/>
              <w:right w:w="65"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b/>
                <w:color w:val="FFFFFF"/>
                <w:sz w:val="24"/>
                <w:szCs w:val="24"/>
              </w:rPr>
              <w:t>Student decision</w:t>
            </w:r>
          </w:p>
        </w:tc>
      </w:tr>
      <w:tr w:rsidR="00F44C13" w:rsidRPr="00293EA4" w:rsidTr="00F44C13">
        <w:trPr>
          <w:cantSplit/>
          <w:jc w:val="center"/>
        </w:trPr>
        <w:tc>
          <w:tcPr>
            <w:tcW w:w="2360" w:type="pct"/>
            <w:shd w:val="clear" w:color="auto" w:fill="FFFFFF"/>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Are the values counts?</w:t>
            </w:r>
          </w:p>
        </w:tc>
        <w:tc>
          <w:tcPr>
            <w:tcW w:w="2640" w:type="pct"/>
            <w:shd w:val="clear" w:color="auto" w:fill="FFFFFF"/>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Verify integer values after download.</w:t>
            </w:r>
          </w:p>
        </w:tc>
      </w:tr>
      <w:tr w:rsidR="00F44C13" w:rsidRPr="00293EA4" w:rsidTr="00F44C13">
        <w:trPr>
          <w:cantSplit/>
          <w:jc w:val="center"/>
        </w:trPr>
        <w:tc>
          <w:tcPr>
            <w:tcW w:w="2360" w:type="pct"/>
            <w:shd w:val="clear" w:color="auto" w:fill="F3F1F7"/>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Are samples independent?</w:t>
            </w:r>
          </w:p>
        </w:tc>
        <w:tc>
          <w:tcPr>
            <w:tcW w:w="2640" w:type="pct"/>
            <w:shd w:val="clear" w:color="auto" w:fill="F3F1F7"/>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Preserve subject pairing in metadata and design.</w:t>
            </w:r>
          </w:p>
        </w:tc>
      </w:tr>
      <w:tr w:rsidR="00F44C13" w:rsidRPr="00293EA4" w:rsidTr="00F44C13">
        <w:trPr>
          <w:cantSplit/>
          <w:jc w:val="center"/>
        </w:trPr>
        <w:tc>
          <w:tcPr>
            <w:tcW w:w="2360" w:type="pct"/>
            <w:shd w:val="clear" w:color="auto" w:fill="FFFFFF"/>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Can all 20 samples be compared directly?</w:t>
            </w:r>
          </w:p>
        </w:tc>
        <w:tc>
          <w:tcPr>
            <w:tcW w:w="2640" w:type="pct"/>
            <w:shd w:val="clear" w:color="auto" w:fill="FFFFFF"/>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Define a specific contrast before analysis.</w:t>
            </w:r>
          </w:p>
        </w:tc>
      </w:tr>
      <w:tr w:rsidR="00F44C13" w:rsidRPr="00293EA4" w:rsidTr="00F44C13">
        <w:trPr>
          <w:cantSplit/>
          <w:jc w:val="center"/>
        </w:trPr>
        <w:tc>
          <w:tcPr>
            <w:tcW w:w="2360" w:type="pct"/>
            <w:shd w:val="clear" w:color="auto" w:fill="F3F1F7"/>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Is full raw-read reprocessing possible?</w:t>
            </w:r>
          </w:p>
        </w:tc>
        <w:tc>
          <w:tcPr>
            <w:tcW w:w="2640" w:type="pct"/>
            <w:shd w:val="clear" w:color="auto" w:fill="F3F1F7"/>
            <w:tcMar>
              <w:top w:w="45" w:type="dxa"/>
              <w:left w:w="60" w:type="dxa"/>
              <w:bottom w:w="45" w:type="dxa"/>
              <w:right w:w="60" w:type="dxa"/>
            </w:tcMar>
            <w:vAlign w:val="center"/>
          </w:tcPr>
          <w:p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Possible, but beyond a one-hour homework.</w:t>
            </w:r>
          </w:p>
        </w:tc>
      </w:tr>
    </w:tbl>
    <w:p>
      <w:pPr>
        <w:spacing w:before="280" w:after="80" w:line="276" w:lineRule="auto"/>
      </w:pPr>
      <w:r>
        <w:rPr>
          <w:rFonts w:ascii="Times New Roman" w:hAnsi="Times New Roman" w:cs="Times New Roman" w:eastAsia="Times New Roman"/>
          <w:b/>
          <w:i w:val="0"/>
          <w:sz w:val="26"/>
        </w:rPr>
        <w:t>Answers for the second question list (data-level decisions), for GSE111889</w:t>
      </w:r>
    </w:p>
    <w:p>
      <w:pPr>
        <w:spacing w:before="0" w:after="120" w:line="276" w:lineRule="auto"/>
      </w:pPr>
      <w:r>
        <w:rPr>
          <w:rFonts w:ascii="Times New Roman" w:hAnsi="Times New Roman" w:cs="Times New Roman" w:eastAsia="Times New Roman"/>
          <w:b w:val="0"/>
          <w:i/>
          <w:sz w:val="21"/>
        </w:rPr>
        <w:t>The same four questions are answered below for the GSE selected from Week 2 homework; the 'evidence from the record' column is added because the decision only makes sense with the record evidence that produced it.</w:t>
      </w:r>
    </w:p>
    <w:tbl>
      <w:tblPr>
        <w:tblStyle w:val="TableGrid"/>
        <w:jc w:val="center"/>
        <w:tblLook w:firstColumn="1" w:firstRow="1" w:lastColumn="0" w:lastRow="0" w:noHBand="0" w:noVBand="1" w:val="04A0"/>
        <w:tblW w:w="5000" w:type="pct"/>
        <w:tblLayout w:type="fixed"/>
      </w:tblPr>
      <w:tblGrid>
        <w:gridCol w:w="1870"/>
        <w:gridCol w:w="4000"/>
        <w:gridCol w:w="3480"/>
      </w:tblGrid>
      <w:tr>
        <w:tc>
          <w:tcPr>
            <w:tcW w:type="dxa" w:w="1870"/>
            <w:shd w:val="clear" w:color="auto" w:fill="5A2D91"/>
          </w:tcPr>
          <w:p>
            <w:pPr>
              <w:spacing w:before="40" w:after="40" w:line="252" w:lineRule="auto"/>
            </w:pPr>
            <w:r/>
            <w:r>
              <w:rPr>
                <w:rFonts w:ascii="Times New Roman" w:hAnsi="Times New Roman" w:cs="Times New Roman" w:eastAsia="Times New Roman"/>
                <w:b/>
                <w:i w:val="0"/>
                <w:color w:val="FFFFFF"/>
                <w:sz w:val="20"/>
              </w:rPr>
              <w:t>Question</w:t>
            </w:r>
          </w:p>
        </w:tc>
        <w:tc>
          <w:tcPr>
            <w:tcW w:type="dxa" w:w="4000"/>
            <w:shd w:val="clear" w:color="auto" w:fill="5A2D91"/>
          </w:tcPr>
          <w:p>
            <w:pPr>
              <w:spacing w:before="40" w:after="40" w:line="252" w:lineRule="auto"/>
            </w:pPr>
            <w:r/>
            <w:r>
              <w:rPr>
                <w:rFonts w:ascii="Times New Roman" w:hAnsi="Times New Roman" w:cs="Times New Roman" w:eastAsia="Times New Roman"/>
                <w:b/>
                <w:i w:val="0"/>
                <w:color w:val="FFFFFF"/>
                <w:sz w:val="20"/>
              </w:rPr>
              <w:t>Evidence from the record</w:t>
            </w:r>
          </w:p>
        </w:tc>
        <w:tc>
          <w:tcPr>
            <w:tcW w:type="dxa" w:w="3480"/>
            <w:shd w:val="clear" w:color="auto" w:fill="5A2D91"/>
          </w:tcPr>
          <w:p>
            <w:pPr>
              <w:spacing w:before="40" w:after="40" w:line="252" w:lineRule="auto"/>
            </w:pPr>
            <w:r/>
            <w:r>
              <w:rPr>
                <w:rFonts w:ascii="Times New Roman" w:hAnsi="Times New Roman" w:cs="Times New Roman" w:eastAsia="Times New Roman"/>
                <w:b/>
                <w:i w:val="0"/>
                <w:color w:val="FFFFFF"/>
                <w:sz w:val="20"/>
              </w:rPr>
              <w:t>Student decision</w:t>
            </w:r>
          </w:p>
        </w:tc>
      </w:tr>
      <w:tr>
        <w:tc>
          <w:tcPr>
            <w:tcW w:type="dxa" w:w="1870"/>
          </w:tcPr>
          <w:p>
            <w:pPr>
              <w:spacing w:before="40" w:after="40" w:line="252" w:lineRule="auto"/>
            </w:pPr>
            <w:r/>
            <w:r>
              <w:rPr>
                <w:rFonts w:ascii="Times New Roman" w:hAnsi="Times New Roman" w:cs="Times New Roman" w:eastAsia="Times New Roman"/>
                <w:b w:val="0"/>
                <w:i w:val="0"/>
                <w:sz w:val="20"/>
              </w:rPr>
              <w:t>Are the values counts?</w:t>
            </w:r>
          </w:p>
        </w:tc>
        <w:tc>
          <w:tcPr>
            <w:tcW w:type="dxa" w:w="4000"/>
          </w:tcPr>
          <w:p>
            <w:pPr>
              <w:spacing w:before="40" w:after="40" w:line="252" w:lineRule="auto"/>
            </w:pPr>
            <w:r/>
            <w:r>
              <w:rPr>
                <w:rFonts w:ascii="Times New Roman" w:hAnsi="Times New Roman" w:cs="Times New Roman" w:eastAsia="Times New Roman"/>
                <w:b w:val="0"/>
                <w:i w:val="0"/>
                <w:sz w:val="20"/>
              </w:rPr>
              <w:t>The Series' supplementary files are named GSE111889_host_tx_counts.tsv.gz and per-sample *tsv.gz count tables, and the sample data-processing record states: 'Transcripts were aligned to hg19 using topHat v2.0.14 and then resolved to counts using htseq-count version 0.6.1', with 'Supplementary_files_format_and_content: Tab-delimited gene count tables as generated by htseq-count'.</w:t>
            </w:r>
          </w:p>
        </w:tc>
        <w:tc>
          <w:tcPr>
            <w:tcW w:type="dxa" w:w="3480"/>
          </w:tcPr>
          <w:p>
            <w:pPr>
              <w:spacing w:before="40" w:after="40" w:line="252" w:lineRule="auto"/>
            </w:pPr>
            <w:r/>
            <w:r>
              <w:rPr>
                <w:rFonts w:ascii="Times New Roman" w:hAnsi="Times New Roman" w:cs="Times New Roman" w:eastAsia="Times New Roman"/>
                <w:b w:val="0"/>
                <w:i w:val="0"/>
                <w:sz w:val="20"/>
              </w:rPr>
              <w:t>Yes, and this must still be verified after download, not assumed: stopifnot(all(counts &gt;= 0)) and stopifnot(all(counts == round(counts))) on the loaded matrix, plus a range()/summary() look. Keep these raw integer counts as the input for DESeq2/edgeR; do not round or otherwise convert the Series Matrix values into 'counts'.</w:t>
            </w:r>
          </w:p>
        </w:tc>
      </w:tr>
      <w:tr>
        <w:tc>
          <w:tcPr>
            <w:tcW w:type="dxa" w:w="1870"/>
          </w:tcPr>
          <w:p>
            <w:pPr>
              <w:spacing w:before="40" w:after="40" w:line="252" w:lineRule="auto"/>
            </w:pPr>
            <w:r/>
            <w:r>
              <w:rPr>
                <w:rFonts w:ascii="Times New Roman" w:hAnsi="Times New Roman" w:cs="Times New Roman" w:eastAsia="Times New Roman"/>
                <w:b w:val="0"/>
                <w:i w:val="0"/>
                <w:sz w:val="20"/>
              </w:rPr>
              <w:t>Are samples independent?</w:t>
            </w:r>
          </w:p>
        </w:tc>
        <w:tc>
          <w:tcPr>
            <w:tcW w:type="dxa" w:w="4000"/>
          </w:tcPr>
          <w:p>
            <w:pPr>
              <w:spacing w:before="40" w:after="40" w:line="252" w:lineRule="auto"/>
            </w:pPr>
            <w:r/>
            <w:r>
              <w:rPr>
                <w:rFonts w:ascii="Times New Roman" w:hAnsi="Times New Roman" w:cs="Times New Roman" w:eastAsia="Times New Roman"/>
                <w:b w:val="0"/>
                <w:i w:val="0"/>
                <w:sz w:val="20"/>
              </w:rPr>
              <w:t>No: one Series holds 251 biopsies from a longitudinal cohort, the sample titles cluster into 18 families sharing a six-character prefix (e.g. 'CSM5FZ' x 50, 'HSM6S4' x 30), and several biopsy locations are sampled per person. The GEO/BioSample records annotate only disease status, biopsy location and sex - no subject or visit field.</w:t>
            </w:r>
          </w:p>
        </w:tc>
        <w:tc>
          <w:tcPr>
            <w:tcW w:type="dxa" w:w="3480"/>
          </w:tcPr>
          <w:p>
            <w:pPr>
              <w:spacing w:before="40" w:after="40" w:line="252" w:lineRule="auto"/>
            </w:pPr>
            <w:r/>
            <w:r>
              <w:rPr>
                <w:rFonts w:ascii="Times New Roman" w:hAnsi="Times New Roman" w:cs="Times New Roman" w:eastAsia="Times New Roman"/>
                <w:b w:val="0"/>
                <w:i w:val="0"/>
                <w:sz w:val="20"/>
              </w:rPr>
              <w:t>Preserve subject pairing. Derive the subject (and visit) key from the source study metadata before any analysis and put it in the metadata table as a stable sample-to-subject map; then model it, e.g. design = ~ subject + disease_status. Never treat the 251 columns as 251 independent observations. If a per-individual contrast is needed, collapse to one sample per subject first - which is what the Nature Microbiology re-analysis did (78 of 251 samples).</w:t>
            </w:r>
          </w:p>
        </w:tc>
      </w:tr>
      <w:tr>
        <w:tc>
          <w:tcPr>
            <w:tcW w:type="dxa" w:w="1870"/>
          </w:tcPr>
          <w:p>
            <w:pPr>
              <w:spacing w:before="40" w:after="40" w:line="252" w:lineRule="auto"/>
            </w:pPr>
            <w:r/>
            <w:r>
              <w:rPr>
                <w:rFonts w:ascii="Times New Roman" w:hAnsi="Times New Roman" w:cs="Times New Roman" w:eastAsia="Times New Roman"/>
                <w:b w:val="0"/>
                <w:i w:val="0"/>
                <w:sz w:val="20"/>
              </w:rPr>
              <w:t>Can all 251 samples be compared directly?</w:t>
            </w:r>
          </w:p>
        </w:tc>
        <w:tc>
          <w:tcPr>
            <w:tcW w:type="dxa" w:w="4000"/>
          </w:tcPr>
          <w:p>
            <w:pPr>
              <w:spacing w:before="40" w:after="40" w:line="252" w:lineRule="auto"/>
            </w:pPr>
            <w:r/>
            <w:r>
              <w:rPr>
                <w:rFonts w:ascii="Times New Roman" w:hAnsi="Times New Roman" w:cs="Times New Roman" w:eastAsia="Times New Roman"/>
                <w:b w:val="0"/>
                <w:i w:val="0"/>
                <w:sz w:val="20"/>
              </w:rPr>
              <w:t>'disease status' creates three groups (Crohn's disease 127 / ulcerative colitis 74 / non-IBD 50), 'biopsy location' creates nine categories (Rectum 100, Ileum 89, Sigmoid colon 22, Transverse colon 14, Descending colon 9, Ascending colon 8, Cecum 5, Terminal ileum 3, Non-inflamed 1), and samples are repeated within subjects, so group, tissue and subject are entangled.</w:t>
            </w:r>
          </w:p>
        </w:tc>
        <w:tc>
          <w:tcPr>
            <w:tcW w:type="dxa" w:w="3480"/>
          </w:tcPr>
          <w:p>
            <w:pPr>
              <w:spacing w:before="40" w:after="40" w:line="252" w:lineRule="auto"/>
            </w:pPr>
            <w:r/>
            <w:r>
              <w:rPr>
                <w:rFonts w:ascii="Times New Roman" w:hAnsi="Times New Roman" w:cs="Times New Roman" w:eastAsia="Times New Roman"/>
                <w:b w:val="0"/>
                <w:i w:val="0"/>
                <w:sz w:val="20"/>
              </w:rPr>
              <w:t>No - define one specific contrast before analysis. For this homework: Crohn's disease vs non-IBD restricted to rectum biopsies (50 vs 23, n = 73), matched on biopsy location, with subject as a blocking factor; or the paper's per-individual subset (56 IBD vs 22 non-IBD, one biopsy per person). Write down the contrast, the n per group and the design formula (e.g. ~ subject + disease_status) before fitting anything, and report the unadjusted QC and the batch/confounding status with it.</w:t>
            </w:r>
          </w:p>
        </w:tc>
      </w:tr>
      <w:tr>
        <w:tc>
          <w:tcPr>
            <w:tcW w:type="dxa" w:w="1870"/>
          </w:tcPr>
          <w:p>
            <w:pPr>
              <w:spacing w:before="40" w:after="40" w:line="252" w:lineRule="auto"/>
            </w:pPr>
            <w:r/>
            <w:r>
              <w:rPr>
                <w:rFonts w:ascii="Times New Roman" w:hAnsi="Times New Roman" w:cs="Times New Roman" w:eastAsia="Times New Roman"/>
                <w:b w:val="0"/>
                <w:i w:val="0"/>
                <w:sz w:val="20"/>
              </w:rPr>
              <w:t>Is full raw-read reprocessing possible?</w:t>
            </w:r>
          </w:p>
        </w:tc>
        <w:tc>
          <w:tcPr>
            <w:tcW w:type="dxa" w:w="4000"/>
          </w:tcPr>
          <w:p>
            <w:pPr>
              <w:spacing w:before="40" w:after="40" w:line="252" w:lineRule="auto"/>
            </w:pPr>
            <w:r/>
            <w:r>
              <w:rPr>
                <w:rFonts w:ascii="Times New Roman" w:hAnsi="Times New Roman" w:cs="Times New Roman" w:eastAsia="Times New Roman"/>
                <w:b w:val="0"/>
                <w:i w:val="0"/>
                <w:sz w:val="20"/>
              </w:rPr>
              <w:t>Not from the public record: there is no SRP/SRR link on the Series, because the overall design states the raw data are submitted to dbGaP for participant-privacy reasons; only the processed htseq-count tables are public (plus the Series Matrix metadata).</w:t>
            </w:r>
          </w:p>
        </w:tc>
        <w:tc>
          <w:tcPr>
            <w:tcW w:type="dxa" w:w="3480"/>
          </w:tcPr>
          <w:p>
            <w:pPr>
              <w:spacing w:before="40" w:after="40" w:line="252" w:lineRule="auto"/>
            </w:pPr>
            <w:r/>
            <w:r>
              <w:rPr>
                <w:rFonts w:ascii="Times New Roman" w:hAnsi="Times New Roman" w:cs="Times New Roman" w:eastAsia="Times New Roman"/>
                <w:b w:val="0"/>
                <w:i w:val="0"/>
                <w:sz w:val="20"/>
              </w:rPr>
              <w:t>No for this homework. Re-aligning from FASTQ would require authorised dbGaP access, and re-quantifying 251 libraries is far beyond a one-hour exercise. Use the deposited htseq-count matrices and document the inherited upstream assumptions (hg19, TopHat v2.0.14, htseq-count v0.6.1) as a limitation of any conclusion drawn from them. (GSE146853, the IBS GSE also named in Week 2 homework, does have public SRA runs - SRP252532 - so the same question has a different answer for that Series.)</w:t>
            </w:r>
          </w:p>
        </w:tc>
      </w:tr>
    </w:tbl>
    <w:p>
      <w:pPr>
        <w:spacing w:before="240" w:after="80" w:line="276" w:lineRule="auto"/>
      </w:pPr>
      <w:r>
        <w:rPr>
          <w:rFonts w:ascii="Times New Roman" w:hAnsi="Times New Roman" w:cs="Times New Roman" w:eastAsia="Times New Roman"/>
          <w:b/>
          <w:i w:val="0"/>
          <w:sz w:val="24"/>
        </w:rPr>
        <w:t>Notes on scope and interpretation</w:t>
      </w:r>
    </w:p>
    <w:p>
      <w:pPr>
        <w:spacing w:before="0" w:after="80" w:line="276" w:lineRule="auto"/>
      </w:pPr>
      <w:r>
        <w:rPr>
          <w:rFonts w:ascii="Times New Roman" w:hAnsi="Times New Roman" w:cs="Times New Roman" w:eastAsia="Times New Roman"/>
          <w:b w:val="0"/>
          <w:i w:val="0"/>
          <w:sz w:val="21"/>
        </w:rPr>
        <w:t>Scope: the record above supports a per-contrast, subject-aware cleaning of the deposited count matrix (import, integer check, ID alignment, low-count filtering, QC/PCA). It does not yet support a differential-expression claim, because the contrast, the subject pairing and the batch structure have to be fixed first.</w:t>
      </w:r>
    </w:p>
    <w:p>
      <w:pPr>
        <w:spacing w:before="0" w:after="80" w:line="276" w:lineRule="auto"/>
      </w:pPr>
      <w:r>
        <w:rPr>
          <w:rFonts w:ascii="Times New Roman" w:hAnsi="Times New Roman" w:cs="Times New Roman" w:eastAsia="Times New Roman"/>
          <w:b w:val="0"/>
          <w:i w:val="0"/>
          <w:sz w:val="21"/>
        </w:rPr>
        <w:t>Distinction from the worked example: GSE87487 in the handout is a small paired RNA-seq study whose raw reads link to SRA; GSE111889 is larger (251 samples), is repeated/longitudinal rather than one sample per subject, and its raw reads sit behind dbGaP. The fourth decision therefore changes from 'possible but beyond a one-hour homework' to 'not possible from the public record'.</w:t>
      </w:r>
    </w:p>
    <w:p>
      <w:pPr>
        <w:spacing w:before="0" w:after="80" w:line="276" w:lineRule="auto"/>
      </w:pPr>
      <w:r>
        <w:rPr>
          <w:rFonts w:ascii="Times New Roman" w:hAnsi="Times New Roman" w:cs="Times New Roman" w:eastAsia="Times New Roman"/>
          <w:b w:val="0"/>
          <w:i w:val="0"/>
          <w:sz w:val="21"/>
        </w:rPr>
        <w:t>Limitation to carry forward: the public record does not contain a subject or visit identifier, so the pairing step of the Week 3 checklist cannot be completed from GEO alone; the honest move is to narrow the question to what the annotated metadata can support, or to import the IBDMDB metadata table and document that extra step.</w:t>
      </w:r>
    </w:p>
    <w:p>
      <w:pPr>
        <w:spacing w:before="240" w:after="80" w:line="276" w:lineRule="auto"/>
      </w:pPr>
      <w:r>
        <w:rPr>
          <w:rFonts w:ascii="Times New Roman" w:hAnsi="Times New Roman" w:cs="Times New Roman" w:eastAsia="Times New Roman"/>
          <w:b/>
          <w:i w:val="0"/>
          <w:sz w:val="24"/>
        </w:rPr>
        <w:t>AI-agent and verification log (Week 3 requirement)</w:t>
      </w:r>
    </w:p>
    <w:p>
      <w:pPr>
        <w:spacing w:before="0" w:after="80" w:line="276" w:lineRule="auto"/>
      </w:pPr>
      <w:r>
        <w:rPr>
          <w:rFonts w:ascii="Times New Roman" w:hAnsi="Times New Roman" w:cs="Times New Roman" w:eastAsia="Times New Roman"/>
          <w:b w:val="0"/>
          <w:i w:val="0"/>
          <w:sz w:val="21"/>
        </w:rPr>
        <w:t>- Tool used: an AI agent was used for planning and for reading the repository record; no numbers in this document were accepted from the agent without being checked against the source record or the publication.</w:t>
      </w:r>
    </w:p>
    <w:p>
      <w:pPr>
        <w:spacing w:before="0" w:after="80" w:line="276" w:lineRule="auto"/>
      </w:pPr>
      <w:r>
        <w:rPr>
          <w:rFonts w:ascii="Times New Roman" w:hAnsi="Times New Roman" w:cs="Times New Roman" w:eastAsia="Times New Roman"/>
          <w:b w:val="0"/>
          <w:i w:val="0"/>
          <w:sz w:val="21"/>
        </w:rPr>
        <w:t>- Verified in the repository record (sources: GEO Series and GSM SOFT records for GSE111889, the GEO FTP supplementary listing and filelist.txt, the BioSample record SAMN08723464, the BioProject record PRJNA438663): accession and title, organism, platform GPL11154 / Illumina HiSeq 2000, 251 samples GSM3043377-GSM3043627, the disease-status and biopsy-location counts, the supplementary file names and sizes, the htseq-count processing statement, and the dbGaP note.</w:t>
      </w:r>
    </w:p>
    <w:p>
      <w:pPr>
        <w:spacing w:before="0" w:after="80" w:line="276" w:lineRule="auto"/>
      </w:pPr>
      <w:r>
        <w:rPr>
          <w:rFonts w:ascii="Times New Roman" w:hAnsi="Times New Roman" w:cs="Times New Roman" w:eastAsia="Times New Roman"/>
          <w:b w:val="0"/>
          <w:i w:val="0"/>
          <w:sz w:val="21"/>
        </w:rPr>
        <w:t>- Verified in the publication (Priya et al., Nature Microbiology 2022, Methods and Data Availability): the IBD arm of the study is HMP2 data and comprises 78 individuals (56 IBD = 34 CD + 22 UC, plus 22 non-IBD controls), one biopsy per individual paired with a 16S profile; the IBD host RNA-seq accession is GSE111889.</w:t>
      </w:r>
    </w:p>
    <w:p>
      <w:pPr>
        <w:spacing w:before="0" w:after="80" w:line="276" w:lineRule="auto"/>
      </w:pPr>
      <w:r>
        <w:rPr>
          <w:rFonts w:ascii="Times New Roman" w:hAnsi="Times New Roman" w:cs="Times New Roman" w:eastAsia="Times New Roman"/>
          <w:b w:val="0"/>
          <w:i w:val="0"/>
          <w:sz w:val="21"/>
        </w:rPr>
        <w:t>- Rejected / corrected during the work: the first working assumption that this GSE's raw reads were in SRA was wrong - the Series record states dbGaP - and the platform was read from the sample records rather than assumed. No file size, count or cohort number in this document was invented; each is traceable to the record views above.</w:t>
      </w:r>
    </w:p>
    <w:p>
      <w:pPr>
        <w:spacing w:before="0" w:after="80" w:line="276" w:lineRule="auto"/>
      </w:pPr>
      <w:r>
        <w:rPr>
          <w:rFonts w:ascii="Times New Roman" w:hAnsi="Times New Roman" w:cs="Times New Roman" w:eastAsia="Times New Roman"/>
          <w:b w:val="0"/>
          <w:i w:val="0"/>
          <w:sz w:val="21"/>
        </w:rPr>
        <w:t>- Remaining uncertainty: the individual-level (subject, visit) mapping is not in GEO; the number of subjects behind the 251 biopsies (132 subjects in the source study) cannot be verified from the Series alone, and the integer check on the count matrix is specified as a stopifnot() that must pass on the downloaded file.</w:t>
      </w:r>
    </w:p>
    <w:p>
      <w:pPr>
        <w:spacing w:before="240" w:after="80" w:line="276" w:lineRule="auto"/>
      </w:pPr>
      <w:r>
        <w:rPr>
          <w:rFonts w:ascii="Times New Roman" w:hAnsi="Times New Roman" w:cs="Times New Roman" w:eastAsia="Times New Roman"/>
          <w:b/>
          <w:i w:val="0"/>
          <w:sz w:val="24"/>
        </w:rPr>
        <w:t>Appendix - R script (GEOquery) for this Week 3 record</w:t>
      </w:r>
    </w:p>
    <w:p>
      <w:pPr>
        <w:spacing w:before="0" w:after="80" w:line="276" w:lineRule="auto"/>
      </w:pPr>
      <w:r>
        <w:rPr>
          <w:rFonts w:ascii="Times New Roman" w:hAnsi="Times New Roman" w:cs="Times New Roman" w:eastAsia="Times New Roman"/>
          <w:b w:val="0"/>
          <w:i/>
          <w:sz w:val="21"/>
        </w:rPr>
        <w:t>Run from the project root; it reproduces the retrieval and the integrity checks recorded above. Commented lines mark the decisions that the record inspection has already fixed.</w:t>
      </w:r>
    </w:p>
    <w:p>
      <w:pPr>
        <w:spacing w:before="0" w:after="0" w:line="240" w:lineRule="auto"/>
      </w:pPr>
      <w:r>
        <w:rPr>
          <w:rFonts w:ascii="Consolas" w:hAnsi="Consolas" w:cs="Consolas" w:eastAsia="Consolas"/>
          <w:b w:val="0"/>
          <w:i w:val="0"/>
          <w:sz w:val="18"/>
        </w:rPr>
        <w:t># week3_GSE111889.R -- Week 3 homework: fetch, inspect and verify GSE111889</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library(GEOquery)</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1. Inspect the file inventory BEFORE downloading -------------------------</w:t>
      </w:r>
    </w:p>
    <w:p>
      <w:pPr>
        <w:spacing w:before="0" w:after="0" w:line="240" w:lineRule="auto"/>
      </w:pPr>
      <w:r>
        <w:rPr>
          <w:rFonts w:ascii="Consolas" w:hAnsi="Consolas" w:cs="Consolas" w:eastAsia="Consolas"/>
          <w:b w:val="0"/>
          <w:i w:val="0"/>
          <w:sz w:val="18"/>
        </w:rPr>
        <w:t>supp &lt;- getGEOSuppFiles("GSE111889", fetch_files = FALSE)</w:t>
      </w:r>
    </w:p>
    <w:p>
      <w:pPr>
        <w:spacing w:before="0" w:after="0" w:line="240" w:lineRule="auto"/>
      </w:pPr>
      <w:r>
        <w:rPr>
          <w:rFonts w:ascii="Consolas" w:hAnsi="Consolas" w:cs="Consolas" w:eastAsia="Consolas"/>
          <w:b w:val="0"/>
          <w:i w:val="0"/>
          <w:sz w:val="18"/>
        </w:rPr>
        <w:t>print(supp[, c("fname", "size")])</w:t>
      </w:r>
    </w:p>
    <w:p>
      <w:pPr>
        <w:spacing w:before="0" w:after="0" w:line="240" w:lineRule="auto"/>
      </w:pPr>
      <w:r>
        <w:rPr>
          <w:rFonts w:ascii="Consolas" w:hAnsi="Consolas" w:cs="Consolas" w:eastAsia="Consolas"/>
          <w:b w:val="0"/>
          <w:i w:val="0"/>
          <w:sz w:val="18"/>
        </w:rPr>
        <w:t># expected: GSE111889_RAW.tar (68.5 MB) and GSE111889_host_tx_counts.tsv.gz (11 MB)</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dir.create(file.path("data_raw", "GSE111889"), recursive = TRUE, showWarnings = FALSE)</w:t>
      </w:r>
    </w:p>
    <w:p>
      <w:pPr>
        <w:spacing w:before="0" w:after="0" w:line="240" w:lineRule="auto"/>
      </w:pPr>
      <w:r>
        <w:rPr>
          <w:rFonts w:ascii="Consolas" w:hAnsi="Consolas" w:cs="Consolas" w:eastAsia="Consolas"/>
          <w:b w:val="0"/>
          <w:i w:val="0"/>
          <w:sz w:val="18"/>
        </w:rPr>
        <w:t>getGEOSuppFiles("GSE111889", baseDir = "data_raw")</w:t>
      </w:r>
    </w:p>
    <w:p>
      <w:pPr>
        <w:spacing w:before="0" w:after="0" w:line="240" w:lineRule="auto"/>
      </w:pPr>
      <w:r>
        <w:rPr>
          <w:rFonts w:ascii="Consolas" w:hAnsi="Consolas" w:cs="Consolas" w:eastAsia="Consolas"/>
          <w:b w:val="0"/>
          <w:i w:val="0"/>
          <w:sz w:val="18"/>
        </w:rPr>
        <w:t>list.files(file.path("data_raw", "GSE111889"), full.names = TRUE)</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2. Series record: 251 samples, one platform -------------------------------</w:t>
      </w:r>
    </w:p>
    <w:p>
      <w:pPr>
        <w:spacing w:before="0" w:after="0" w:line="240" w:lineRule="auto"/>
      </w:pPr>
      <w:r>
        <w:rPr>
          <w:rFonts w:ascii="Consolas" w:hAnsi="Consolas" w:cs="Consolas" w:eastAsia="Consolas"/>
          <w:b w:val="0"/>
          <w:i w:val="0"/>
          <w:sz w:val="18"/>
        </w:rPr>
        <w:t>record &lt;- getGEO("GSE111889", GSEMatrix = TRUE, getGPL = FALSE)[[1]]</w:t>
      </w:r>
    </w:p>
    <w:p>
      <w:pPr>
        <w:spacing w:before="0" w:after="0" w:line="240" w:lineRule="auto"/>
      </w:pPr>
      <w:r>
        <w:rPr>
          <w:rFonts w:ascii="Consolas" w:hAnsi="Consolas" w:cs="Consolas" w:eastAsia="Consolas"/>
          <w:b w:val="0"/>
          <w:i w:val="0"/>
          <w:sz w:val="18"/>
        </w:rPr>
        <w:t>meta   &lt;- as.data.frame(colData(record))</w:t>
      </w:r>
    </w:p>
    <w:p>
      <w:pPr>
        <w:spacing w:before="0" w:after="0" w:line="240" w:lineRule="auto"/>
      </w:pPr>
      <w:r>
        <w:rPr>
          <w:rFonts w:ascii="Consolas" w:hAnsi="Consolas" w:cs="Consolas" w:eastAsia="Consolas"/>
          <w:b w:val="0"/>
          <w:i w:val="0"/>
          <w:sz w:val="18"/>
        </w:rPr>
        <w:t>dim(meta)                                  # 251 samples</w:t>
      </w:r>
    </w:p>
    <w:p>
      <w:pPr>
        <w:spacing w:before="0" w:after="0" w:line="240" w:lineRule="auto"/>
      </w:pPr>
      <w:r>
        <w:rPr>
          <w:rFonts w:ascii="Consolas" w:hAnsi="Consolas" w:cs="Consolas" w:eastAsia="Consolas"/>
          <w:b w:val="0"/>
          <w:i w:val="0"/>
          <w:sz w:val="18"/>
        </w:rPr>
        <w:t>dn  &lt;- grep("disease status",  colnames(meta), value = TRUE)[1]</w:t>
      </w:r>
    </w:p>
    <w:p>
      <w:pPr>
        <w:spacing w:before="0" w:after="0" w:line="240" w:lineRule="auto"/>
      </w:pPr>
      <w:r>
        <w:rPr>
          <w:rFonts w:ascii="Consolas" w:hAnsi="Consolas" w:cs="Consolas" w:eastAsia="Consolas"/>
          <w:b w:val="0"/>
          <w:i w:val="0"/>
          <w:sz w:val="18"/>
        </w:rPr>
        <w:t>loc &lt;- grep("biopsy location", colnames(meta), value = TRUE)[1]</w:t>
      </w:r>
    </w:p>
    <w:p>
      <w:pPr>
        <w:spacing w:before="0" w:after="0" w:line="240" w:lineRule="auto"/>
      </w:pPr>
      <w:r>
        <w:rPr>
          <w:rFonts w:ascii="Consolas" w:hAnsi="Consolas" w:cs="Consolas" w:eastAsia="Consolas"/>
          <w:b w:val="0"/>
          <w:i w:val="0"/>
          <w:sz w:val="18"/>
        </w:rPr>
        <w:t>table(meta[[dn]])                          # CD 127 / UC 74 / non-IBD 50</w:t>
      </w:r>
    </w:p>
    <w:p>
      <w:pPr>
        <w:spacing w:before="0" w:after="0" w:line="240" w:lineRule="auto"/>
      </w:pPr>
      <w:r>
        <w:rPr>
          <w:rFonts w:ascii="Consolas" w:hAnsi="Consolas" w:cs="Consolas" w:eastAsia="Consolas"/>
          <w:b w:val="0"/>
          <w:i w:val="0"/>
          <w:sz w:val="18"/>
        </w:rPr>
        <w:t>table(meta[[loc]])                         # 9 biopsy-location categories</w:t>
      </w:r>
    </w:p>
    <w:p>
      <w:pPr>
        <w:spacing w:before="0" w:after="0" w:line="240" w:lineRule="auto"/>
      </w:pPr>
      <w:r>
        <w:rPr>
          <w:rFonts w:ascii="Consolas" w:hAnsi="Consolas" w:cs="Consolas" w:eastAsia="Consolas"/>
          <w:b w:val="0"/>
          <w:i w:val="0"/>
          <w:sz w:val="18"/>
        </w:rPr>
        <w:t># NOTE: no subject / visit column exists in the GEO record.</w:t>
      </w:r>
    </w:p>
    <w:p>
      <w:pPr>
        <w:spacing w:before="0" w:after="0" w:line="240" w:lineRule="auto"/>
      </w:pPr>
      <w:r>
        <w:rPr>
          <w:rFonts w:ascii="Consolas" w:hAnsi="Consolas" w:cs="Consolas" w:eastAsia="Consolas"/>
          <w:b w:val="0"/>
          <w:i w:val="0"/>
          <w:sz w:val="18"/>
        </w:rPr>
        <w:t># The pairing key must come from the source study metadata (ibdmdb.org).</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3. Count matrix and value-type check (raw integer counts) -----------------</w:t>
      </w:r>
    </w:p>
    <w:p>
      <w:pPr>
        <w:spacing w:before="0" w:after="0" w:line="240" w:lineRule="auto"/>
      </w:pPr>
      <w:r>
        <w:rPr>
          <w:rFonts w:ascii="Consolas" w:hAnsi="Consolas" w:cs="Consolas" w:eastAsia="Consolas"/>
          <w:b w:val="0"/>
          <w:i w:val="0"/>
          <w:sz w:val="18"/>
        </w:rPr>
        <w:t>count_file &lt;- file.path("data_raw", "GSE111889", "GSE111889_host_tx_counts.tsv.gz")</w:t>
      </w:r>
    </w:p>
    <w:p>
      <w:pPr>
        <w:spacing w:before="0" w:after="0" w:line="240" w:lineRule="auto"/>
      </w:pPr>
      <w:r>
        <w:rPr>
          <w:rFonts w:ascii="Consolas" w:hAnsi="Consolas" w:cs="Consolas" w:eastAsia="Consolas"/>
          <w:b w:val="0"/>
          <w:i w:val="0"/>
          <w:sz w:val="18"/>
        </w:rPr>
        <w:t>counts &lt;- read.delim(count_file, row.names = 1, check.names = FALSE)</w:t>
      </w:r>
    </w:p>
    <w:p>
      <w:pPr>
        <w:spacing w:before="0" w:after="0" w:line="240" w:lineRule="auto"/>
      </w:pPr>
      <w:r>
        <w:rPr>
          <w:rFonts w:ascii="Consolas" w:hAnsi="Consolas" w:cs="Consolas" w:eastAsia="Consolas"/>
          <w:b w:val="0"/>
          <w:i w:val="0"/>
          <w:sz w:val="18"/>
        </w:rPr>
        <w:t>dim(counts)</w:t>
      </w:r>
    </w:p>
    <w:p>
      <w:pPr>
        <w:spacing w:before="0" w:after="0" w:line="240" w:lineRule="auto"/>
      </w:pPr>
      <w:r>
        <w:rPr>
          <w:rFonts w:ascii="Consolas" w:hAnsi="Consolas" w:cs="Consolas" w:eastAsia="Consolas"/>
          <w:b w:val="0"/>
          <w:i w:val="0"/>
          <w:sz w:val="18"/>
        </w:rPr>
        <w:t>head(colnames(counts), 5)                  # check the ID type before aligning</w:t>
      </w:r>
    </w:p>
    <w:p>
      <w:pPr>
        <w:spacing w:before="0" w:after="0" w:line="240" w:lineRule="auto"/>
      </w:pPr>
      <w:r>
        <w:rPr>
          <w:rFonts w:ascii="Consolas" w:hAnsi="Consolas" w:cs="Consolas" w:eastAsia="Consolas"/>
          <w:b w:val="0"/>
          <w:i w:val="0"/>
          <w:sz w:val="18"/>
        </w:rPr>
        <w:t>stopifnot(all(counts &gt;= 0))</w:t>
      </w:r>
    </w:p>
    <w:p>
      <w:pPr>
        <w:spacing w:before="0" w:after="0" w:line="240" w:lineRule="auto"/>
      </w:pPr>
      <w:r>
        <w:rPr>
          <w:rFonts w:ascii="Consolas" w:hAnsi="Consolas" w:cs="Consolas" w:eastAsia="Consolas"/>
          <w:b w:val="0"/>
          <w:i w:val="0"/>
          <w:sz w:val="18"/>
        </w:rPr>
        <w:t>stopifnot(all(counts == round(counts)))    # counts, not TPM/FPKM/log values</w:t>
      </w:r>
    </w:p>
    <w:p>
      <w:pPr>
        <w:spacing w:before="0" w:after="0" w:line="240" w:lineRule="auto"/>
      </w:pPr>
      <w:r>
        <w:rPr>
          <w:rFonts w:ascii="Consolas" w:hAnsi="Consolas" w:cs="Consolas" w:eastAsia="Consolas"/>
          <w:b w:val="0"/>
          <w:i w:val="0"/>
          <w:sz w:val="18"/>
        </w:rPr>
        <w:t>range(counts, na.rm = TRUE)</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4. Integrity checks (course checklist) ------------------------------------</w:t>
      </w:r>
    </w:p>
    <w:p>
      <w:pPr>
        <w:spacing w:before="0" w:after="0" w:line="240" w:lineRule="auto"/>
      </w:pPr>
      <w:r>
        <w:rPr>
          <w:rFonts w:ascii="Consolas" w:hAnsi="Consolas" w:cs="Consolas" w:eastAsia="Consolas"/>
          <w:b w:val="0"/>
          <w:i w:val="0"/>
          <w:sz w:val="18"/>
        </w:rPr>
        <w:t>sum(is.na(counts))</w:t>
      </w:r>
    </w:p>
    <w:p>
      <w:pPr>
        <w:spacing w:before="0" w:after="0" w:line="240" w:lineRule="auto"/>
      </w:pPr>
      <w:r>
        <w:rPr>
          <w:rFonts w:ascii="Consolas" w:hAnsi="Consolas" w:cs="Consolas" w:eastAsia="Consolas"/>
          <w:b w:val="0"/>
          <w:i w:val="0"/>
          <w:sz w:val="18"/>
        </w:rPr>
        <w:t>anyDuplicated(rownames(counts))</w:t>
      </w:r>
    </w:p>
    <w:p>
      <w:pPr>
        <w:spacing w:before="0" w:after="0" w:line="240" w:lineRule="auto"/>
      </w:pPr>
      <w:r>
        <w:rPr>
          <w:rFonts w:ascii="Consolas" w:hAnsi="Consolas" w:cs="Consolas" w:eastAsia="Consolas"/>
          <w:b w:val="0"/>
          <w:i w:val="0"/>
          <w:sz w:val="18"/>
        </w:rPr>
        <w:t>anyDuplicated(colnames(counts))</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5. Align matrix columns and metadata rows explicitly ----------------------</w:t>
      </w:r>
    </w:p>
    <w:p>
      <w:pPr>
        <w:spacing w:before="0" w:after="0" w:line="240" w:lineRule="auto"/>
      </w:pPr>
      <w:r>
        <w:rPr>
          <w:rFonts w:ascii="Consolas" w:hAnsi="Consolas" w:cs="Consolas" w:eastAsia="Consolas"/>
          <w:b w:val="0"/>
          <w:i w:val="0"/>
          <w:sz w:val="18"/>
        </w:rPr>
        <w:t>meta$sample_id &lt;- meta$geo_accession</w:t>
      </w:r>
    </w:p>
    <w:p>
      <w:pPr>
        <w:spacing w:before="0" w:after="0" w:line="240" w:lineRule="auto"/>
      </w:pPr>
      <w:r>
        <w:rPr>
          <w:rFonts w:ascii="Consolas" w:hAnsi="Consolas" w:cs="Consolas" w:eastAsia="Consolas"/>
          <w:b w:val="0"/>
          <w:i w:val="0"/>
          <w:sz w:val="18"/>
        </w:rPr>
        <w:t>if (all(colnames(counts) %in% rownames(meta))) {</w:t>
      </w:r>
    </w:p>
    <w:p>
      <w:pPr>
        <w:spacing w:before="0" w:after="0" w:line="240" w:lineRule="auto"/>
      </w:pPr>
      <w:r>
        <w:rPr>
          <w:rFonts w:ascii="Consolas" w:hAnsi="Consolas" w:cs="Consolas" w:eastAsia="Consolas"/>
          <w:b w:val="0"/>
          <w:i w:val="0"/>
          <w:sz w:val="18"/>
        </w:rPr>
        <w:t xml:space="preserve">  meta &lt;- meta[colnames(counts), , drop = FALSE]</w:t>
      </w:r>
    </w:p>
    <w:p>
      <w:pPr>
        <w:spacing w:before="0" w:after="0" w:line="240" w:lineRule="auto"/>
      </w:pPr>
      <w:r>
        <w:rPr>
          <w:rFonts w:ascii="Consolas" w:hAnsi="Consolas" w:cs="Consolas" w:eastAsia="Consolas"/>
          <w:b w:val="0"/>
          <w:i w:val="0"/>
          <w:sz w:val="18"/>
        </w:rPr>
        <w:t>} else if (all(colnames(counts) %in% meta$title)) {</w:t>
      </w:r>
    </w:p>
    <w:p>
      <w:pPr>
        <w:spacing w:before="0" w:after="0" w:line="240" w:lineRule="auto"/>
      </w:pPr>
      <w:r>
        <w:rPr>
          <w:rFonts w:ascii="Consolas" w:hAnsi="Consolas" w:cs="Consolas" w:eastAsia="Consolas"/>
          <w:b w:val="0"/>
          <w:i w:val="0"/>
          <w:sz w:val="18"/>
        </w:rPr>
        <w:t xml:space="preserve">  rownames(meta) &lt;- meta$title</w:t>
      </w:r>
    </w:p>
    <w:p>
      <w:pPr>
        <w:spacing w:before="0" w:after="0" w:line="240" w:lineRule="auto"/>
      </w:pPr>
      <w:r>
        <w:rPr>
          <w:rFonts w:ascii="Consolas" w:hAnsi="Consolas" w:cs="Consolas" w:eastAsia="Consolas"/>
          <w:b w:val="0"/>
          <w:i w:val="0"/>
          <w:sz w:val="18"/>
        </w:rPr>
        <w:t xml:space="preserve">  meta &lt;- meta[colnames(counts), , drop = FALSE]</w:t>
      </w:r>
    </w:p>
    <w:p>
      <w:pPr>
        <w:spacing w:before="0" w:after="0" w:line="240" w:lineRule="auto"/>
      </w:pPr>
      <w:r>
        <w:rPr>
          <w:rFonts w:ascii="Consolas" w:hAnsi="Consolas" w:cs="Consolas" w:eastAsia="Consolas"/>
          <w:b w:val="0"/>
          <w:i w:val="0"/>
          <w:sz w:val="18"/>
        </w:rPr>
        <w:t>} else {</w:t>
      </w:r>
    </w:p>
    <w:p>
      <w:pPr>
        <w:spacing w:before="0" w:after="0" w:line="240" w:lineRule="auto"/>
      </w:pPr>
      <w:r>
        <w:rPr>
          <w:rFonts w:ascii="Consolas" w:hAnsi="Consolas" w:cs="Consolas" w:eastAsia="Consolas"/>
          <w:b w:val="0"/>
          <w:i w:val="0"/>
          <w:sz w:val="18"/>
        </w:rPr>
        <w:t xml:space="preserve">  stop("matrix columns cannot be matched to the GEO metadata - stop and inspect")</w:t>
      </w:r>
    </w:p>
    <w:p>
      <w:pPr>
        <w:spacing w:before="0" w:after="0" w:line="240" w:lineRule="auto"/>
      </w:pPr>
      <w:r>
        <w:rPr>
          <w:rFonts w:ascii="Consolas" w:hAnsi="Consolas" w:cs="Consolas" w:eastAsia="Consolas"/>
          <w:b w:val="0"/>
          <w:i w:val="0"/>
          <w:sz w:val="18"/>
        </w:rPr>
        <w:t>}</w:t>
      </w:r>
    </w:p>
    <w:p>
      <w:pPr>
        <w:spacing w:before="0" w:after="0" w:line="240" w:lineRule="auto"/>
      </w:pPr>
      <w:r>
        <w:rPr>
          <w:rFonts w:ascii="Consolas" w:hAnsi="Consolas" w:cs="Consolas" w:eastAsia="Consolas"/>
          <w:b w:val="0"/>
          <w:i w:val="0"/>
          <w:sz w:val="18"/>
        </w:rPr>
        <w:t>stopifnot(identical(colnames(counts), rownames(meta)))</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6. Low-count filter, report before and after ------------------------------</w:t>
      </w:r>
    </w:p>
    <w:p>
      <w:pPr>
        <w:spacing w:before="0" w:after="0" w:line="240" w:lineRule="auto"/>
      </w:pPr>
      <w:r>
        <w:rPr>
          <w:rFonts w:ascii="Consolas" w:hAnsi="Consolas" w:cs="Consolas" w:eastAsia="Consolas"/>
          <w:b w:val="0"/>
          <w:i w:val="0"/>
          <w:sz w:val="18"/>
        </w:rPr>
        <w:t>smallest_group &lt;- min(table(meta[[dn]]))</w:t>
      </w:r>
    </w:p>
    <w:p>
      <w:pPr>
        <w:spacing w:before="0" w:after="0" w:line="240" w:lineRule="auto"/>
      </w:pPr>
      <w:r>
        <w:rPr>
          <w:rFonts w:ascii="Consolas" w:hAnsi="Consolas" w:cs="Consolas" w:eastAsia="Consolas"/>
          <w:b w:val="0"/>
          <w:i w:val="0"/>
          <w:sz w:val="18"/>
        </w:rPr>
        <w:t>keep &lt;- rowSums(counts &gt;= 10) &gt;= smallest_group</w:t>
      </w:r>
    </w:p>
    <w:p>
      <w:pPr>
        <w:spacing w:before="0" w:after="0" w:line="240" w:lineRule="auto"/>
      </w:pPr>
      <w:r>
        <w:rPr>
          <w:rFonts w:ascii="Consolas" w:hAnsi="Consolas" w:cs="Consolas" w:eastAsia="Consolas"/>
          <w:b w:val="0"/>
          <w:i w:val="0"/>
          <w:sz w:val="18"/>
        </w:rPr>
        <w:t>counts_f &lt;- counts[keep, , drop = FALSE]</w:t>
      </w:r>
    </w:p>
    <w:p>
      <w:pPr>
        <w:spacing w:before="0" w:after="0" w:line="240" w:lineRule="auto"/>
      </w:pPr>
      <w:r>
        <w:rPr>
          <w:rFonts w:ascii="Consolas" w:hAnsi="Consolas" w:cs="Consolas" w:eastAsia="Consolas"/>
          <w:b w:val="0"/>
          <w:i w:val="0"/>
          <w:sz w:val="18"/>
        </w:rPr>
        <w:t>c(before = nrow(counts), after = nrow(counts_f))</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 7. Fix the contrast BEFORE any model (see the decision table) --------------</w:t>
      </w:r>
    </w:p>
    <w:p>
      <w:pPr>
        <w:spacing w:before="0" w:after="0" w:line="240" w:lineRule="auto"/>
      </w:pPr>
      <w:r>
        <w:rPr>
          <w:rFonts w:ascii="Consolas" w:hAnsi="Consolas" w:cs="Consolas" w:eastAsia="Consolas"/>
          <w:b w:val="0"/>
          <w:i w:val="0"/>
          <w:sz w:val="18"/>
        </w:rPr>
        <w:t>cd_rect   &lt;- meta[[dn]] == "Crohn's Disease" &amp; meta[[loc]] == "Rectum"</w:t>
      </w:r>
    </w:p>
    <w:p>
      <w:pPr>
        <w:spacing w:before="0" w:after="0" w:line="240" w:lineRule="auto"/>
      </w:pPr>
      <w:r>
        <w:rPr>
          <w:rFonts w:ascii="Consolas" w:hAnsi="Consolas" w:cs="Consolas" w:eastAsia="Consolas"/>
          <w:b w:val="0"/>
          <w:i w:val="0"/>
          <w:sz w:val="18"/>
        </w:rPr>
        <w:t>nibd_rect &lt;- meta[[dn]] == "Non IBD"          &amp; meta[[loc]] == "Rectum"</w:t>
      </w:r>
    </w:p>
    <w:p>
      <w:pPr>
        <w:spacing w:before="0" w:after="0" w:line="240" w:lineRule="auto"/>
      </w:pPr>
      <w:r>
        <w:rPr>
          <w:rFonts w:ascii="Consolas" w:hAnsi="Consolas" w:cs="Consolas" w:eastAsia="Consolas"/>
          <w:b w:val="0"/>
          <w:i w:val="0"/>
          <w:sz w:val="18"/>
        </w:rPr>
        <w:t>c(CD_rectum = sum(cd_rect), nonIBD_rectum = sum(nibd_rect))   # 50 vs 23, n = 73</w:t>
      </w:r>
    </w:p>
    <w:p>
      <w:pPr>
        <w:spacing w:before="0" w:after="0" w:line="240" w:lineRule="auto"/>
      </w:pPr>
      <w:r>
        <w:rPr>
          <w:rFonts w:ascii="Consolas" w:hAnsi="Consolas" w:cs="Consolas" w:eastAsia="Consolas"/>
          <w:b w:val="0"/>
          <w:i w:val="0"/>
          <w:sz w:val="18"/>
        </w:rPr>
        <w:t># design formula once the subject IDs are imported from the source metadata:</w:t>
      </w:r>
    </w:p>
    <w:p>
      <w:pPr>
        <w:spacing w:before="0" w:after="0" w:line="240" w:lineRule="auto"/>
      </w:pPr>
      <w:r>
        <w:rPr>
          <w:rFonts w:ascii="Consolas" w:hAnsi="Consolas" w:cs="Consolas" w:eastAsia="Consolas"/>
          <w:b w:val="0"/>
          <w:i w:val="0"/>
          <w:sz w:val="18"/>
        </w:rPr>
        <w:t>#   ~ subject + disease_status</w:t>
      </w:r>
    </w:p>
    <w:p>
      <w:pPr>
        <w:spacing w:before="0" w:after="0" w:line="240" w:lineRule="auto"/>
      </w:pPr>
      <w:r>
        <w:rPr>
          <w:rFonts w:ascii="Consolas" w:hAnsi="Consolas" w:cs="Consolas" w:eastAsia="Consolas"/>
          <w:b w:val="0"/>
          <w:i w:val="0"/>
          <w:sz w:val="18"/>
        </w:rPr>
        <w:t># Raw reads: the Series states they are deposited in dbGaP, so there is no</w:t>
      </w:r>
    </w:p>
    <w:p>
      <w:pPr>
        <w:spacing w:before="0" w:after="0" w:line="240" w:lineRule="auto"/>
      </w:pPr>
      <w:r>
        <w:rPr>
          <w:rFonts w:ascii="Consolas" w:hAnsi="Consolas" w:cs="Consolas" w:eastAsia="Consolas"/>
          <w:b w:val="0"/>
          <w:i w:val="0"/>
          <w:sz w:val="18"/>
        </w:rPr>
        <w:t># SRA/SRP link to check and no FASTQ layer to download for this study.</w:t>
      </w:r>
    </w:p>
    <w:p>
      <w:pPr>
        <w:spacing w:before="0" w:after="0" w:line="240" w:lineRule="auto"/>
      </w:pPr>
      <w:r>
        <w:rPr>
          <w:rFonts w:ascii="Consolas" w:hAnsi="Consolas" w:cs="Consolas" w:eastAsia="Consolas"/>
          <w:b w:val="0"/>
          <w:i w:val="0"/>
          <w:sz w:val="18"/>
        </w:rPr>
        <w:t xml:space="preserve"> </w:t>
      </w:r>
    </w:p>
    <w:p>
      <w:pPr>
        <w:spacing w:before="0" w:after="0" w:line="240" w:lineRule="auto"/>
      </w:pPr>
      <w:r>
        <w:rPr>
          <w:rFonts w:ascii="Consolas" w:hAnsi="Consolas" w:cs="Consolas" w:eastAsia="Consolas"/>
          <w:b w:val="0"/>
          <w:i w:val="0"/>
          <w:sz w:val="18"/>
        </w:rPr>
        <w:t>sessionInfo()</w:t>
      </w:r>
    </w:p>
    <w:p w:rsidR="00F44C13" w:rsidRPr="00F44C13" w:rsidRDefault="00F44C13" w:rsidP="00F44C13">
      <w:pPr>
        <w:rPr>
          <w:rFonts w:ascii="Times New Roman" w:hAnsi="Times New Roman" w:cs="Times New Roman"/>
        </w:rPr>
      </w:pPr>
    </w:p>
    <w:p w:rsidR="008C5ACE" w:rsidRPr="00F44C13" w:rsidRDefault="008C5ACE" w:rsidP="008C5ACE">
      <w:pPr>
        <w:rPr>
          <w:rFonts w:ascii="Times New Roman" w:hAnsi="Times New Roman" w:cs="Times New Roman"/>
          <w:lang w:val="en-US"/>
        </w:rPr>
      </w:pPr>
    </w:p>
    <w:sectPr w:rsidR="008C5ACE" w:rsidRPr="00F44C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93EB9"/>
    <w:multiLevelType w:val="hybridMultilevel"/>
    <w:tmpl w:val="23A48C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E973592"/>
    <w:multiLevelType w:val="hybridMultilevel"/>
    <w:tmpl w:val="8C9E2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7C13D04"/>
    <w:multiLevelType w:val="hybridMultilevel"/>
    <w:tmpl w:val="691CF0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AA31E6D"/>
    <w:multiLevelType w:val="hybridMultilevel"/>
    <w:tmpl w:val="E48ED63A"/>
    <w:lvl w:ilvl="0" w:tplc="11D4775C">
      <w:start w:val="1"/>
      <w:numFmt w:val="bullet"/>
      <w:lvlText w:val="§"/>
      <w:lvlJc w:val="left"/>
      <w:pPr>
        <w:tabs>
          <w:tab w:val="num" w:pos="720"/>
        </w:tabs>
        <w:ind w:left="720" w:hanging="360"/>
      </w:pPr>
      <w:rPr>
        <w:rFonts w:ascii="Wingdings" w:hAnsi="Wingdings" w:hint="default"/>
      </w:rPr>
    </w:lvl>
    <w:lvl w:ilvl="1" w:tplc="95A2DAC4" w:tentative="1">
      <w:start w:val="1"/>
      <w:numFmt w:val="bullet"/>
      <w:lvlText w:val="§"/>
      <w:lvlJc w:val="left"/>
      <w:pPr>
        <w:tabs>
          <w:tab w:val="num" w:pos="1440"/>
        </w:tabs>
        <w:ind w:left="1440" w:hanging="360"/>
      </w:pPr>
      <w:rPr>
        <w:rFonts w:ascii="Wingdings" w:hAnsi="Wingdings" w:hint="default"/>
      </w:rPr>
    </w:lvl>
    <w:lvl w:ilvl="2" w:tplc="2BFCE18E" w:tentative="1">
      <w:start w:val="1"/>
      <w:numFmt w:val="bullet"/>
      <w:lvlText w:val="§"/>
      <w:lvlJc w:val="left"/>
      <w:pPr>
        <w:tabs>
          <w:tab w:val="num" w:pos="2160"/>
        </w:tabs>
        <w:ind w:left="2160" w:hanging="360"/>
      </w:pPr>
      <w:rPr>
        <w:rFonts w:ascii="Wingdings" w:hAnsi="Wingdings" w:hint="default"/>
      </w:rPr>
    </w:lvl>
    <w:lvl w:ilvl="3" w:tplc="A99EC578" w:tentative="1">
      <w:start w:val="1"/>
      <w:numFmt w:val="bullet"/>
      <w:lvlText w:val="§"/>
      <w:lvlJc w:val="left"/>
      <w:pPr>
        <w:tabs>
          <w:tab w:val="num" w:pos="2880"/>
        </w:tabs>
        <w:ind w:left="2880" w:hanging="360"/>
      </w:pPr>
      <w:rPr>
        <w:rFonts w:ascii="Wingdings" w:hAnsi="Wingdings" w:hint="default"/>
      </w:rPr>
    </w:lvl>
    <w:lvl w:ilvl="4" w:tplc="373C3FCA" w:tentative="1">
      <w:start w:val="1"/>
      <w:numFmt w:val="bullet"/>
      <w:lvlText w:val="§"/>
      <w:lvlJc w:val="left"/>
      <w:pPr>
        <w:tabs>
          <w:tab w:val="num" w:pos="3600"/>
        </w:tabs>
        <w:ind w:left="3600" w:hanging="360"/>
      </w:pPr>
      <w:rPr>
        <w:rFonts w:ascii="Wingdings" w:hAnsi="Wingdings" w:hint="default"/>
      </w:rPr>
    </w:lvl>
    <w:lvl w:ilvl="5" w:tplc="7FE87DF8" w:tentative="1">
      <w:start w:val="1"/>
      <w:numFmt w:val="bullet"/>
      <w:lvlText w:val="§"/>
      <w:lvlJc w:val="left"/>
      <w:pPr>
        <w:tabs>
          <w:tab w:val="num" w:pos="4320"/>
        </w:tabs>
        <w:ind w:left="4320" w:hanging="360"/>
      </w:pPr>
      <w:rPr>
        <w:rFonts w:ascii="Wingdings" w:hAnsi="Wingdings" w:hint="default"/>
      </w:rPr>
    </w:lvl>
    <w:lvl w:ilvl="6" w:tplc="29A298AC" w:tentative="1">
      <w:start w:val="1"/>
      <w:numFmt w:val="bullet"/>
      <w:lvlText w:val="§"/>
      <w:lvlJc w:val="left"/>
      <w:pPr>
        <w:tabs>
          <w:tab w:val="num" w:pos="5040"/>
        </w:tabs>
        <w:ind w:left="5040" w:hanging="360"/>
      </w:pPr>
      <w:rPr>
        <w:rFonts w:ascii="Wingdings" w:hAnsi="Wingdings" w:hint="default"/>
      </w:rPr>
    </w:lvl>
    <w:lvl w:ilvl="7" w:tplc="86B8E1E2" w:tentative="1">
      <w:start w:val="1"/>
      <w:numFmt w:val="bullet"/>
      <w:lvlText w:val="§"/>
      <w:lvlJc w:val="left"/>
      <w:pPr>
        <w:tabs>
          <w:tab w:val="num" w:pos="5760"/>
        </w:tabs>
        <w:ind w:left="5760" w:hanging="360"/>
      </w:pPr>
      <w:rPr>
        <w:rFonts w:ascii="Wingdings" w:hAnsi="Wingdings" w:hint="default"/>
      </w:rPr>
    </w:lvl>
    <w:lvl w:ilvl="8" w:tplc="1994B710" w:tentative="1">
      <w:start w:val="1"/>
      <w:numFmt w:val="bullet"/>
      <w:lvlText w:val="§"/>
      <w:lvlJc w:val="left"/>
      <w:pPr>
        <w:tabs>
          <w:tab w:val="num" w:pos="6480"/>
        </w:tabs>
        <w:ind w:left="6480" w:hanging="360"/>
      </w:pPr>
      <w:rPr>
        <w:rFonts w:ascii="Wingdings" w:hAnsi="Wingdings" w:hint="default"/>
      </w:rPr>
    </w:lvl>
  </w:abstractNum>
  <w:num w:numId="1" w16cid:durableId="1167015042">
    <w:abstractNumId w:val="0"/>
  </w:num>
  <w:num w:numId="2" w16cid:durableId="1136920610">
    <w:abstractNumId w:val="3"/>
  </w:num>
  <w:num w:numId="3" w16cid:durableId="1953126850">
    <w:abstractNumId w:val="2"/>
  </w:num>
  <w:num w:numId="4" w16cid:durableId="58846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73"/>
    <w:rsid w:val="00293EA4"/>
    <w:rsid w:val="003416F4"/>
    <w:rsid w:val="0040633A"/>
    <w:rsid w:val="00651052"/>
    <w:rsid w:val="00680E65"/>
    <w:rsid w:val="00880E73"/>
    <w:rsid w:val="008C5ACE"/>
    <w:rsid w:val="00A86D9D"/>
    <w:rsid w:val="00AB5F11"/>
    <w:rsid w:val="00B00AF5"/>
    <w:rsid w:val="00D70264"/>
    <w:rsid w:val="00F44C13"/>
    <w:rsid w:val="00F7442B"/>
    <w:rsid w:val="00F917DF"/>
    <w:rsid w:val="00F950D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4A4A0A"/>
  <w15:chartTrackingRefBased/>
  <w15:docId w15:val="{C583C452-4626-294A-B592-E6742A0D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E73"/>
    <w:pPr>
      <w:spacing w:after="160" w:line="278" w:lineRule="auto"/>
    </w:pPr>
  </w:style>
  <w:style w:type="paragraph" w:styleId="Heading1">
    <w:name w:val="heading 1"/>
    <w:basedOn w:val="Normal"/>
    <w:next w:val="Normal"/>
    <w:link w:val="Heading1Char"/>
    <w:uiPriority w:val="9"/>
    <w:qFormat/>
    <w:rsid w:val="0088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E73"/>
    <w:rPr>
      <w:rFonts w:eastAsiaTheme="majorEastAsia" w:cstheme="majorBidi"/>
      <w:color w:val="272727" w:themeColor="text1" w:themeTint="D8"/>
    </w:rPr>
  </w:style>
  <w:style w:type="paragraph" w:styleId="Title">
    <w:name w:val="Title"/>
    <w:basedOn w:val="Normal"/>
    <w:next w:val="Normal"/>
    <w:link w:val="TitleChar"/>
    <w:uiPriority w:val="10"/>
    <w:qFormat/>
    <w:rsid w:val="00880E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E73"/>
    <w:pPr>
      <w:spacing w:before="160"/>
      <w:jc w:val="center"/>
    </w:pPr>
    <w:rPr>
      <w:i/>
      <w:iCs/>
      <w:color w:val="404040" w:themeColor="text1" w:themeTint="BF"/>
    </w:rPr>
  </w:style>
  <w:style w:type="character" w:customStyle="1" w:styleId="QuoteChar">
    <w:name w:val="Quote Char"/>
    <w:basedOn w:val="DefaultParagraphFont"/>
    <w:link w:val="Quote"/>
    <w:uiPriority w:val="29"/>
    <w:rsid w:val="00880E73"/>
    <w:rPr>
      <w:i/>
      <w:iCs/>
      <w:color w:val="404040" w:themeColor="text1" w:themeTint="BF"/>
    </w:rPr>
  </w:style>
  <w:style w:type="paragraph" w:styleId="ListParagraph">
    <w:name w:val="List Paragraph"/>
    <w:basedOn w:val="Normal"/>
    <w:uiPriority w:val="34"/>
    <w:qFormat/>
    <w:rsid w:val="00880E73"/>
    <w:pPr>
      <w:ind w:left="720"/>
      <w:contextualSpacing/>
    </w:pPr>
  </w:style>
  <w:style w:type="character" w:styleId="IntenseEmphasis">
    <w:name w:val="Intense Emphasis"/>
    <w:basedOn w:val="DefaultParagraphFont"/>
    <w:uiPriority w:val="21"/>
    <w:qFormat/>
    <w:rsid w:val="00880E73"/>
    <w:rPr>
      <w:i/>
      <w:iCs/>
      <w:color w:val="2F5496" w:themeColor="accent1" w:themeShade="BF"/>
    </w:rPr>
  </w:style>
  <w:style w:type="paragraph" w:styleId="IntenseQuote">
    <w:name w:val="Intense Quote"/>
    <w:basedOn w:val="Normal"/>
    <w:next w:val="Normal"/>
    <w:link w:val="IntenseQuoteChar"/>
    <w:uiPriority w:val="30"/>
    <w:qFormat/>
    <w:rsid w:val="0088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E73"/>
    <w:rPr>
      <w:i/>
      <w:iCs/>
      <w:color w:val="2F5496" w:themeColor="accent1" w:themeShade="BF"/>
    </w:rPr>
  </w:style>
  <w:style w:type="character" w:styleId="IntenseReference">
    <w:name w:val="Intense Reference"/>
    <w:basedOn w:val="DefaultParagraphFont"/>
    <w:uiPriority w:val="32"/>
    <w:qFormat/>
    <w:rsid w:val="00880E73"/>
    <w:rPr>
      <w:b/>
      <w:bCs/>
      <w:smallCaps/>
      <w:color w:val="2F5496" w:themeColor="accent1" w:themeShade="BF"/>
      <w:spacing w:val="5"/>
    </w:rPr>
  </w:style>
  <w:style w:type="table" w:styleId="TableGrid">
    <w:name w:val="Table Grid"/>
    <w:basedOn w:val="TableNormal"/>
    <w:uiPriority w:val="59"/>
    <w:rsid w:val="00F44C13"/>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941954">
      <w:bodyDiv w:val="1"/>
      <w:marLeft w:val="0"/>
      <w:marRight w:val="0"/>
      <w:marTop w:val="0"/>
      <w:marBottom w:val="0"/>
      <w:divBdr>
        <w:top w:val="none" w:sz="0" w:space="0" w:color="auto"/>
        <w:left w:val="none" w:sz="0" w:space="0" w:color="auto"/>
        <w:bottom w:val="none" w:sz="0" w:space="0" w:color="auto"/>
        <w:right w:val="none" w:sz="0" w:space="0" w:color="auto"/>
      </w:divBdr>
      <w:divsChild>
        <w:div w:id="1302812369">
          <w:marLeft w:val="547"/>
          <w:marRight w:val="0"/>
          <w:marTop w:val="2"/>
          <w:marBottom w:val="0"/>
          <w:divBdr>
            <w:top w:val="none" w:sz="0" w:space="0" w:color="auto"/>
            <w:left w:val="none" w:sz="0" w:space="0" w:color="auto"/>
            <w:bottom w:val="none" w:sz="0" w:space="0" w:color="auto"/>
            <w:right w:val="none" w:sz="0" w:space="0" w:color="auto"/>
          </w:divBdr>
        </w:div>
        <w:div w:id="1199123330">
          <w:marLeft w:val="547"/>
          <w:marRight w:val="0"/>
          <w:marTop w:val="2"/>
          <w:marBottom w:val="0"/>
          <w:divBdr>
            <w:top w:val="none" w:sz="0" w:space="0" w:color="auto"/>
            <w:left w:val="none" w:sz="0" w:space="0" w:color="auto"/>
            <w:bottom w:val="none" w:sz="0" w:space="0" w:color="auto"/>
            <w:right w:val="none" w:sz="0" w:space="0" w:color="auto"/>
          </w:divBdr>
        </w:div>
        <w:div w:id="1011034188">
          <w:marLeft w:val="547"/>
          <w:marRight w:val="0"/>
          <w:marTop w:val="2"/>
          <w:marBottom w:val="0"/>
          <w:divBdr>
            <w:top w:val="none" w:sz="0" w:space="0" w:color="auto"/>
            <w:left w:val="none" w:sz="0" w:space="0" w:color="auto"/>
            <w:bottom w:val="none" w:sz="0" w:space="0" w:color="auto"/>
            <w:right w:val="none" w:sz="0" w:space="0" w:color="auto"/>
          </w:divBdr>
        </w:div>
        <w:div w:id="1179739064">
          <w:marLeft w:val="547"/>
          <w:marRight w:val="0"/>
          <w:marTop w:val="2"/>
          <w:marBottom w:val="0"/>
          <w:divBdr>
            <w:top w:val="none" w:sz="0" w:space="0" w:color="auto"/>
            <w:left w:val="none" w:sz="0" w:space="0" w:color="auto"/>
            <w:bottom w:val="none" w:sz="0" w:space="0" w:color="auto"/>
            <w:right w:val="none" w:sz="0" w:space="0" w:color="auto"/>
          </w:divBdr>
        </w:div>
        <w:div w:id="411391640">
          <w:marLeft w:val="547"/>
          <w:marRight w:val="0"/>
          <w:marTop w:val="2"/>
          <w:marBottom w:val="0"/>
          <w:divBdr>
            <w:top w:val="none" w:sz="0" w:space="0" w:color="auto"/>
            <w:left w:val="none" w:sz="0" w:space="0" w:color="auto"/>
            <w:bottom w:val="none" w:sz="0" w:space="0" w:color="auto"/>
            <w:right w:val="none" w:sz="0" w:space="0" w:color="auto"/>
          </w:divBdr>
        </w:div>
        <w:div w:id="2119526748">
          <w:marLeft w:val="547"/>
          <w:marRight w:val="0"/>
          <w:marTop w:val="2"/>
          <w:marBottom w:val="0"/>
          <w:divBdr>
            <w:top w:val="none" w:sz="0" w:space="0" w:color="auto"/>
            <w:left w:val="none" w:sz="0" w:space="0" w:color="auto"/>
            <w:bottom w:val="none" w:sz="0" w:space="0" w:color="auto"/>
            <w:right w:val="none" w:sz="0" w:space="0" w:color="auto"/>
          </w:divBdr>
        </w:div>
      </w:divsChild>
    </w:div>
    <w:div w:id="28049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mac</cp:lastModifiedBy>
  <cp:revision>8</cp:revision>
  <dcterms:created xsi:type="dcterms:W3CDTF">2026-08-22T08:22:00Z</dcterms:created>
  <dcterms:modified xsi:type="dcterms:W3CDTF">2026-09-09T01:09:00Z</dcterms:modified>
</cp:coreProperties>
</file>