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80E73" w:rsidRPr="008C5ACE" w:rsidRDefault="00880E73" w:rsidP="00880E73">
      <w:pPr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lang w:val="en-US"/>
        </w:rPr>
        <w:t>Homework for week 2, submission deadline 23:59 on Sunday night.</w:t>
      </w:r>
    </w:p>
    <w:p w:rsidR="00880E73" w:rsidRPr="008C5ACE" w:rsidRDefault="008C5ACE" w:rsidP="008C5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lang w:val="en-US"/>
        </w:rPr>
        <w:t>Choose your own topics from following list or your own.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Gut microbiota and metabolic disease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Single-cell transcriptomics in cancer immunology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Antibiotic resistance genomics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Epigenetic regulation in neurological disorders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b/>
          <w:lang w:val="en-US"/>
        </w:rPr>
        <w:t>Muscle regeneration and aging</w:t>
      </w:r>
      <w:r>
        <w:rPr>
          <w:rFonts w:ascii="Times New Roman" w:hAnsi="Times New Roman" w:eastAsia="Microsoft YaHei"/>
          <w:b/>
          <w:sz w:val="24"/>
        </w:rPr>
        <w:t xml:space="preserve">  ← Topic 5（所选主题）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Proteomic biomarkers in MAFLD/MASH</w:t>
      </w:r>
    </w:p>
    <w:p w:rsidR="008C5ACE" w:rsidRPr="008C5ACE" w:rsidRDefault="008C5ACE" w:rsidP="008C5ACE">
      <w:pPr>
        <w:spacing w:before="240" w:after="0"/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lang w:val="en-US"/>
        </w:rPr>
        <w:t>Finish the following question section we covered in the class</w:t>
      </w:r>
    </w:p>
    <w:p w:rsidR="008C5ACE" w:rsidRPr="008C5ACE" w:rsidRDefault="008C5ACE" w:rsidP="008C5ACE">
      <w:pPr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FEDB23" wp14:editId="5C094776">
            <wp:extent cx="3318095" cy="2087280"/>
            <wp:effectExtent l="0" t="0" r="0" b="0"/>
            <wp:docPr id="113836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8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9786" cy="21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CE" w:rsidRDefault="008C5ACE" w:rsidP="008C5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and read two research papers in the folder and answer following question based on these two papers.</w:t>
      </w:r>
    </w:p>
    <w:p w:rsidR="008C5ACE" w:rsidRDefault="008C5ACE" w:rsidP="008C5A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p>
      <w:r>
        <w:rPr>
          <w:rFonts w:ascii="Times New Roman" w:hAnsi="Times New Roman" w:eastAsia="Microsoft YaHei"/>
          <w:b/>
          <w:sz w:val="24"/>
        </w:rPr>
        <w:t>第一题答案（中文版·供参考）</w:t>
      </w:r>
    </w:p>
    <w:p>
      <w:r>
        <w:rPr>
          <w:rFonts w:ascii="Times New Roman" w:hAnsi="Times New Roman" w:eastAsia="Microsoft YaHei"/>
          <w:sz w:val="24"/>
        </w:rPr>
        <w:t>两篇论文均为观察性研究（未对任何受试者施加干预），因此采用 PECO 框架（人群 Population – 暴露 Exposure – 比较 Comparison – 结局 Outcome）而非 PICO：在观察性生物信息学研究中，PECO 比 PICO 更自然，即将 PICO 中的“干预（Intervention）”替换为“暴露（Exposure）”——测量而非人为施加的因素。</w:t>
      </w:r>
    </w:p>
    <w:p>
      <w:r>
        <w:rPr>
          <w:rFonts w:ascii="Times New Roman" w:hAnsi="Times New Roman" w:eastAsia="Microsoft YaHei"/>
          <w:b/>
          <w:sz w:val="24"/>
        </w:rPr>
        <w:t>论文 1 — Huang L, Pan G, Feng Y, 等. Microbial network signatures of early colonizers in infants with eczema. iMeta 2023;2(2):e90. https://doi.org/10.1002/imt2.90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680"/>
        <w:gridCol w:w="4680"/>
      </w:tblGrid>
      <w:tr>
        <w:tc>
          <w:tcPr>
            <w:tcW w:type="dxa" w:w="2041"/>
            <w:shd w:val="clear" w:fill="D9D9D9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PECO element</w:t>
            </w:r>
          </w:p>
        </w:tc>
        <w:tc>
          <w:tcPr>
            <w:tcW w:type="dxa" w:w="7313"/>
            <w:shd w:val="clear" w:fill="D9D9D9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在本文中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P（人群 Population）</w:t>
            </w:r>
          </w:p>
        </w:tc>
        <w:tc>
          <w:tcPr>
            <w:tcW w:type="dxa" w:w="7313"/>
          </w:tcPr>
          <w:p>
            <w:r>
              <w:rPr>
                <w:rFonts w:ascii="Times New Roman" w:hAnsi="Times New Roman" w:eastAsia="Microsoft YaHei"/>
                <w:sz w:val="24"/>
              </w:rPr>
              <w:t>足月、经阴道分娩、纯母乳/以母乳为主喂养的健康婴儿（出生后约 100 天内）及其母亲——共 34 对母婴，于中国广州南方医科大学珠江医院入组（2021 年）；其中 22 名婴儿至 6 月龄未患湿疹（对照组），12 名患婴儿湿疹（病例组）。网络结果另与两个独立欧洲队列的健康婴儿比较验证（瑞典：Roswall 等；丹麦：Christensen 等）。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E（暴露 Exposure）</w:t>
            </w:r>
          </w:p>
        </w:tc>
        <w:tc>
          <w:tcPr>
            <w:tcW w:type="dxa" w:w="7313"/>
          </w:tcPr>
          <w:p>
            <w:r>
              <w:rPr>
                <w:rFonts w:ascii="Times New Roman" w:hAnsi="Times New Roman" w:eastAsia="Microsoft YaHei"/>
                <w:sz w:val="24"/>
              </w:rPr>
              <w:t>早期生命肠道菌群：首批定植菌的组成与时间序列微生物（分子生态学）网络结构，通过对胎便（出生时）及出生后第 1、2、3 个月粪便样本进行 16S rRNA 基因扩增子测序获取（α/β 多样性、ASV 水平网络拓扑）。母亲分娩前 BMI 与血清甘油三酯（TG）作为可能的关联/风险因素一并记录。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C（比较 Comparison）</w:t>
            </w:r>
          </w:p>
        </w:tc>
        <w:tc>
          <w:tcPr>
            <w:tcW w:type="dxa" w:w="7313"/>
          </w:tcPr>
          <w:p>
            <w:r>
              <w:rPr>
                <w:rFonts w:ascii="Times New Roman" w:hAnsi="Times New Roman" w:eastAsia="Microsoft YaHei"/>
                <w:sz w:val="24"/>
              </w:rPr>
              <w:t>6 月龄内发生湿疹与未发生湿疹的婴儿（病例 vs 对照）；出生后不同时间点（胎便 → 第 1–3 个月）肠道菌群动态的比较；以及与两个外部队列健康婴儿网络特征的比较。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O（结局 Outcome）</w:t>
            </w:r>
          </w:p>
        </w:tc>
        <w:tc>
          <w:tcPr>
            <w:tcW w:type="dxa" w:w="7313"/>
          </w:tcPr>
          <w:p>
            <w:r>
              <w:rPr>
                <w:rFonts w:ascii="Times New Roman" w:hAnsi="Times New Roman" w:eastAsia="Microsoft YaHei"/>
                <w:sz w:val="24"/>
              </w:rPr>
              <w:t>6 月龄前婴儿湿疹（特应性皮炎）的发生及其与早期肠道菌群多样性和网络特征的关联——如湿疹婴儿菌群多样性更低、网络复杂度与稳定性更低，且第 3 个月时网络结构已出现异常；肠道菌群 InvSimpson 指数较高可能是保护因素，母亲孕晚期高 TG 可能是危险因素。</w:t>
            </w:r>
          </w:p>
        </w:tc>
      </w:tr>
    </w:tbl>
    <w:p>
      <w:r>
        <w:rPr>
          <w:rFonts w:ascii="Times New Roman" w:hAnsi="Times New Roman" w:eastAsia="Microsoft YaHei"/>
          <w:i/>
          <w:sz w:val="24"/>
        </w:rPr>
        <w:t>PECO 结构化问题：在足月、纯母乳喂养的健康婴儿（P）中，早期肠道菌群多样性与网络特征（E）在 6 月龄内患湿疹与未患湿疹婴儿之间（C）的差异，是否与婴儿湿疹的发生（O）相关？</w:t>
      </w:r>
    </w:p>
    <w:p>
      <w:r>
        <w:rPr>
          <w:rFonts w:ascii="Times New Roman" w:hAnsi="Times New Roman" w:eastAsia="Microsoft YaHei"/>
          <w:b/>
          <w:sz w:val="24"/>
        </w:rPr>
        <w:t>论文 2 — Priya S, Burns MB, Ward T, 等. Identification of shared and disease-specific host gene–microbiome associations across human diseases using multi-omic integration. Nature Microbiology 2022;7(6):780–795. https://doi.org/10.1038/s41564-022-01121-z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680"/>
        <w:gridCol w:w="4680"/>
      </w:tblGrid>
      <w:tr>
        <w:tc>
          <w:tcPr>
            <w:tcW w:type="dxa" w:w="2041"/>
            <w:shd w:val="clear" w:fill="D9D9D9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PECO element</w:t>
            </w:r>
          </w:p>
        </w:tc>
        <w:tc>
          <w:tcPr>
            <w:tcW w:type="dxa" w:w="7313"/>
            <w:shd w:val="clear" w:fill="D9D9D9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在本文中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P（人群 Population）</w:t>
            </w:r>
          </w:p>
        </w:tc>
        <w:tc>
          <w:tcPr>
            <w:tcW w:type="dxa" w:w="7313"/>
          </w:tcPr>
          <w:p>
            <w:r>
              <w:rPr>
                <w:rFonts w:ascii="Times New Roman" w:hAnsi="Times New Roman" w:eastAsia="Microsoft YaHei"/>
                <w:sz w:val="24"/>
              </w:rPr>
              <w:t>来自三个胃肠疾病队列、共 208 对结肠黏膜样本（每对 = 同一活检组织的 1 份宿主 RNA-seq 转录组 + 1 份 16S rRNA 菌群谱）：CRC（44 例患者；肿瘤组织 + 患者匹配的正常黏膜）、IBD（56 例 IBD 患者——34 例克罗恩病、22 例溃疡性结肠炎——加 22 例非 IBD 对照；来自 HMP2）、IBS（29 例 IBS 患者 + 13 名健康对照）。数据多为已发表队列的再分析（Burns 等；HMP2/iHMP；Mars 等）。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E（暴露 Exposure）</w:t>
            </w:r>
          </w:p>
        </w:tc>
        <w:tc>
          <w:tcPr>
            <w:tcW w:type="dxa" w:w="7313"/>
          </w:tcPr>
          <w:p>
            <w:r>
              <w:rPr>
                <w:rFonts w:ascii="Times New Roman" w:hAnsi="Times New Roman" w:eastAsia="Microsoft YaHei"/>
                <w:sz w:val="24"/>
              </w:rPr>
              <w:t>黏膜肠道菌群组成——16S rRNA 测序得到的微生物分类群/OTU 丰度（如链球菌 Streptococcus、具核梭杆菌 Fusobacterium nucleatum）——连同疾病状态（CRC/IBD/IBS），作为考察其与宿主转录关系的暴露因素。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C（比较 Comparison）</w:t>
            </w:r>
          </w:p>
        </w:tc>
        <w:tc>
          <w:tcPr>
            <w:tcW w:type="dxa" w:w="7313"/>
          </w:tcPr>
          <w:p>
            <w:r>
              <w:rPr>
                <w:rFonts w:ascii="Times New Roman" w:hAnsi="Times New Roman" w:eastAsia="Microsoft YaHei"/>
                <w:sz w:val="24"/>
              </w:rPr>
              <w:t>跨三种疾病之间、以及各队列内部与非病变组织/对照的比较：即共享型与疾病特异型宿主基因–菌群关联（例如同一微生物链球菌在 CRC、IBD、IBS 中是否与不同宿主通路相关；肿瘤 vs 正常黏膜；患者 vs 对照）。</w:t>
            </w:r>
          </w:p>
        </w:tc>
      </w:tr>
      <w:tr>
        <w:tc>
          <w:tcPr>
            <w:tcW w:type="dxa" w:w="2041"/>
          </w:tcPr>
          <w:p>
            <w:r>
              <w:rPr>
                <w:rFonts w:ascii="Times New Roman" w:hAnsi="Times New Roman" w:eastAsia="Microsoft YaHei"/>
                <w:b/>
                <w:sz w:val="24"/>
              </w:rPr>
              <w:t>O（结局 Outcome）</w:t>
            </w:r>
          </w:p>
        </w:tc>
        <w:tc>
          <w:tcPr>
            <w:tcW w:type="dxa" w:w="7313"/>
          </w:tcPr>
          <w:p>
            <w:r>
              <w:rPr>
                <w:rFonts w:ascii="Times New Roman" w:hAnsi="Times New Roman" w:eastAsia="Microsoft YaHei"/>
                <w:sz w:val="24"/>
              </w:rPr>
              <w:t>与菌群丰度相关的宿主结肠基因表达/通路活性，采用机器学习框架（稀疏 CCA + lasso 回归）结合通路富集分析识别——如共享宿主通路（氧化磷酸化、炎症、肠道屏障与能量代谢相关通路），以及 102 条与菌群相关的疾病特异宿主通路（CRC 特异 52 条、IBD 特异 25 条、IBS 特异 25 条）。</w:t>
            </w:r>
          </w:p>
        </w:tc>
      </w:tr>
    </w:tbl>
    <w:p>
      <w:r>
        <w:rPr>
          <w:rFonts w:ascii="Times New Roman" w:hAnsi="Times New Roman" w:eastAsia="Microsoft YaHei"/>
          <w:i/>
          <w:sz w:val="24"/>
        </w:rPr>
        <w:t>PECO 结构化问题：在患有 CRC、IBD 或 IBS 的成人及非疾病对照（P）中，特定黏膜肠道菌群（E）是否与宿主结肠基因表达及通路（O）相关，且这些关联呈现跨疾病共享或疾病特异（C）的模式？</w:t>
      </w:r>
    </w:p>
    <w:p>
      <w:r>
        <w:rPr>
          <w:rFonts w:ascii="Times New Roman" w:hAnsi="Times New Roman" w:eastAsia="Microsoft YaHei"/>
          <w:i/>
          <w:sz w:val="24"/>
        </w:rPr>
        <w:t>说明：两篇论文均未施加干预，故采用 PECO；且二者均为关联性研究，所发现的关联应解释为相关性而非因果关系。</w:t>
      </w:r>
    </w:p>
    <w:p w:rsidR="008C5ACE" w:rsidRDefault="00651052" w:rsidP="008C5A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Question 2: </w:t>
      </w:r>
      <w:r w:rsidR="008C5ACE">
        <w:rPr>
          <w:rFonts w:ascii="Times New Roman" w:hAnsi="Times New Roman" w:cs="Times New Roman"/>
          <w:lang w:val="en-US"/>
        </w:rPr>
        <w:t>What kind of dataset or data type these two papers use?</w:t>
      </w:r>
    </w:p>
    <w:p w:rsidR="008C5ACE" w:rsidRDefault="00651052" w:rsidP="008C5A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Question 3: </w:t>
      </w:r>
      <w:r w:rsidR="008C5ACE">
        <w:rPr>
          <w:rFonts w:ascii="Times New Roman" w:hAnsi="Times New Roman" w:cs="Times New Roman"/>
          <w:lang w:val="en-US"/>
        </w:rPr>
        <w:t>What is the hypothesis of these two research?</w:t>
      </w:r>
    </w:p>
    <w:p w:rsidR="008C5ACE" w:rsidRDefault="008C5ACE" w:rsidP="008C5ACE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:rsidR="008C5ACE" w:rsidRDefault="008C5ACE" w:rsidP="008C5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Based on your research </w:t>
      </w:r>
      <w:r w:rsidR="00651052">
        <w:rPr>
          <w:rFonts w:ascii="Times New Roman" w:hAnsi="Times New Roman" w:cs="Times New Roman"/>
          <w:lang w:val="en-US"/>
        </w:rPr>
        <w:t>interest, refine the search in PUBMED, and sort, identify the latest and the most important studies in your field. Read this paper and answer three question</w:t>
      </w:r>
      <w:r w:rsidR="00680E65">
        <w:rPr>
          <w:rFonts w:ascii="Times New Roman" w:hAnsi="Times New Roman" w:cs="Times New Roman" w:hint="eastAsia"/>
          <w:lang w:val="en-US"/>
        </w:rPr>
        <w:t>s</w:t>
      </w:r>
      <w:r w:rsidR="00680E65">
        <w:rPr>
          <w:rFonts w:ascii="Times New Roman" w:hAnsi="Times New Roman" w:cs="Times New Roman"/>
          <w:lang w:val="en-US"/>
        </w:rPr>
        <w:t>:</w:t>
      </w:r>
    </w:p>
    <w:p w:rsidR="00680E65" w:rsidRDefault="00680E65" w:rsidP="00680E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p w:rsidR="00680E65" w:rsidRDefault="00680E65" w:rsidP="00680E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2: What kind of dataset or data type these two papers use?</w:t>
      </w:r>
    </w:p>
    <w:p w:rsidR="00680E65" w:rsidRDefault="00680E65" w:rsidP="00680E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3: What is the hypothesis of these two research?</w:t>
      </w:r>
    </w:p>
    <w:p w:rsidR="00680E65" w:rsidRDefault="00680E65" w:rsidP="00680E65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:rsidR="00651052" w:rsidRPr="00651052" w:rsidRDefault="00651052" w:rsidP="00651052">
      <w:pPr>
        <w:rPr>
          <w:rFonts w:ascii="Times New Roman" w:hAnsi="Times New Roman" w:cs="Times New Roman"/>
          <w:lang w:val="en-US"/>
        </w:rPr>
      </w:pPr>
    </w:p>
    <w:p w:rsidR="008C5ACE" w:rsidRPr="008C5ACE" w:rsidRDefault="008C5ACE" w:rsidP="008C5ACE">
      <w:pPr>
        <w:rPr>
          <w:rFonts w:ascii="Times New Roman" w:hAnsi="Times New Roman" w:cs="Times New Roman"/>
          <w:lang w:val="en-US"/>
        </w:rPr>
      </w:pPr>
    </w:p>
    <w:sectPr w:rsidR="008C5ACE" w:rsidRPr="008C5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93EB9"/>
    <w:multiLevelType w:val="hybridMultilevel"/>
    <w:tmpl w:val="23A48C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C13D04"/>
    <w:multiLevelType w:val="hybridMultilevel"/>
    <w:tmpl w:val="691C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31E6D"/>
    <w:multiLevelType w:val="hybridMultilevel"/>
    <w:tmpl w:val="E48ED63A"/>
    <w:lvl w:ilvl="0" w:tplc="11D4775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A2DAC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FCE1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9EC57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C3FC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E87DF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A298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B8E1E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94B71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67015042">
    <w:abstractNumId w:val="0"/>
  </w:num>
  <w:num w:numId="2" w16cid:durableId="1136920610">
    <w:abstractNumId w:val="2"/>
  </w:num>
  <w:num w:numId="3" w16cid:durableId="1953126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3"/>
    <w:rsid w:val="0040633A"/>
    <w:rsid w:val="00651052"/>
    <w:rsid w:val="00680E65"/>
    <w:rsid w:val="00880E73"/>
    <w:rsid w:val="008C5ACE"/>
    <w:rsid w:val="00F9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5F5AD"/>
  <w15:chartTrackingRefBased/>
  <w15:docId w15:val="{C583C452-4626-294A-B592-E6742A0D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73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9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2369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333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4188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9064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64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6748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2</cp:revision>
  <dcterms:created xsi:type="dcterms:W3CDTF">2026-08-22T08:22:00Z</dcterms:created>
  <dcterms:modified xsi:type="dcterms:W3CDTF">2026-08-29T13:14:00Z</dcterms:modified>
</cp:coreProperties>
</file>