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ABCDD1F">
      <w:pPr>
        <w:rPr>
          <w:rFonts w:ascii="Times New Roman" w:hAnsi="Times New Roman" w:cs="Times New Roman"/>
          <w:lang w:val="en-US"/>
        </w:rPr>
      </w:pPr>
      <w:r>
        <w:rPr>
          <w:rFonts w:ascii="Times New Roman" w:hAnsi="Times New Roman" w:cs="Times New Roman"/>
          <w:lang w:val="en-US"/>
        </w:rPr>
        <w:t>Homework for week 2, submission deadline 23:59 on Sunday night.</w:t>
      </w:r>
    </w:p>
    <w:p w14:paraId="39856D49">
      <w:pPr>
        <w:pStyle w:val="32"/>
        <w:numPr>
          <w:ilvl w:val="0"/>
          <w:numId w:val="1"/>
        </w:numPr>
        <w:rPr>
          <w:rFonts w:ascii="Times New Roman" w:hAnsi="Times New Roman" w:cs="Times New Roman"/>
          <w:b/>
          <w:bCs/>
          <w:lang w:val="en-US"/>
        </w:rPr>
      </w:pPr>
      <w:r>
        <w:rPr>
          <w:rFonts w:ascii="Times New Roman" w:hAnsi="Times New Roman" w:cs="Times New Roman"/>
          <w:b/>
          <w:bCs/>
          <w:lang w:val="en-US"/>
        </w:rPr>
        <w:t>Choose your own topics from following list or your own.</w:t>
      </w:r>
    </w:p>
    <w:p w14:paraId="4E827C23">
      <w:pPr>
        <w:numPr>
          <w:ilvl w:val="0"/>
          <w:numId w:val="2"/>
        </w:numPr>
        <w:spacing w:after="0" w:line="240" w:lineRule="auto"/>
        <w:rPr>
          <w:rFonts w:ascii="Times New Roman" w:hAnsi="Times New Roman" w:cs="Times New Roman"/>
        </w:rPr>
      </w:pPr>
      <w:r>
        <w:rPr>
          <w:rFonts w:ascii="Times New Roman" w:hAnsi="Times New Roman" w:cs="Times New Roman"/>
          <w:lang w:val="en-US"/>
        </w:rPr>
        <w:t>Gut microbiota and metabolic disease</w:t>
      </w:r>
    </w:p>
    <w:p w14:paraId="18775D95">
      <w:pPr>
        <w:numPr>
          <w:ilvl w:val="0"/>
          <w:numId w:val="2"/>
        </w:numPr>
        <w:spacing w:after="0" w:line="240" w:lineRule="auto"/>
        <w:rPr>
          <w:rFonts w:ascii="Times New Roman" w:hAnsi="Times New Roman" w:cs="Times New Roman"/>
        </w:rPr>
      </w:pPr>
      <w:r>
        <w:rPr>
          <w:rFonts w:ascii="Times New Roman" w:hAnsi="Times New Roman" w:cs="Times New Roman"/>
          <w:lang w:val="en-US"/>
        </w:rPr>
        <w:t>Single-cell transcriptomics in cancer immunology</w:t>
      </w:r>
    </w:p>
    <w:p w14:paraId="79C7FDEA">
      <w:pPr>
        <w:numPr>
          <w:ilvl w:val="0"/>
          <w:numId w:val="2"/>
        </w:numPr>
        <w:spacing w:after="0" w:line="240" w:lineRule="auto"/>
        <w:rPr>
          <w:rFonts w:ascii="Times New Roman" w:hAnsi="Times New Roman" w:cs="Times New Roman"/>
        </w:rPr>
      </w:pPr>
      <w:r>
        <w:rPr>
          <w:rFonts w:ascii="Times New Roman" w:hAnsi="Times New Roman" w:cs="Times New Roman"/>
          <w:lang w:val="en-US"/>
        </w:rPr>
        <w:t>Antibiotic resistance genomics</w:t>
      </w:r>
    </w:p>
    <w:p w14:paraId="13A104B9">
      <w:pPr>
        <w:numPr>
          <w:ilvl w:val="0"/>
          <w:numId w:val="2"/>
        </w:numPr>
        <w:spacing w:after="0" w:line="240" w:lineRule="auto"/>
        <w:rPr>
          <w:rFonts w:ascii="Times New Roman" w:hAnsi="Times New Roman" w:cs="Times New Roman"/>
        </w:rPr>
      </w:pPr>
      <w:r>
        <w:rPr>
          <w:rFonts w:ascii="Times New Roman" w:hAnsi="Times New Roman" w:cs="Times New Roman"/>
          <w:lang w:val="en-US"/>
        </w:rPr>
        <w:t>Epigenetic regulation in neurological disorders</w:t>
      </w:r>
    </w:p>
    <w:p w14:paraId="6ABFB001">
      <w:pPr>
        <w:numPr>
          <w:ilvl w:val="0"/>
          <w:numId w:val="2"/>
        </w:numPr>
        <w:spacing w:after="0" w:line="240" w:lineRule="auto"/>
        <w:rPr>
          <w:rFonts w:ascii="Times New Roman" w:hAnsi="Times New Roman" w:cs="Times New Roman"/>
        </w:rPr>
      </w:pPr>
      <w:r>
        <w:rPr>
          <w:rFonts w:ascii="Times New Roman" w:hAnsi="Times New Roman" w:cs="Times New Roman"/>
          <w:b/>
          <w:lang w:val="en-US"/>
        </w:rPr>
        <w:t>Muscle regeneration and aging</w:t>
      </w:r>
      <w:r>
        <w:rPr>
          <w:rFonts w:ascii="Times New Roman" w:hAnsi="Times New Roman" w:eastAsia="微软雅黑"/>
          <w:b/>
          <w:sz w:val="24"/>
        </w:rPr>
        <w:t xml:space="preserve">  ← Topic 5 (chosen)</w:t>
      </w:r>
    </w:p>
    <w:p w14:paraId="0A55B136">
      <w:pPr>
        <w:numPr>
          <w:ilvl w:val="0"/>
          <w:numId w:val="2"/>
        </w:numPr>
        <w:spacing w:after="0" w:line="240" w:lineRule="auto"/>
        <w:rPr>
          <w:rFonts w:ascii="Times New Roman" w:hAnsi="Times New Roman" w:cs="Times New Roman"/>
        </w:rPr>
      </w:pPr>
      <w:r>
        <w:rPr>
          <w:rFonts w:ascii="Times New Roman" w:hAnsi="Times New Roman" w:cs="Times New Roman"/>
          <w:lang w:val="en-US"/>
        </w:rPr>
        <w:t>Proteomic biomarkers in MAFLD/MASH</w:t>
      </w:r>
    </w:p>
    <w:p w14:paraId="1278F633">
      <w:pPr>
        <w:spacing w:before="240" w:after="0"/>
        <w:rPr>
          <w:rFonts w:ascii="Times New Roman" w:hAnsi="Times New Roman" w:cs="Times New Roman"/>
          <w:lang w:val="en-US"/>
        </w:rPr>
      </w:pPr>
      <w:r>
        <w:rPr>
          <w:rFonts w:ascii="Times New Roman" w:hAnsi="Times New Roman" w:cs="Times New Roman"/>
          <w:lang w:val="en-US"/>
        </w:rPr>
        <w:t>Finish the following question section we covered in the class</w:t>
      </w:r>
    </w:p>
    <w:p w14:paraId="56C077C7">
      <w:pPr>
        <w:rPr>
          <w:rFonts w:ascii="Times New Roman" w:hAnsi="Times New Roman" w:cs="Times New Roman"/>
          <w:lang w:val="en-US"/>
        </w:rPr>
      </w:pPr>
      <w:r>
        <w:rPr>
          <w:rFonts w:ascii="Times New Roman" w:hAnsi="Times New Roman" w:cs="Times New Roman"/>
          <w:lang w:val="en-US"/>
        </w:rPr>
        <w:drawing>
          <wp:inline distT="0" distB="0" distL="0" distR="0">
            <wp:extent cx="3317875" cy="2087245"/>
            <wp:effectExtent l="0" t="0" r="0" b="0"/>
            <wp:docPr id="113836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368954" name="Picture 1"/>
                    <pic:cNvPicPr>
                      <a:picLocks noChangeAspect="1"/>
                    </pic:cNvPicPr>
                  </pic:nvPicPr>
                  <pic:blipFill>
                    <a:blip r:embed="rId6"/>
                    <a:stretch>
                      <a:fillRect/>
                    </a:stretch>
                  </pic:blipFill>
                  <pic:spPr>
                    <a:xfrm>
                      <a:off x="0" y="0"/>
                      <a:ext cx="3369786" cy="2119797"/>
                    </a:xfrm>
                    <a:prstGeom prst="rect">
                      <a:avLst/>
                    </a:prstGeom>
                  </pic:spPr>
                </pic:pic>
              </a:graphicData>
            </a:graphic>
          </wp:inline>
        </w:drawing>
      </w:r>
    </w:p>
    <w:p w14:paraId="2EDC15BE">
      <w:pPr>
        <w:rPr>
          <w:rFonts w:ascii="Times New Roman" w:hAnsi="Times New Roman" w:cs="Times New Roman"/>
          <w:lang w:val="en-US"/>
        </w:rPr>
      </w:pP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44"/>
        <w:gridCol w:w="3104"/>
        <w:gridCol w:w="5628"/>
      </w:tblGrid>
      <w:tr w14:paraId="76A3E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44" w:type="dxa"/>
            <w:vAlign w:val="center"/>
          </w:tcPr>
          <w:p w14:paraId="7071B8B9">
            <w:pPr>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eastAsia="宋体" w:cs="Times New Roman"/>
                <w:b/>
                <w:bCs/>
                <w:kern w:val="0"/>
                <w:sz w:val="24"/>
                <w:szCs w:val="24"/>
                <w:lang w:val="en-US" w:eastAsia="zh-CN" w:bidi="ar"/>
                <w14:ligatures w14:val="standardContextual"/>
              </w:rPr>
              <w:t>#</w:t>
            </w:r>
          </w:p>
        </w:tc>
        <w:tc>
          <w:tcPr>
            <w:tcW w:w="3104" w:type="dxa"/>
            <w:vAlign w:val="center"/>
          </w:tcPr>
          <w:p w14:paraId="34D70973">
            <w:pPr>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eastAsia="宋体" w:cs="Times New Roman"/>
                <w:b/>
                <w:bCs/>
                <w:kern w:val="0"/>
                <w:sz w:val="24"/>
                <w:szCs w:val="24"/>
                <w:lang w:val="en-US" w:eastAsia="zh-CN" w:bidi="ar"/>
                <w14:ligatures w14:val="standardContextual"/>
              </w:rPr>
              <w:t>Student Action</w:t>
            </w:r>
          </w:p>
        </w:tc>
        <w:tc>
          <w:tcPr>
            <w:tcW w:w="5628" w:type="dxa"/>
            <w:vAlign w:val="center"/>
          </w:tcPr>
          <w:p w14:paraId="2450E9E5">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宋体" w:cs="Times New Roman"/>
                <w:b/>
                <w:bCs/>
                <w:kern w:val="0"/>
                <w:sz w:val="24"/>
                <w:szCs w:val="24"/>
                <w:lang w:val="en-US" w:eastAsia="zh-CN" w:bidi="ar"/>
                <w14:ligatures w14:val="standardContextual"/>
              </w:rPr>
              <w:t>Output</w:t>
            </w:r>
          </w:p>
        </w:tc>
      </w:tr>
      <w:tr w14:paraId="176665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44" w:type="dxa"/>
            <w:vAlign w:val="center"/>
          </w:tcPr>
          <w:p w14:paraId="2B49E50A">
            <w:pPr>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eastAsia="宋体" w:cs="Times New Roman"/>
                <w:kern w:val="0"/>
                <w:sz w:val="24"/>
                <w:szCs w:val="24"/>
                <w:lang w:val="en-US" w:eastAsia="zh-CN" w:bidi="ar"/>
                <w14:ligatures w14:val="standardContextual"/>
              </w:rPr>
              <w:t>1</w:t>
            </w:r>
          </w:p>
        </w:tc>
        <w:tc>
          <w:tcPr>
            <w:tcW w:w="3104" w:type="dxa"/>
            <w:vAlign w:val="center"/>
          </w:tcPr>
          <w:p w14:paraId="29111D74">
            <w:pPr>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eastAsia="宋体" w:cs="Times New Roman"/>
                <w:kern w:val="0"/>
                <w:sz w:val="24"/>
                <w:szCs w:val="24"/>
                <w:lang w:val="en-US" w:eastAsia="zh-CN" w:bidi="ar"/>
                <w14:ligatures w14:val="standardContextual"/>
              </w:rPr>
              <w:t>Write a broad topic</w:t>
            </w:r>
          </w:p>
        </w:tc>
        <w:tc>
          <w:tcPr>
            <w:tcW w:w="5628" w:type="dxa"/>
            <w:vAlign w:val="center"/>
          </w:tcPr>
          <w:p w14:paraId="12B44654">
            <w:pPr>
              <w:keepNext w:val="0"/>
              <w:keepLines w:val="0"/>
              <w:widowControl/>
              <w:suppressLineNumbers w:val="0"/>
              <w:jc w:val="left"/>
              <w:rPr>
                <w:rFonts w:hint="default" w:ascii="Times New Roman" w:hAnsi="Times New Roman" w:cs="Times New Roman"/>
                <w:sz w:val="24"/>
                <w:szCs w:val="24"/>
                <w:vertAlign w:val="baseline"/>
                <w:lang w:val="en-US"/>
              </w:rPr>
            </w:pPr>
            <w:r>
              <w:rPr>
                <w:rStyle w:val="17"/>
                <w:rFonts w:hint="default" w:ascii="Times New Roman" w:hAnsi="Times New Roman" w:eastAsia="宋体" w:cs="Times New Roman"/>
                <w:kern w:val="0"/>
                <w:sz w:val="24"/>
                <w:szCs w:val="24"/>
                <w:lang w:val="en-US" w:eastAsia="zh-CN" w:bidi="ar"/>
                <w14:ligatures w14:val="standardContextual"/>
              </w:rPr>
              <w:t>Muscle regeneration and aging</w:t>
            </w:r>
          </w:p>
        </w:tc>
      </w:tr>
      <w:tr w14:paraId="74B999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44" w:type="dxa"/>
            <w:vAlign w:val="center"/>
          </w:tcPr>
          <w:p w14:paraId="32D4687D">
            <w:pPr>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eastAsia="宋体" w:cs="Times New Roman"/>
                <w:kern w:val="0"/>
                <w:sz w:val="24"/>
                <w:szCs w:val="24"/>
                <w:lang w:val="en-US" w:eastAsia="zh-CN" w:bidi="ar"/>
                <w14:ligatures w14:val="standardContextual"/>
              </w:rPr>
              <w:t>2</w:t>
            </w:r>
          </w:p>
        </w:tc>
        <w:tc>
          <w:tcPr>
            <w:tcW w:w="3104" w:type="dxa"/>
            <w:vAlign w:val="center"/>
          </w:tcPr>
          <w:p w14:paraId="1926815D">
            <w:pPr>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eastAsia="宋体" w:cs="Times New Roman"/>
                <w:kern w:val="0"/>
                <w:sz w:val="24"/>
                <w:szCs w:val="24"/>
                <w:lang w:val="en-US" w:eastAsia="zh-CN" w:bidi="ar"/>
                <w14:ligatures w14:val="standardContextual"/>
              </w:rPr>
              <w:t>Narrow to a phenomenon</w:t>
            </w:r>
          </w:p>
        </w:tc>
        <w:tc>
          <w:tcPr>
            <w:tcW w:w="5628" w:type="dxa"/>
            <w:vAlign w:val="center"/>
          </w:tcPr>
          <w:p w14:paraId="155B1E48">
            <w:pPr>
              <w:keepNext w:val="0"/>
              <w:keepLines w:val="0"/>
              <w:widowControl/>
              <w:suppressLineNumbers w:val="0"/>
              <w:jc w:val="left"/>
              <w:rPr>
                <w:rFonts w:hint="default" w:ascii="Times New Roman" w:hAnsi="Times New Roman" w:cs="Times New Roman"/>
                <w:sz w:val="24"/>
                <w:szCs w:val="24"/>
                <w:vertAlign w:val="baseline"/>
                <w:lang w:val="en-US"/>
              </w:rPr>
            </w:pPr>
            <w:r>
              <w:rPr>
                <w:rStyle w:val="17"/>
                <w:rFonts w:hint="default" w:ascii="Times New Roman" w:hAnsi="Times New Roman" w:eastAsia="宋体" w:cs="Times New Roman"/>
                <w:kern w:val="0"/>
                <w:sz w:val="24"/>
                <w:szCs w:val="24"/>
                <w:lang w:val="en-US" w:eastAsia="zh-CN" w:bidi="ar"/>
                <w14:ligatures w14:val="standardContextual"/>
              </w:rPr>
              <w:t>Skeletal</w:t>
            </w:r>
            <w:r>
              <w:rPr>
                <w:rStyle w:val="17"/>
                <w:rFonts w:hint="default" w:ascii="Times New Roman" w:hAnsi="Times New Roman" w:eastAsia="宋体" w:cs="Times New Roman"/>
                <w:kern w:val="0"/>
                <w:sz w:val="24"/>
                <w:szCs w:val="24"/>
                <w:lang w:val="en-US" w:eastAsia="zh-CN" w:bidi="ar"/>
                <w14:ligatures w14:val="standardContextual"/>
              </w:rPr>
              <w:noBreakHyphen/>
            </w:r>
            <w:r>
              <w:rPr>
                <w:rStyle w:val="17"/>
                <w:rFonts w:hint="default" w:ascii="Times New Roman" w:hAnsi="Times New Roman" w:eastAsia="宋体" w:cs="Times New Roman"/>
                <w:kern w:val="0"/>
                <w:sz w:val="24"/>
                <w:szCs w:val="24"/>
                <w:lang w:val="en-US" w:eastAsia="zh-CN" w:bidi="ar"/>
                <w14:ligatures w14:val="standardContextual"/>
              </w:rPr>
              <w:t>muscle satellite cell function declines with aging, leading to impaired muscle regeneration after muscle injury.</w:t>
            </w:r>
          </w:p>
        </w:tc>
      </w:tr>
      <w:tr w14:paraId="0EF5C4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44" w:type="dxa"/>
            <w:vAlign w:val="center"/>
          </w:tcPr>
          <w:p w14:paraId="22728D64">
            <w:pPr>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eastAsia="宋体" w:cs="Times New Roman"/>
                <w:kern w:val="0"/>
                <w:sz w:val="24"/>
                <w:szCs w:val="24"/>
                <w:lang w:val="en-US" w:eastAsia="zh-CN" w:bidi="ar"/>
                <w14:ligatures w14:val="standardContextual"/>
              </w:rPr>
              <w:t>3</w:t>
            </w:r>
          </w:p>
        </w:tc>
        <w:tc>
          <w:tcPr>
            <w:tcW w:w="3104" w:type="dxa"/>
            <w:vAlign w:val="center"/>
          </w:tcPr>
          <w:p w14:paraId="523401AF">
            <w:pPr>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eastAsia="宋体" w:cs="Times New Roman"/>
                <w:kern w:val="0"/>
                <w:sz w:val="24"/>
                <w:szCs w:val="24"/>
                <w:lang w:val="en-US" w:eastAsia="zh-CN" w:bidi="ar"/>
                <w14:ligatures w14:val="standardContextual"/>
              </w:rPr>
              <w:t>State a testable hypothesis</w:t>
            </w:r>
          </w:p>
        </w:tc>
        <w:tc>
          <w:tcPr>
            <w:tcW w:w="5628" w:type="dxa"/>
            <w:vAlign w:val="center"/>
          </w:tcPr>
          <w:p w14:paraId="70DAD2DE">
            <w:pPr>
              <w:keepNext w:val="0"/>
              <w:keepLines w:val="0"/>
              <w:widowControl/>
              <w:suppressLineNumbers w:val="0"/>
              <w:jc w:val="left"/>
              <w:rPr>
                <w:rFonts w:hint="default" w:ascii="Times New Roman" w:hAnsi="Times New Roman" w:cs="Times New Roman"/>
                <w:sz w:val="24"/>
                <w:szCs w:val="24"/>
                <w:vertAlign w:val="baseline"/>
                <w:lang w:val="en-US"/>
              </w:rPr>
            </w:pPr>
            <w:r>
              <w:rPr>
                <w:rStyle w:val="17"/>
                <w:rFonts w:hint="default" w:ascii="Times New Roman" w:hAnsi="Times New Roman" w:eastAsia="宋体" w:cs="Times New Roman"/>
                <w:kern w:val="0"/>
                <w:sz w:val="24"/>
                <w:szCs w:val="24"/>
                <w:lang w:val="en-US" w:eastAsia="zh-CN" w:bidi="ar"/>
                <w14:ligatures w14:val="standardContextual"/>
              </w:rPr>
              <w:t>Upregulation of senescence</w:t>
            </w:r>
            <w:r>
              <w:rPr>
                <w:rStyle w:val="17"/>
                <w:rFonts w:hint="default" w:ascii="Times New Roman" w:hAnsi="Times New Roman" w:eastAsia="宋体" w:cs="Times New Roman"/>
                <w:kern w:val="0"/>
                <w:sz w:val="24"/>
                <w:szCs w:val="24"/>
                <w:lang w:val="en-US" w:eastAsia="zh-CN" w:bidi="ar"/>
                <w14:ligatures w14:val="standardContextual"/>
              </w:rPr>
              <w:noBreakHyphen/>
            </w:r>
            <w:r>
              <w:rPr>
                <w:rStyle w:val="17"/>
                <w:rFonts w:hint="default" w:ascii="Times New Roman" w:hAnsi="Times New Roman" w:eastAsia="宋体" w:cs="Times New Roman"/>
                <w:kern w:val="0"/>
                <w:sz w:val="24"/>
                <w:szCs w:val="24"/>
                <w:lang w:val="en-US" w:eastAsia="zh-CN" w:bidi="ar"/>
                <w14:ligatures w14:val="standardContextual"/>
              </w:rPr>
              <w:t>associated transcriptional programs in aged satellite cells is negatively associated with skeletal muscle regenerative capacity after injury, after adjusting for injury severity.</w:t>
            </w:r>
          </w:p>
        </w:tc>
      </w:tr>
      <w:tr w14:paraId="3DB9F0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44" w:type="dxa"/>
            <w:vAlign w:val="center"/>
          </w:tcPr>
          <w:p w14:paraId="1559053F">
            <w:pPr>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eastAsia="宋体" w:cs="Times New Roman"/>
                <w:kern w:val="0"/>
                <w:sz w:val="24"/>
                <w:szCs w:val="24"/>
                <w:lang w:val="en-US" w:eastAsia="zh-CN" w:bidi="ar"/>
                <w14:ligatures w14:val="standardContextual"/>
              </w:rPr>
              <w:t>4</w:t>
            </w:r>
          </w:p>
        </w:tc>
        <w:tc>
          <w:tcPr>
            <w:tcW w:w="3104" w:type="dxa"/>
            <w:vAlign w:val="center"/>
          </w:tcPr>
          <w:p w14:paraId="60D79F95">
            <w:pPr>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eastAsia="宋体" w:cs="Times New Roman"/>
                <w:kern w:val="0"/>
                <w:sz w:val="24"/>
                <w:szCs w:val="24"/>
                <w:lang w:val="en-US" w:eastAsia="zh-CN" w:bidi="ar"/>
                <w14:ligatures w14:val="standardContextual"/>
              </w:rPr>
              <w:t>Apply PECO</w:t>
            </w:r>
          </w:p>
        </w:tc>
        <w:tc>
          <w:tcPr>
            <w:tcW w:w="5628" w:type="dxa"/>
            <w:vAlign w:val="center"/>
          </w:tcPr>
          <w:p w14:paraId="651E00FF">
            <w:pPr>
              <w:keepNext w:val="0"/>
              <w:keepLines w:val="0"/>
              <w:widowControl/>
              <w:suppressLineNumbers w:val="0"/>
              <w:jc w:val="left"/>
              <w:rPr>
                <w:rFonts w:hint="default" w:ascii="Times New Roman" w:hAnsi="Times New Roman" w:cs="Times New Roman"/>
                <w:sz w:val="24"/>
                <w:szCs w:val="24"/>
                <w:vertAlign w:val="baseline"/>
                <w:lang w:val="en-US"/>
              </w:rPr>
            </w:pPr>
            <w:r>
              <w:rPr>
                <w:rStyle w:val="17"/>
                <w:rFonts w:hint="default" w:ascii="Times New Roman" w:hAnsi="Times New Roman" w:eastAsia="宋体" w:cs="Times New Roman"/>
                <w:kern w:val="0"/>
                <w:sz w:val="24"/>
                <w:szCs w:val="24"/>
                <w:lang w:val="en-US" w:eastAsia="zh-CN" w:bidi="ar"/>
                <w14:ligatures w14:val="standardContextual"/>
              </w:rPr>
              <w:t>P</w:t>
            </w:r>
            <w:r>
              <w:rPr>
                <w:rFonts w:hint="default" w:ascii="Times New Roman" w:hAnsi="Times New Roman" w:eastAsia="宋体" w:cs="Times New Roman"/>
                <w:kern w:val="0"/>
                <w:sz w:val="24"/>
                <w:szCs w:val="24"/>
                <w:lang w:val="en-US" w:eastAsia="zh-CN" w:bidi="ar"/>
                <w14:ligatures w14:val="standardContextual"/>
              </w:rPr>
              <w:t>: Satellite cells isolated from young and aged mouse skeletal muscle after experimental muscle injury.</w:t>
            </w:r>
            <w:r>
              <w:rPr>
                <w:rStyle w:val="17"/>
                <w:rFonts w:hint="default" w:ascii="Times New Roman" w:hAnsi="Times New Roman" w:eastAsia="宋体" w:cs="Times New Roman"/>
                <w:kern w:val="0"/>
                <w:sz w:val="24"/>
                <w:szCs w:val="24"/>
                <w:lang w:val="en-US" w:eastAsia="zh-CN" w:bidi="ar"/>
                <w14:ligatures w14:val="standardContextual"/>
              </w:rPr>
              <w:t>E</w:t>
            </w:r>
            <w:r>
              <w:rPr>
                <w:rFonts w:hint="default" w:ascii="Times New Roman" w:hAnsi="Times New Roman" w:eastAsia="宋体" w:cs="Times New Roman"/>
                <w:kern w:val="0"/>
                <w:sz w:val="24"/>
                <w:szCs w:val="24"/>
                <w:lang w:val="en-US" w:eastAsia="zh-CN" w:bidi="ar"/>
                <w14:ligatures w14:val="standardContextual"/>
              </w:rPr>
              <w:t>: Expression level of senescence</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associated transcriptional programs in muscle satellite cells (measured by single</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cell transcriptomics).</w:t>
            </w:r>
            <w:r>
              <w:rPr>
                <w:rStyle w:val="17"/>
                <w:rFonts w:hint="default" w:ascii="Times New Roman" w:hAnsi="Times New Roman" w:eastAsia="宋体" w:cs="Times New Roman"/>
                <w:kern w:val="0"/>
                <w:sz w:val="24"/>
                <w:szCs w:val="24"/>
                <w:lang w:val="en-US" w:eastAsia="zh-CN" w:bidi="ar"/>
                <w14:ligatures w14:val="standardContextual"/>
              </w:rPr>
              <w:t>C</w:t>
            </w:r>
            <w:r>
              <w:rPr>
                <w:rFonts w:hint="default" w:ascii="Times New Roman" w:hAnsi="Times New Roman" w:eastAsia="宋体" w:cs="Times New Roman"/>
                <w:kern w:val="0"/>
                <w:sz w:val="24"/>
                <w:szCs w:val="24"/>
                <w:lang w:val="en-US" w:eastAsia="zh-CN" w:bidi="ar"/>
                <w14:ligatures w14:val="standardContextual"/>
              </w:rPr>
              <w:t>: Satellite</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cell populations with high senescence</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associated program expression versus populations with low senescence</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associated program expression; young mice versus aged mice.</w:t>
            </w:r>
            <w:r>
              <w:rPr>
                <w:rStyle w:val="17"/>
                <w:rFonts w:hint="default" w:ascii="Times New Roman" w:hAnsi="Times New Roman" w:eastAsia="宋体" w:cs="Times New Roman"/>
                <w:kern w:val="0"/>
                <w:sz w:val="24"/>
                <w:szCs w:val="24"/>
                <w:lang w:val="en-US" w:eastAsia="zh-CN" w:bidi="ar"/>
                <w14:ligatures w14:val="standardContextual"/>
              </w:rPr>
              <w:t>O</w:t>
            </w:r>
            <w:r>
              <w:rPr>
                <w:rFonts w:hint="default" w:ascii="Times New Roman" w:hAnsi="Times New Roman" w:eastAsia="宋体" w:cs="Times New Roman"/>
                <w:kern w:val="0"/>
                <w:sz w:val="24"/>
                <w:szCs w:val="24"/>
                <w:lang w:val="en-US" w:eastAsia="zh-CN" w:bidi="ar"/>
                <w14:ligatures w14:val="standardContextual"/>
              </w:rPr>
              <w:t>: Skeletal muscle regenerative capacity, including regenerative myofiber formation and expression of muscle</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repair</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related genes.</w:t>
            </w:r>
            <w:r>
              <w:rPr>
                <w:rStyle w:val="18"/>
                <w:rFonts w:hint="default" w:ascii="Times New Roman" w:hAnsi="Times New Roman" w:eastAsia="宋体" w:cs="Times New Roman"/>
                <w:kern w:val="0"/>
                <w:sz w:val="24"/>
                <w:szCs w:val="24"/>
                <w:lang w:val="en-US" w:eastAsia="zh-CN" w:bidi="ar"/>
                <w14:ligatures w14:val="standardContextual"/>
              </w:rPr>
              <w:t>Covariate: sampling time</w:t>
            </w:r>
            <w:r>
              <w:rPr>
                <w:rStyle w:val="18"/>
                <w:rFonts w:hint="default" w:ascii="Times New Roman" w:hAnsi="Times New Roman" w:eastAsia="宋体" w:cs="Times New Roman"/>
                <w:kern w:val="0"/>
                <w:sz w:val="24"/>
                <w:szCs w:val="24"/>
                <w:lang w:val="en-US" w:eastAsia="zh-CN" w:bidi="ar"/>
                <w14:ligatures w14:val="standardContextual"/>
              </w:rPr>
              <w:noBreakHyphen/>
            </w:r>
            <w:r>
              <w:rPr>
                <w:rStyle w:val="18"/>
                <w:rFonts w:hint="default" w:ascii="Times New Roman" w:hAnsi="Times New Roman" w:eastAsia="宋体" w:cs="Times New Roman"/>
                <w:kern w:val="0"/>
                <w:sz w:val="24"/>
                <w:szCs w:val="24"/>
                <w:lang w:val="en-US" w:eastAsia="zh-CN" w:bidi="ar"/>
                <w14:ligatures w14:val="standardContextual"/>
              </w:rPr>
              <w:t>point post</w:t>
            </w:r>
            <w:r>
              <w:rPr>
                <w:rStyle w:val="18"/>
                <w:rFonts w:hint="default" w:ascii="Times New Roman" w:hAnsi="Times New Roman" w:eastAsia="宋体" w:cs="Times New Roman"/>
                <w:kern w:val="0"/>
                <w:sz w:val="24"/>
                <w:szCs w:val="24"/>
                <w:lang w:val="en-US" w:eastAsia="zh-CN" w:bidi="ar"/>
                <w14:ligatures w14:val="standardContextual"/>
              </w:rPr>
              <w:noBreakHyphen/>
            </w:r>
            <w:r>
              <w:rPr>
                <w:rStyle w:val="18"/>
                <w:rFonts w:hint="default" w:ascii="Times New Roman" w:hAnsi="Times New Roman" w:eastAsia="宋体" w:cs="Times New Roman"/>
                <w:kern w:val="0"/>
                <w:sz w:val="24"/>
                <w:szCs w:val="24"/>
                <w:lang w:val="en-US" w:eastAsia="zh-CN" w:bidi="ar"/>
                <w14:ligatures w14:val="standardContextual"/>
              </w:rPr>
              <w:t>muscle injury</w:t>
            </w:r>
          </w:p>
        </w:tc>
      </w:tr>
      <w:tr w14:paraId="3DC751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44" w:type="dxa"/>
            <w:vAlign w:val="center"/>
          </w:tcPr>
          <w:p w14:paraId="43AC6634">
            <w:pPr>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eastAsia="宋体" w:cs="Times New Roman"/>
                <w:kern w:val="0"/>
                <w:sz w:val="24"/>
                <w:szCs w:val="24"/>
                <w:lang w:val="en-US" w:eastAsia="zh-CN" w:bidi="ar"/>
                <w14:ligatures w14:val="standardContextual"/>
              </w:rPr>
              <w:t>5</w:t>
            </w:r>
          </w:p>
        </w:tc>
        <w:tc>
          <w:tcPr>
            <w:tcW w:w="3104" w:type="dxa"/>
            <w:vAlign w:val="center"/>
          </w:tcPr>
          <w:p w14:paraId="5438A125">
            <w:pPr>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eastAsia="宋体" w:cs="Times New Roman"/>
                <w:kern w:val="0"/>
                <w:sz w:val="24"/>
                <w:szCs w:val="24"/>
                <w:lang w:val="en-US" w:eastAsia="zh-CN" w:bidi="ar"/>
                <w14:ligatures w14:val="standardContextual"/>
              </w:rPr>
              <w:t>Identify a dataset or data type</w:t>
            </w:r>
          </w:p>
        </w:tc>
        <w:tc>
          <w:tcPr>
            <w:tcW w:w="5628" w:type="dxa"/>
            <w:vAlign w:val="center"/>
          </w:tcPr>
          <w:p w14:paraId="017B3EF2">
            <w:pPr>
              <w:keepNext w:val="0"/>
              <w:keepLines w:val="0"/>
              <w:widowControl/>
              <w:suppressLineNumbers w:val="0"/>
              <w:jc w:val="left"/>
              <w:rPr>
                <w:rFonts w:hint="default" w:ascii="Times New Roman" w:hAnsi="Times New Roman" w:cs="Times New Roman"/>
                <w:sz w:val="24"/>
                <w:szCs w:val="24"/>
                <w:vertAlign w:val="baseline"/>
                <w:lang w:val="en-US"/>
              </w:rPr>
            </w:pPr>
            <w:r>
              <w:rPr>
                <w:rFonts w:hint="default" w:ascii="Times New Roman" w:hAnsi="Times New Roman" w:eastAsia="宋体" w:cs="Times New Roman"/>
                <w:kern w:val="0"/>
                <w:sz w:val="24"/>
                <w:szCs w:val="24"/>
                <w:lang w:val="en-US" w:eastAsia="zh-CN" w:bidi="ar"/>
                <w14:ligatures w14:val="standardContextual"/>
              </w:rPr>
              <w:t>Dataset source: GEO (Gene Expression Omnibus); Data type: single</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cell RNA</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seq (scRNA</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seq) data of muscle satellite cells from young and aged mice with experimental muscle injury; metadata includes mouse age and post</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injury sampling time point.</w:t>
            </w:r>
          </w:p>
        </w:tc>
      </w:tr>
      <w:tr w14:paraId="3C112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844" w:type="dxa"/>
            <w:vAlign w:val="center"/>
          </w:tcPr>
          <w:p w14:paraId="79CE59E1">
            <w:pPr>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eastAsia="宋体" w:cs="Times New Roman"/>
                <w:kern w:val="0"/>
                <w:sz w:val="24"/>
                <w:szCs w:val="24"/>
                <w:lang w:val="en-US" w:eastAsia="zh-CN" w:bidi="ar"/>
                <w14:ligatures w14:val="standardContextual"/>
              </w:rPr>
              <w:t>6</w:t>
            </w:r>
          </w:p>
        </w:tc>
        <w:tc>
          <w:tcPr>
            <w:tcW w:w="3104" w:type="dxa"/>
            <w:vAlign w:val="center"/>
          </w:tcPr>
          <w:p w14:paraId="0957034C">
            <w:pPr>
              <w:keepNext w:val="0"/>
              <w:keepLines w:val="0"/>
              <w:widowControl/>
              <w:suppressLineNumbers w:val="0"/>
              <w:jc w:val="center"/>
              <w:rPr>
                <w:rFonts w:hint="default" w:ascii="Times New Roman" w:hAnsi="Times New Roman" w:cs="Times New Roman"/>
                <w:sz w:val="24"/>
                <w:szCs w:val="24"/>
                <w:vertAlign w:val="baseline"/>
                <w:lang w:val="en-US"/>
              </w:rPr>
            </w:pPr>
            <w:r>
              <w:rPr>
                <w:rFonts w:hint="default" w:ascii="Times New Roman" w:hAnsi="Times New Roman" w:eastAsia="宋体" w:cs="Times New Roman"/>
                <w:kern w:val="0"/>
                <w:sz w:val="24"/>
                <w:szCs w:val="24"/>
                <w:lang w:val="en-US" w:eastAsia="zh-CN" w:bidi="ar"/>
                <w14:ligatures w14:val="standardContextual"/>
              </w:rPr>
              <w:t>Draft a minimal analysis plan</w:t>
            </w:r>
          </w:p>
        </w:tc>
        <w:tc>
          <w:tcPr>
            <w:tcW w:w="5628" w:type="dxa"/>
            <w:vAlign w:val="center"/>
          </w:tcPr>
          <w:p w14:paraId="01349363">
            <w:pPr>
              <w:keepNext w:val="0"/>
              <w:keepLines w:val="0"/>
              <w:widowControl/>
              <w:suppressLineNumbers w:val="0"/>
              <w:jc w:val="left"/>
              <w:rPr>
                <w:rFonts w:hint="default" w:ascii="Times New Roman" w:hAnsi="Times New Roman" w:cs="Times New Roman"/>
                <w:sz w:val="24"/>
                <w:szCs w:val="24"/>
                <w:vertAlign w:val="baseline"/>
                <w:lang w:val="en-US"/>
              </w:rPr>
            </w:pPr>
            <w:r>
              <w:rPr>
                <w:rStyle w:val="17"/>
                <w:rFonts w:hint="default" w:ascii="Times New Roman" w:hAnsi="Times New Roman" w:eastAsia="宋体" w:cs="Times New Roman"/>
                <w:kern w:val="0"/>
                <w:sz w:val="24"/>
                <w:szCs w:val="24"/>
                <w:lang w:val="en-US" w:eastAsia="zh-CN" w:bidi="ar"/>
                <w14:ligatures w14:val="standardContextual"/>
              </w:rPr>
              <w:t>Data</w:t>
            </w:r>
            <w:r>
              <w:rPr>
                <w:rFonts w:hint="default" w:ascii="Times New Roman" w:hAnsi="Times New Roman" w:eastAsia="宋体" w:cs="Times New Roman"/>
                <w:kern w:val="0"/>
                <w:sz w:val="24"/>
                <w:szCs w:val="24"/>
                <w:lang w:val="en-US" w:eastAsia="zh-CN" w:bidi="ar"/>
                <w14:ligatures w14:val="standardContextual"/>
              </w:rPr>
              <w:t>: Download scRNA</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seq dataset from GEO; filter out low</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quality cells; retain annotated satellite</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cell populations from young and injured aged mice. Use injury</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sampling time as major covariate.</w:t>
            </w:r>
            <w:r>
              <w:rPr>
                <w:rStyle w:val="17"/>
                <w:rFonts w:hint="default" w:ascii="Times New Roman" w:hAnsi="Times New Roman" w:eastAsia="宋体" w:cs="Times New Roman"/>
                <w:kern w:val="0"/>
                <w:sz w:val="24"/>
                <w:szCs w:val="24"/>
                <w:lang w:val="en-US" w:eastAsia="zh-CN" w:bidi="ar"/>
                <w14:ligatures w14:val="standardContextual"/>
              </w:rPr>
              <w:t>Method</w:t>
            </w:r>
            <w:r>
              <w:rPr>
                <w:rFonts w:hint="default" w:ascii="Times New Roman" w:hAnsi="Times New Roman" w:eastAsia="宋体" w:cs="Times New Roman"/>
                <w:kern w:val="0"/>
                <w:sz w:val="24"/>
                <w:szCs w:val="24"/>
                <w:lang w:val="en-US" w:eastAsia="zh-CN" w:bidi="ar"/>
                <w14:ligatures w14:val="standardContextual"/>
              </w:rPr>
              <w:t>: Perform scRNA</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seq standard pre</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processing, cell</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type annotation for satellite cells. Calculate module score for senescence</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associated transcriptional programs and muscle</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regeneration gene programs. Test correlation between senescence module score and regeneration module score, adjusting for post</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injury sampling time. Apply Benjamini</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Hochberg FDR correction for multiple testing.</w:t>
            </w:r>
            <w:r>
              <w:rPr>
                <w:rStyle w:val="17"/>
                <w:rFonts w:hint="default" w:ascii="Times New Roman" w:hAnsi="Times New Roman" w:eastAsia="宋体" w:cs="Times New Roman"/>
                <w:kern w:val="0"/>
                <w:sz w:val="24"/>
                <w:szCs w:val="24"/>
                <w:lang w:val="en-US" w:eastAsia="zh-CN" w:bidi="ar"/>
                <w14:ligatures w14:val="standardContextual"/>
              </w:rPr>
              <w:t>Output</w:t>
            </w:r>
            <w:r>
              <w:rPr>
                <w:rFonts w:hint="default" w:ascii="Times New Roman" w:hAnsi="Times New Roman" w:eastAsia="宋体" w:cs="Times New Roman"/>
                <w:kern w:val="0"/>
                <w:sz w:val="24"/>
                <w:szCs w:val="24"/>
                <w:lang w:val="en-US" w:eastAsia="zh-CN" w:bidi="ar"/>
                <w14:ligatures w14:val="standardContextual"/>
              </w:rPr>
              <w:t>: UMAP visualization of satellite</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cell populations; violin plots showing senescence</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program module score distribution; scatter plot of senescence</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module score against regeneration</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module score; summary table with adjusted statistical p</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values.</w:t>
            </w:r>
            <w:r>
              <w:rPr>
                <w:rStyle w:val="17"/>
                <w:rFonts w:hint="default" w:ascii="Times New Roman" w:hAnsi="Times New Roman" w:eastAsia="宋体" w:cs="Times New Roman"/>
                <w:kern w:val="0"/>
                <w:sz w:val="24"/>
                <w:szCs w:val="24"/>
                <w:lang w:val="en-US" w:eastAsia="zh-CN" w:bidi="ar"/>
                <w14:ligatures w14:val="standardContextual"/>
              </w:rPr>
              <w:t>Validation</w:t>
            </w:r>
            <w:r>
              <w:rPr>
                <w:rFonts w:hint="default" w:ascii="Times New Roman" w:hAnsi="Times New Roman" w:eastAsia="宋体" w:cs="Times New Roman"/>
                <w:kern w:val="0"/>
                <w:sz w:val="24"/>
                <w:szCs w:val="24"/>
                <w:lang w:val="en-US" w:eastAsia="zh-CN" w:bidi="ar"/>
                <w14:ligatures w14:val="standardContextual"/>
              </w:rPr>
              <w:t>: Repeat correlation analysis on an independent mouse muscle satellite</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cell scRNA</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seq dataset from GEO; triangulate findings against published peer</w:t>
            </w:r>
            <w:r>
              <w:rPr>
                <w:rFonts w:hint="default" w:ascii="Times New Roman" w:hAnsi="Times New Roman" w:eastAsia="宋体" w:cs="Times New Roman"/>
                <w:kern w:val="0"/>
                <w:sz w:val="24"/>
                <w:szCs w:val="24"/>
                <w:lang w:val="en-US" w:eastAsia="zh-CN" w:bidi="ar"/>
                <w14:ligatures w14:val="standardContextual"/>
              </w:rPr>
              <w:noBreakHyphen/>
            </w:r>
            <w:r>
              <w:rPr>
                <w:rFonts w:hint="default" w:ascii="Times New Roman" w:hAnsi="Times New Roman" w:eastAsia="宋体" w:cs="Times New Roman"/>
                <w:kern w:val="0"/>
                <w:sz w:val="24"/>
                <w:szCs w:val="24"/>
                <w:lang w:val="en-US" w:eastAsia="zh-CN" w:bidi="ar"/>
                <w14:ligatures w14:val="standardContextual"/>
              </w:rPr>
              <w:t>reviewed literature.</w:t>
            </w:r>
            <w:r>
              <w:rPr>
                <w:rStyle w:val="18"/>
                <w:rFonts w:hint="default" w:ascii="Times New Roman" w:hAnsi="Times New Roman" w:eastAsia="宋体" w:cs="Times New Roman"/>
                <w:kern w:val="0"/>
                <w:sz w:val="24"/>
                <w:szCs w:val="24"/>
                <w:lang w:val="en-US" w:eastAsia="zh-CN" w:bidi="ar"/>
                <w14:ligatures w14:val="standardContextual"/>
              </w:rPr>
              <w:t>Interpretation boundary: This analysis can only identify correlational relationships. Causal conclusion requires further perturbation experiments such as senescent</w:t>
            </w:r>
            <w:r>
              <w:rPr>
                <w:rStyle w:val="18"/>
                <w:rFonts w:hint="default" w:ascii="Times New Roman" w:hAnsi="Times New Roman" w:eastAsia="宋体" w:cs="Times New Roman"/>
                <w:kern w:val="0"/>
                <w:sz w:val="24"/>
                <w:szCs w:val="24"/>
                <w:lang w:val="en-US" w:eastAsia="zh-CN" w:bidi="ar"/>
                <w14:ligatures w14:val="standardContextual"/>
              </w:rPr>
              <w:noBreakHyphen/>
            </w:r>
            <w:r>
              <w:rPr>
                <w:rStyle w:val="18"/>
                <w:rFonts w:hint="default" w:ascii="Times New Roman" w:hAnsi="Times New Roman" w:eastAsia="宋体" w:cs="Times New Roman"/>
                <w:kern w:val="0"/>
                <w:sz w:val="24"/>
                <w:szCs w:val="24"/>
                <w:lang w:val="en-US" w:eastAsia="zh-CN" w:bidi="ar"/>
                <w14:ligatures w14:val="standardContextual"/>
              </w:rPr>
              <w:t>cell clearance.</w:t>
            </w:r>
          </w:p>
        </w:tc>
      </w:tr>
    </w:tbl>
    <w:p w14:paraId="6B428F66">
      <w:pPr>
        <w:rPr>
          <w:rFonts w:hint="default" w:ascii="Times New Roman" w:hAnsi="Times New Roman" w:cs="Times New Roman"/>
          <w:sz w:val="24"/>
          <w:szCs w:val="24"/>
          <w:lang w:val="en-US"/>
        </w:rPr>
      </w:pPr>
    </w:p>
    <w:p w14:paraId="30BA26EB">
      <w:pPr>
        <w:rPr>
          <w:rFonts w:ascii="Times New Roman" w:hAnsi="Times New Roman" w:cs="Times New Roman"/>
          <w:lang w:val="en-US"/>
        </w:rPr>
      </w:pPr>
    </w:p>
    <w:p w14:paraId="42D77D9F">
      <w:pPr>
        <w:pStyle w:val="32"/>
        <w:numPr>
          <w:ilvl w:val="0"/>
          <w:numId w:val="1"/>
        </w:numPr>
        <w:rPr>
          <w:rFonts w:ascii="Times New Roman" w:hAnsi="Times New Roman" w:cs="Times New Roman"/>
          <w:lang w:val="en-US"/>
        </w:rPr>
      </w:pPr>
      <w:r>
        <w:rPr>
          <w:rFonts w:ascii="Times New Roman" w:hAnsi="Times New Roman" w:cs="Times New Roman"/>
          <w:lang w:val="en-US"/>
        </w:rPr>
        <w:t>Find and read two research papers in the folder and answer following question based on these two papers.</w:t>
      </w:r>
    </w:p>
    <w:p w14:paraId="218E5810">
      <w:pPr>
        <w:pStyle w:val="32"/>
        <w:numPr>
          <w:ilvl w:val="1"/>
          <w:numId w:val="1"/>
        </w:numPr>
        <w:rPr>
          <w:rFonts w:ascii="Times New Roman" w:hAnsi="Times New Roman" w:cs="Times New Roman"/>
          <w:b/>
          <w:bCs/>
          <w:lang w:val="en-US"/>
        </w:rPr>
      </w:pPr>
      <w:r>
        <w:rPr>
          <w:rFonts w:ascii="Times New Roman" w:hAnsi="Times New Roman" w:cs="Times New Roman"/>
          <w:b/>
          <w:bCs/>
          <w:lang w:val="en-US"/>
        </w:rPr>
        <w:t>Question 1: Use the PICO/PECO, what are they for these two papers?</w:t>
      </w:r>
    </w:p>
    <w:p w14:paraId="3176A4FA">
      <w:r>
        <w:rPr>
          <w:rFonts w:ascii="Times New Roman" w:hAnsi="Times New Roman" w:eastAsia="微软雅黑"/>
          <w:b/>
          <w:sz w:val="24"/>
        </w:rPr>
        <w:t>Answer to Question 1</w:t>
      </w:r>
      <w:bookmarkStart w:id="0" w:name="_GoBack"/>
      <w:bookmarkEnd w:id="0"/>
    </w:p>
    <w:p w14:paraId="1865C44D">
      <w:r>
        <w:rPr>
          <w:rFonts w:ascii="Times New Roman" w:hAnsi="Times New Roman" w:eastAsia="微软雅黑"/>
          <w:sz w:val="24"/>
        </w:rPr>
        <w:t>Both papers are observational studies (no intervention was assigned to any participant), so the PECO framework (Population – Exposure – Comparison – Outcome) is used rather than PICO: in observational bioinformatics, PECO is the natural form of PICO, with the “Intervention” of PICO replaced by an “Exposure” that is measured rather than assigned.</w:t>
      </w:r>
    </w:p>
    <w:p w14:paraId="10AA5C85">
      <w:r>
        <w:rPr>
          <w:rFonts w:ascii="Times New Roman" w:hAnsi="Times New Roman" w:eastAsia="微软雅黑"/>
          <w:b/>
          <w:sz w:val="24"/>
        </w:rPr>
        <w:t>Paper 1 — Huang L, Pan G, Feng Y, et al. Microbial network signatures of early colonizers in infants with eczema. iMeta 2023;2(2):e90. https://doi.org/10.1002/imt2.90</w:t>
      </w:r>
    </w:p>
    <w:tbl>
      <w:tblPr>
        <w:tblStyle w:val="14"/>
        <w:tblW w:w="0" w:type="auto"/>
        <w:tblInd w:w="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08" w:type="dxa"/>
          <w:bottom w:w="0" w:type="dxa"/>
          <w:right w:w="108" w:type="dxa"/>
        </w:tblCellMar>
      </w:tblPr>
      <w:tblGrid>
        <w:gridCol w:w="4680"/>
        <w:gridCol w:w="4680"/>
      </w:tblGrid>
      <w:tr w14:paraId="24802F10">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rPr>
          <w:trHeight w:val="477" w:hRule="atLeast"/>
        </w:trPr>
        <w:tc>
          <w:tcPr>
            <w:tcW w:w="2041" w:type="dxa"/>
            <w:shd w:val="clear" w:color="auto" w:fill="D9D9D9"/>
          </w:tcPr>
          <w:p w14:paraId="1BFCB81E">
            <w:r>
              <w:rPr>
                <w:rFonts w:ascii="Times New Roman" w:hAnsi="Times New Roman" w:eastAsia="微软雅黑"/>
                <w:b/>
                <w:sz w:val="24"/>
              </w:rPr>
              <w:t>PECO element</w:t>
            </w:r>
          </w:p>
        </w:tc>
        <w:tc>
          <w:tcPr>
            <w:tcW w:w="7313" w:type="dxa"/>
            <w:shd w:val="clear" w:color="auto" w:fill="D9D9D9"/>
          </w:tcPr>
          <w:p w14:paraId="67B51BE5">
            <w:r>
              <w:rPr>
                <w:rFonts w:ascii="Times New Roman" w:hAnsi="Times New Roman" w:eastAsia="微软雅黑"/>
                <w:b/>
                <w:sz w:val="24"/>
              </w:rPr>
              <w:t>In this paper</w:t>
            </w:r>
          </w:p>
        </w:tc>
      </w:tr>
      <w:tr w14:paraId="45CC26A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c>
          <w:tcPr>
            <w:tcW w:w="2041" w:type="dxa"/>
          </w:tcPr>
          <w:p w14:paraId="355DFE31">
            <w:r>
              <w:rPr>
                <w:rFonts w:ascii="Times New Roman" w:hAnsi="Times New Roman" w:eastAsia="微软雅黑"/>
                <w:b/>
                <w:sz w:val="24"/>
              </w:rPr>
              <w:t>P (Population)</w:t>
            </w:r>
          </w:p>
        </w:tc>
        <w:tc>
          <w:tcPr>
            <w:tcW w:w="7313" w:type="dxa"/>
          </w:tcPr>
          <w:p w14:paraId="4E9ED672">
            <w:r>
              <w:rPr>
                <w:rFonts w:ascii="Times New Roman" w:hAnsi="Times New Roman" w:eastAsia="微软雅黑"/>
                <w:sz w:val="24"/>
              </w:rPr>
              <w:t>Healthy full-term, vaginally delivered, exclusively/predominantly breastfed infants (first ~100 days of life) and their mothers — 34 mother–infant pairs recruited at Zhujiang Hospital, Southern Medical University, Guangzhou, China (2021); 22 infants stayed healthy (control) and 12 developed infantile eczema (case) by month 6. Network findings were additionally compared with healthy infants from two independent European cohorts (Sweden, Roswall et al.; Denmark, Christensen et al.).</w:t>
            </w:r>
          </w:p>
        </w:tc>
      </w:tr>
      <w:tr w14:paraId="3C3F080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c>
          <w:tcPr>
            <w:tcW w:w="2041" w:type="dxa"/>
          </w:tcPr>
          <w:p w14:paraId="1AE4C5E4">
            <w:r>
              <w:rPr>
                <w:rFonts w:ascii="Times New Roman" w:hAnsi="Times New Roman" w:eastAsia="微软雅黑"/>
                <w:b/>
                <w:sz w:val="24"/>
              </w:rPr>
              <w:t>E (Exposure)</w:t>
            </w:r>
          </w:p>
        </w:tc>
        <w:tc>
          <w:tcPr>
            <w:tcW w:w="7313" w:type="dxa"/>
          </w:tcPr>
          <w:p w14:paraId="0E6BC301">
            <w:r>
              <w:rPr>
                <w:rFonts w:ascii="Times New Roman" w:hAnsi="Times New Roman" w:eastAsia="微软雅黑"/>
                <w:sz w:val="24"/>
              </w:rPr>
              <w:t>The early-life gut microbiota: composition and time-series microbial (molecular ecological) network structure of the first colonizers, profiled by 16S rRNA gene amplicon sequencing of meconium (birth) and faecal samples at months 1, 2 and 3 (alpha/beta diversity, ASV-level network topology). Maternal predelivery BMI and serum triglycerides were recorded as potential correlates / risk factors.</w:t>
            </w:r>
          </w:p>
        </w:tc>
      </w:tr>
      <w:tr w14:paraId="0BE65581">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c>
          <w:tcPr>
            <w:tcW w:w="2041" w:type="dxa"/>
          </w:tcPr>
          <w:p w14:paraId="5EE26EBC">
            <w:r>
              <w:rPr>
                <w:rFonts w:ascii="Times New Roman" w:hAnsi="Times New Roman" w:eastAsia="微软雅黑"/>
                <w:b/>
                <w:sz w:val="24"/>
              </w:rPr>
              <w:t>C (Comparison)</w:t>
            </w:r>
          </w:p>
        </w:tc>
        <w:tc>
          <w:tcPr>
            <w:tcW w:w="7313" w:type="dxa"/>
          </w:tcPr>
          <w:p w14:paraId="390153B1">
            <w:r>
              <w:rPr>
                <w:rFonts w:ascii="Times New Roman" w:hAnsi="Times New Roman" w:eastAsia="微软雅黑"/>
                <w:sz w:val="24"/>
              </w:rPr>
              <w:t>Infants who developed eczema by month 6 vs. infants who never did (case vs. control); gut-microbiota dynamics across time points (meconium → months 1–3); and the observed network features vs. those of healthy infants in the two external cohorts.</w:t>
            </w:r>
          </w:p>
        </w:tc>
      </w:tr>
      <w:tr w14:paraId="0AAEB8FD">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c>
          <w:tcPr>
            <w:tcW w:w="2041" w:type="dxa"/>
          </w:tcPr>
          <w:p w14:paraId="0B2FD1BD">
            <w:r>
              <w:rPr>
                <w:rFonts w:ascii="Times New Roman" w:hAnsi="Times New Roman" w:eastAsia="微软雅黑"/>
                <w:b/>
                <w:sz w:val="24"/>
              </w:rPr>
              <w:t>O (Outcome)</w:t>
            </w:r>
          </w:p>
        </w:tc>
        <w:tc>
          <w:tcPr>
            <w:tcW w:w="7313" w:type="dxa"/>
          </w:tcPr>
          <w:p w14:paraId="1A580CA3">
            <w:r>
              <w:rPr>
                <w:rFonts w:ascii="Times New Roman" w:hAnsi="Times New Roman" w:eastAsia="微软雅黑"/>
                <w:sz w:val="24"/>
              </w:rPr>
              <w:t>Development of infantile eczema (atopic dermatitis) by 6 months of age and its association with early gut-microbial diversity and network features — e.g., eczema infants had a less diverse microbiota and a less complex, less stable network that became aberrant at month 3; a higher gut-microbiota InvSimpson index was a potential protective factor and high late-pregnancy maternal triglycerides a potential risk factor.</w:t>
            </w:r>
          </w:p>
        </w:tc>
      </w:tr>
    </w:tbl>
    <w:p w14:paraId="584D107F">
      <w:r>
        <w:rPr>
          <w:rFonts w:ascii="Times New Roman" w:hAnsi="Times New Roman" w:eastAsia="微软雅黑"/>
          <w:i/>
          <w:sz w:val="24"/>
        </w:rPr>
        <w:t>Structured PECO question: In healthy full-term breastfed infants (P), are early-life gut-microbial diversity and network features (E), compared between infants who do and do not develop eczema by month 6 (C), associated with the onset of infantile eczema (O)?</w:t>
      </w:r>
    </w:p>
    <w:p w14:paraId="104ACADC">
      <w:r>
        <w:rPr>
          <w:rFonts w:ascii="Times New Roman" w:hAnsi="Times New Roman" w:eastAsia="微软雅黑"/>
          <w:b/>
          <w:sz w:val="24"/>
        </w:rPr>
        <w:t>Paper 2 — Priya S, Burns MB, Ward T, et al. Identification of shared and disease-specific host gene–microbiome associations across human diseases using multi-omic integration. Nature Microbiology 2022;7(6):780–795. https://doi.org/10.1038/s41564-022-01121-z</w:t>
      </w:r>
    </w:p>
    <w:tbl>
      <w:tblPr>
        <w:tblStyle w:val="14"/>
        <w:tblW w:w="0" w:type="auto"/>
        <w:tblInd w:w="0" w:type="dxa"/>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Layout w:type="fixed"/>
        <w:tblCellMar>
          <w:top w:w="0" w:type="dxa"/>
          <w:left w:w="108" w:type="dxa"/>
          <w:bottom w:w="0" w:type="dxa"/>
          <w:right w:w="108" w:type="dxa"/>
        </w:tblCellMar>
      </w:tblPr>
      <w:tblGrid>
        <w:gridCol w:w="4680"/>
        <w:gridCol w:w="4680"/>
      </w:tblGrid>
      <w:tr w14:paraId="18053807">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c>
          <w:tcPr>
            <w:tcW w:w="2041" w:type="dxa"/>
            <w:shd w:val="clear" w:color="auto" w:fill="D9D9D9"/>
          </w:tcPr>
          <w:p w14:paraId="4E9F28C1">
            <w:r>
              <w:rPr>
                <w:rFonts w:ascii="Times New Roman" w:hAnsi="Times New Roman" w:eastAsia="微软雅黑"/>
                <w:b/>
                <w:sz w:val="24"/>
              </w:rPr>
              <w:t>PECO element</w:t>
            </w:r>
          </w:p>
        </w:tc>
        <w:tc>
          <w:tcPr>
            <w:tcW w:w="7313" w:type="dxa"/>
            <w:shd w:val="clear" w:color="auto" w:fill="D9D9D9"/>
          </w:tcPr>
          <w:p w14:paraId="2E1AF9CB">
            <w:r>
              <w:rPr>
                <w:rFonts w:ascii="Times New Roman" w:hAnsi="Times New Roman" w:eastAsia="微软雅黑"/>
                <w:b/>
                <w:sz w:val="24"/>
              </w:rPr>
              <w:t>In this paper</w:t>
            </w:r>
          </w:p>
        </w:tc>
      </w:tr>
      <w:tr w14:paraId="2AE583D3">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c>
          <w:tcPr>
            <w:tcW w:w="2041" w:type="dxa"/>
          </w:tcPr>
          <w:p w14:paraId="6C35C8DB">
            <w:r>
              <w:rPr>
                <w:rFonts w:ascii="Times New Roman" w:hAnsi="Times New Roman" w:eastAsia="微软雅黑"/>
                <w:b/>
                <w:sz w:val="24"/>
              </w:rPr>
              <w:t>P (Population)</w:t>
            </w:r>
          </w:p>
        </w:tc>
        <w:tc>
          <w:tcPr>
            <w:tcW w:w="7313" w:type="dxa"/>
          </w:tcPr>
          <w:p w14:paraId="45D1C687">
            <w:r>
              <w:rPr>
                <w:rFonts w:ascii="Times New Roman" w:hAnsi="Times New Roman" w:eastAsia="微软雅黑"/>
                <w:sz w:val="24"/>
              </w:rPr>
              <w:t>208 paired colonic-mucosal samples (each pair = one host RNA-seq profile + one 16S rRNA microbiome profile from the same biopsy) from adults across three GI-disease cohorts: CRC (44 patients; tumour + patient-matched normal mucosa), IBD (56 IBD patients — 34 Crohn’s disease, 22 ulcerative colitis — plus 22 non-IBD controls; HMP2), IBS (29 IBS patients + 13 healthy controls). Most data were re-analysed from published cohorts (Burns et al.; HMP2/iHMP; Mars et al.).</w:t>
            </w:r>
          </w:p>
        </w:tc>
      </w:tr>
      <w:tr w14:paraId="52A88BD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c>
          <w:tcPr>
            <w:tcW w:w="2041" w:type="dxa"/>
          </w:tcPr>
          <w:p w14:paraId="34242769">
            <w:r>
              <w:rPr>
                <w:rFonts w:ascii="Times New Roman" w:hAnsi="Times New Roman" w:eastAsia="微软雅黑"/>
                <w:b/>
                <w:sz w:val="24"/>
              </w:rPr>
              <w:t>E (Exposure)</w:t>
            </w:r>
          </w:p>
        </w:tc>
        <w:tc>
          <w:tcPr>
            <w:tcW w:w="7313" w:type="dxa"/>
          </w:tcPr>
          <w:p w14:paraId="32AA8E7A">
            <w:r>
              <w:rPr>
                <w:rFonts w:ascii="Times New Roman" w:hAnsi="Times New Roman" w:eastAsia="微软雅黑"/>
                <w:sz w:val="24"/>
              </w:rPr>
              <w:t>Mucosal gut microbiome composition — abundance of microbial taxa/OTUs measured by 16S rRNA sequencing (e.g., Streptococcus, Fusobacterium nucleatum) — together with disease state (CRC/IBD/IBS), as the exposure whose relationship with host transcription is examined.</w:t>
            </w:r>
          </w:p>
        </w:tc>
      </w:tr>
      <w:tr w14:paraId="64D72B8F">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c>
          <w:tcPr>
            <w:tcW w:w="2041" w:type="dxa"/>
          </w:tcPr>
          <w:p w14:paraId="3C998D38">
            <w:r>
              <w:rPr>
                <w:rFonts w:ascii="Times New Roman" w:hAnsi="Times New Roman" w:eastAsia="微软雅黑"/>
                <w:b/>
                <w:sz w:val="24"/>
              </w:rPr>
              <w:t>C (Comparison)</w:t>
            </w:r>
          </w:p>
        </w:tc>
        <w:tc>
          <w:tcPr>
            <w:tcW w:w="7313" w:type="dxa"/>
          </w:tcPr>
          <w:p w14:paraId="2995795B">
            <w:r>
              <w:rPr>
                <w:rFonts w:ascii="Times New Roman" w:hAnsi="Times New Roman" w:eastAsia="微软雅黑"/>
                <w:sz w:val="24"/>
              </w:rPr>
              <w:t>Across the three diseases and, within each cohort, against non-diseased tissue/controls: shared vs. disease-specific host gene–microbiome associations (e.g., whether the same microbe, Streptococcus, correlates with different host pathways in CRC vs. IBD vs. IBS; tumour vs. normal mucosa; patients vs. controls).</w:t>
            </w:r>
          </w:p>
        </w:tc>
      </w:tr>
      <w:tr w14:paraId="2631D888">
        <w:tblPrEx>
          <w:tblBorders>
            <w:top w:val="single" w:color="7F7F7F" w:sz="4" w:space="0"/>
            <w:left w:val="single" w:color="7F7F7F" w:sz="4" w:space="0"/>
            <w:bottom w:val="single" w:color="7F7F7F" w:sz="4" w:space="0"/>
            <w:right w:val="single" w:color="7F7F7F" w:sz="4" w:space="0"/>
            <w:insideH w:val="single" w:color="7F7F7F" w:sz="4" w:space="0"/>
            <w:insideV w:val="single" w:color="7F7F7F" w:sz="4" w:space="0"/>
          </w:tblBorders>
          <w:tblCellMar>
            <w:top w:w="0" w:type="dxa"/>
            <w:left w:w="108" w:type="dxa"/>
            <w:bottom w:w="0" w:type="dxa"/>
            <w:right w:w="108" w:type="dxa"/>
          </w:tblCellMar>
        </w:tblPrEx>
        <w:tc>
          <w:tcPr>
            <w:tcW w:w="2041" w:type="dxa"/>
          </w:tcPr>
          <w:p w14:paraId="2CA00186">
            <w:r>
              <w:rPr>
                <w:rFonts w:ascii="Times New Roman" w:hAnsi="Times New Roman" w:eastAsia="微软雅黑"/>
                <w:b/>
                <w:sz w:val="24"/>
              </w:rPr>
              <w:t>O (Outcome)</w:t>
            </w:r>
          </w:p>
        </w:tc>
        <w:tc>
          <w:tcPr>
            <w:tcW w:w="7313" w:type="dxa"/>
          </w:tcPr>
          <w:p w14:paraId="6C3B215B">
            <w:r>
              <w:rPr>
                <w:rFonts w:ascii="Times New Roman" w:hAnsi="Times New Roman" w:eastAsia="微软雅黑"/>
                <w:sz w:val="24"/>
              </w:rPr>
              <w:t>Host colonic gene-expression/pathway activity associated with microbial abundance, identified with a machine-learning framework (sparse CCA + lasso regression) and pathway-enrichment analysis — e.g., shared host pathways (oxidative phosphorylation; inflammation, gut-barrier and energy-metabolism pathways) and 102 disease-specific host pathways linked to gut microbes (52 CRC-, 25 IBD- and 25 IBS-specific).</w:t>
            </w:r>
          </w:p>
        </w:tc>
      </w:tr>
    </w:tbl>
    <w:p w14:paraId="6205E47A">
      <w:r>
        <w:rPr>
          <w:rFonts w:ascii="Times New Roman" w:hAnsi="Times New Roman" w:eastAsia="微软雅黑"/>
          <w:i/>
          <w:sz w:val="24"/>
        </w:rPr>
        <w:t>Structured PECO question: In adults with CRC, IBD or IBS and non-disease controls (P), do specific mucosal gut microbes (E) associate with host colonic gene expression and pathways (O) in patterns shared across diseases or specific to one disease (C)?</w:t>
      </w:r>
    </w:p>
    <w:p w14:paraId="5FB17A4B">
      <w:r>
        <w:rPr>
          <w:rFonts w:ascii="Times New Roman" w:hAnsi="Times New Roman" w:eastAsia="微软雅黑"/>
          <w:i/>
          <w:sz w:val="24"/>
        </w:rPr>
        <w:t>Note: because neither study assigns an intervention, PECO is used; both are association studies, so the identified relationships should be interpreted as associations rather than causal effects.</w:t>
      </w:r>
    </w:p>
    <w:p w14:paraId="3A920F84">
      <w:pPr>
        <w:pStyle w:val="32"/>
        <w:numPr>
          <w:ilvl w:val="1"/>
          <w:numId w:val="1"/>
        </w:numPr>
        <w:rPr>
          <w:rFonts w:ascii="Times New Roman" w:hAnsi="Times New Roman" w:cs="Times New Roman"/>
          <w:b/>
          <w:bCs/>
          <w:lang w:val="en-US"/>
        </w:rPr>
      </w:pPr>
      <w:r>
        <w:rPr>
          <w:rFonts w:ascii="Times New Roman" w:hAnsi="Times New Roman" w:cs="Times New Roman"/>
          <w:b/>
          <w:bCs/>
          <w:lang w:val="en-US"/>
        </w:rPr>
        <w:t>Question 2: What kind of dataset or data type these two papers use?</w:t>
      </w:r>
    </w:p>
    <w:p w14:paraId="52784992">
      <w:pPr>
        <w:pStyle w:val="4"/>
        <w:keepNext w:val="0"/>
        <w:keepLines w:val="0"/>
        <w:widowControl/>
        <w:suppressLineNumbers w:val="0"/>
        <w:rPr>
          <w:b/>
          <w:bCs/>
          <w:color w:val="auto"/>
          <w:sz w:val="24"/>
          <w:szCs w:val="24"/>
        </w:rPr>
      </w:pPr>
      <w:r>
        <w:rPr>
          <w:b/>
          <w:bCs/>
          <w:color w:val="auto"/>
          <w:sz w:val="24"/>
          <w:szCs w:val="24"/>
        </w:rPr>
        <w:t>Paper1</w:t>
      </w:r>
    </w:p>
    <w:p w14:paraId="1DCAA02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16S rRNA gene amplicon sequencing data</w:t>
      </w:r>
      <w:r>
        <w:rPr>
          <w:rFonts w:hint="default" w:ascii="Times New Roman" w:hAnsi="Times New Roman" w:cs="Times New Roman"/>
        </w:rPr>
        <w:t>: Faecal/meconium microbiome data (V3</w:t>
      </w:r>
      <w:r>
        <w:rPr>
          <w:rFonts w:hint="default" w:ascii="Times New Roman" w:hAnsi="Times New Roman" w:cs="Times New Roman"/>
        </w:rPr>
        <w:noBreakHyphen/>
      </w:r>
      <w:r>
        <w:rPr>
          <w:rFonts w:hint="default" w:ascii="Times New Roman" w:hAnsi="Times New Roman" w:cs="Times New Roman"/>
        </w:rPr>
        <w:t>V4 region) from infant samples collected at four time</w:t>
      </w:r>
      <w:r>
        <w:rPr>
          <w:rFonts w:hint="default" w:ascii="Times New Roman" w:hAnsi="Times New Roman" w:cs="Times New Roman"/>
        </w:rPr>
        <w:noBreakHyphen/>
      </w:r>
      <w:r>
        <w:rPr>
          <w:rFonts w:hint="default" w:ascii="Times New Roman" w:hAnsi="Times New Roman" w:cs="Times New Roman"/>
        </w:rPr>
        <w:t>points: meconium, 1</w:t>
      </w:r>
      <w:r>
        <w:rPr>
          <w:rFonts w:hint="default" w:ascii="Times New Roman" w:hAnsi="Times New Roman" w:cs="Times New Roman"/>
        </w:rPr>
        <w:noBreakHyphen/>
      </w:r>
      <w:r>
        <w:rPr>
          <w:rFonts w:hint="default" w:ascii="Times New Roman" w:hAnsi="Times New Roman" w:cs="Times New Roman"/>
        </w:rPr>
        <w:t>month, 2</w:t>
      </w:r>
      <w:r>
        <w:rPr>
          <w:rFonts w:hint="default" w:ascii="Times New Roman" w:hAnsi="Times New Roman" w:cs="Times New Roman"/>
        </w:rPr>
        <w:noBreakHyphen/>
      </w:r>
      <w:r>
        <w:rPr>
          <w:rFonts w:hint="default" w:ascii="Times New Roman" w:hAnsi="Times New Roman" w:cs="Times New Roman"/>
        </w:rPr>
        <w:t>month, 3</w:t>
      </w:r>
      <w:r>
        <w:rPr>
          <w:rFonts w:hint="default" w:ascii="Times New Roman" w:hAnsi="Times New Roman" w:cs="Times New Roman"/>
        </w:rPr>
        <w:noBreakHyphen/>
      </w:r>
      <w:r>
        <w:rPr>
          <w:rFonts w:hint="default" w:ascii="Times New Roman" w:hAnsi="Times New Roman" w:cs="Times New Roman"/>
        </w:rPr>
        <w:t>month after birth. Sequenced on Illumina NovaSeq platform.</w:t>
      </w:r>
    </w:p>
    <w:p w14:paraId="0821EC5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Clinical metadata</w:t>
      </w:r>
      <w:r>
        <w:rPr>
          <w:rFonts w:hint="default" w:ascii="Times New Roman" w:hAnsi="Times New Roman" w:cs="Times New Roman"/>
        </w:rPr>
        <w:t>: Infant birth characteristics; maternal clinical laboratory indexes including pre</w:t>
      </w:r>
      <w:r>
        <w:rPr>
          <w:rFonts w:hint="default" w:ascii="Times New Roman" w:hAnsi="Times New Roman" w:cs="Times New Roman"/>
        </w:rPr>
        <w:noBreakHyphen/>
      </w:r>
      <w:r>
        <w:rPr>
          <w:rFonts w:hint="default" w:ascii="Times New Roman" w:hAnsi="Times New Roman" w:cs="Times New Roman"/>
        </w:rPr>
        <w:t>pregnancy BMI, pre</w:t>
      </w:r>
      <w:r>
        <w:rPr>
          <w:rFonts w:hint="default" w:ascii="Times New Roman" w:hAnsi="Times New Roman" w:cs="Times New Roman"/>
        </w:rPr>
        <w:noBreakHyphen/>
      </w:r>
      <w:r>
        <w:rPr>
          <w:rFonts w:hint="default" w:ascii="Times New Roman" w:hAnsi="Times New Roman" w:cs="Times New Roman"/>
        </w:rPr>
        <w:t>delivery BMI, serum triglyceride(TG), OGTT results, feeding pattern, delivery information.</w:t>
      </w:r>
    </w:p>
    <w:p w14:paraId="1257E023">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Validation public datasets</w:t>
      </w:r>
      <w:r>
        <w:rPr>
          <w:rFonts w:hint="default" w:ascii="Times New Roman" w:hAnsi="Times New Roman" w:cs="Times New Roman"/>
        </w:rPr>
        <w:t>: Published 16S rRNA amplicon datasets from two independent infant cohorts (Roswall et al., 2021; Christensen et al., 2022).</w:t>
      </w:r>
    </w:p>
    <w:p w14:paraId="772DCA3C">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Data deposition</w:t>
      </w:r>
      <w:r>
        <w:rPr>
          <w:rFonts w:hint="default" w:ascii="Times New Roman" w:hAnsi="Times New Roman" w:cs="Times New Roman"/>
        </w:rPr>
        <w:t>: Raw sequencing data deposited in NMDC under BioProject NMDC10018172.</w:t>
      </w:r>
    </w:p>
    <w:p w14:paraId="6CEB207F">
      <w:pPr>
        <w:pStyle w:val="4"/>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Paper2</w:t>
      </w:r>
    </w:p>
    <w:p w14:paraId="163953E9">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Host transcriptomic data</w:t>
      </w:r>
      <w:r>
        <w:rPr>
          <w:rFonts w:hint="default" w:ascii="Times New Roman" w:hAnsi="Times New Roman" w:cs="Times New Roman"/>
        </w:rPr>
        <w:t>: RNA</w:t>
      </w:r>
      <w:r>
        <w:rPr>
          <w:rFonts w:hint="default" w:ascii="Times New Roman" w:hAnsi="Times New Roman" w:cs="Times New Roman"/>
        </w:rPr>
        <w:noBreakHyphen/>
      </w:r>
      <w:r>
        <w:rPr>
          <w:rFonts w:hint="default" w:ascii="Times New Roman" w:hAnsi="Times New Roman" w:cs="Times New Roman"/>
        </w:rPr>
        <w:t>seq data from human colonic mucosal biopsies, measuring host gene expression.</w:t>
      </w:r>
    </w:p>
    <w:p w14:paraId="4D31BAC5">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Style w:val="17"/>
          <w:rFonts w:hint="default" w:ascii="Times New Roman" w:hAnsi="Times New Roman" w:cs="Times New Roman"/>
        </w:rPr>
        <w:t>Microbiome data</w:t>
      </w:r>
      <w:r>
        <w:rPr>
          <w:rFonts w:hint="default" w:ascii="Times New Roman" w:hAnsi="Times New Roman" w:cs="Times New Roman"/>
        </w:rPr>
        <w:t>: 16S rRNA amplicon sequencing data from matched colonic mucosal biopsy samples.</w:t>
      </w:r>
    </w:p>
    <w:p w14:paraId="41CA027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Three paired multi</w:t>
      </w:r>
      <w:r>
        <w:rPr>
          <w:rFonts w:hint="default" w:ascii="Times New Roman" w:hAnsi="Times New Roman" w:cs="Times New Roman"/>
        </w:rPr>
        <w:noBreakHyphen/>
      </w:r>
      <w:r>
        <w:rPr>
          <w:rFonts w:hint="default" w:ascii="Times New Roman" w:hAnsi="Times New Roman" w:cs="Times New Roman"/>
        </w:rPr>
        <w:t>omics cohorts total n=208 sample</w:t>
      </w:r>
      <w:r>
        <w:rPr>
          <w:rFonts w:hint="default" w:ascii="Times New Roman" w:hAnsi="Times New Roman" w:cs="Times New Roman"/>
        </w:rPr>
        <w:noBreakHyphen/>
      </w:r>
      <w:r>
        <w:rPr>
          <w:rFonts w:hint="default" w:ascii="Times New Roman" w:hAnsi="Times New Roman" w:cs="Times New Roman"/>
        </w:rPr>
        <w:t xml:space="preserve">pairs: </w:t>
      </w:r>
    </w:p>
    <w:p w14:paraId="1FE05E39">
      <w:pPr>
        <w:keepNext w:val="0"/>
        <w:keepLines w:val="0"/>
        <w:widowControl/>
        <w:numPr>
          <w:ilvl w:val="1"/>
          <w:numId w:val="4"/>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CRC cohort: tumour</w:t>
      </w:r>
      <w:r>
        <w:rPr>
          <w:rFonts w:hint="default" w:ascii="Times New Roman" w:hAnsi="Times New Roman" w:cs="Times New Roman"/>
        </w:rPr>
        <w:noBreakHyphen/>
      </w:r>
      <w:r>
        <w:rPr>
          <w:rFonts w:hint="default" w:ascii="Times New Roman" w:hAnsi="Times New Roman" w:cs="Times New Roman"/>
        </w:rPr>
        <w:t>adjacent normal &amp; tumour colon tissue;</w:t>
      </w:r>
    </w:p>
    <w:p w14:paraId="3A65CD82">
      <w:pPr>
        <w:keepNext w:val="0"/>
        <w:keepLines w:val="0"/>
        <w:widowControl/>
        <w:numPr>
          <w:ilvl w:val="1"/>
          <w:numId w:val="4"/>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IBD cohort (Integrative HMP2): IBD patients and non</w:t>
      </w:r>
      <w:r>
        <w:rPr>
          <w:rFonts w:hint="default" w:ascii="Times New Roman" w:hAnsi="Times New Roman" w:cs="Times New Roman"/>
        </w:rPr>
        <w:noBreakHyphen/>
      </w:r>
      <w:r>
        <w:rPr>
          <w:rFonts w:hint="default" w:ascii="Times New Roman" w:hAnsi="Times New Roman" w:cs="Times New Roman"/>
        </w:rPr>
        <w:t>IBD controls;</w:t>
      </w:r>
    </w:p>
    <w:p w14:paraId="020CE423">
      <w:pPr>
        <w:keepNext w:val="0"/>
        <w:keepLines w:val="0"/>
        <w:widowControl/>
        <w:numPr>
          <w:ilvl w:val="1"/>
          <w:numId w:val="4"/>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IBS cohort: IBS patients and non</w:t>
      </w:r>
      <w:r>
        <w:rPr>
          <w:rFonts w:hint="default" w:ascii="Times New Roman" w:hAnsi="Times New Roman" w:cs="Times New Roman"/>
        </w:rPr>
        <w:noBreakHyphen/>
      </w:r>
      <w:r>
        <w:rPr>
          <w:rFonts w:hint="default" w:ascii="Times New Roman" w:hAnsi="Times New Roman" w:cs="Times New Roman"/>
        </w:rPr>
        <w:t>IBS controls.</w:t>
      </w:r>
    </w:p>
    <w:p w14:paraId="5CC8FEB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lang w:val="en-US"/>
        </w:rPr>
      </w:pPr>
      <w:r>
        <w:rPr>
          <w:rFonts w:hint="default" w:ascii="Times New Roman" w:hAnsi="Times New Roman" w:cs="Times New Roman"/>
        </w:rPr>
        <w:t>Public sequencing accession resources: SRA BioProject PRJNA816986, PRJNA2843553, PRJNA398089, PRJEB37924; GEO accessions GSE111889, GSE146853.</w:t>
      </w:r>
    </w:p>
    <w:p w14:paraId="12F4F796">
      <w:pPr>
        <w:pStyle w:val="32"/>
        <w:numPr>
          <w:ilvl w:val="1"/>
          <w:numId w:val="1"/>
        </w:numPr>
        <w:rPr>
          <w:rFonts w:ascii="Times New Roman" w:hAnsi="Times New Roman" w:cs="Times New Roman"/>
          <w:b/>
          <w:bCs/>
          <w:lang w:val="en-US"/>
        </w:rPr>
      </w:pPr>
      <w:r>
        <w:rPr>
          <w:rFonts w:ascii="Times New Roman" w:hAnsi="Times New Roman" w:cs="Times New Roman"/>
          <w:b/>
          <w:bCs/>
          <w:lang w:val="en-US"/>
        </w:rPr>
        <w:t>Question 3: What is the hypothesis of these two research?</w:t>
      </w:r>
    </w:p>
    <w:p w14:paraId="7AC950BB">
      <w:pPr>
        <w:pStyle w:val="4"/>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Paper1</w:t>
      </w:r>
    </w:p>
    <w:p w14:paraId="6E1EF6F0">
      <w:pPr>
        <w:pStyle w:val="12"/>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宋体" w:cs="Times New Roman"/>
          <w:sz w:val="24"/>
          <w:szCs w:val="24"/>
        </w:rPr>
        <w:t>Primary hypothesis</w:t>
      </w:r>
    </w:p>
    <w:p w14:paraId="562B319F">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Distinct gut microbial network topology and developmental rhythm during the first 100</w:t>
      </w:r>
      <w:r>
        <w:rPr>
          <w:rFonts w:hint="default" w:ascii="Times New Roman" w:hAnsi="Times New Roman" w:cs="Times New Roman"/>
          <w:sz w:val="24"/>
          <w:szCs w:val="24"/>
        </w:rPr>
        <w:noBreakHyphen/>
      </w:r>
      <w:r>
        <w:rPr>
          <w:rFonts w:hint="default" w:ascii="Times New Roman" w:hAnsi="Times New Roman" w:cs="Times New Roman"/>
          <w:sz w:val="24"/>
          <w:szCs w:val="24"/>
        </w:rPr>
        <w:t>days of early</w:t>
      </w:r>
      <w:r>
        <w:rPr>
          <w:rFonts w:hint="default" w:ascii="Times New Roman" w:hAnsi="Times New Roman" w:cs="Times New Roman"/>
          <w:sz w:val="24"/>
          <w:szCs w:val="24"/>
        </w:rPr>
        <w:noBreakHyphen/>
      </w:r>
      <w:r>
        <w:rPr>
          <w:rFonts w:hint="default" w:ascii="Times New Roman" w:hAnsi="Times New Roman" w:cs="Times New Roman"/>
          <w:sz w:val="24"/>
          <w:szCs w:val="24"/>
        </w:rPr>
        <w:t>life colonisation exist between infants who develop eczema and healthy control infants. Infants with eczema will show disrupted, less</w:t>
      </w:r>
      <w:r>
        <w:rPr>
          <w:rFonts w:hint="default" w:ascii="Times New Roman" w:hAnsi="Times New Roman" w:cs="Times New Roman"/>
          <w:sz w:val="24"/>
          <w:szCs w:val="24"/>
        </w:rPr>
        <w:noBreakHyphen/>
      </w:r>
      <w:r>
        <w:rPr>
          <w:rFonts w:hint="default" w:ascii="Times New Roman" w:hAnsi="Times New Roman" w:cs="Times New Roman"/>
          <w:sz w:val="24"/>
          <w:szCs w:val="24"/>
        </w:rPr>
        <w:t>complex gut microbial network signatures compared with healthy infants.</w:t>
      </w:r>
    </w:p>
    <w:p w14:paraId="136E9ABE">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Differences in gut microbial diversity and microbial network maturation in early infancy precede or correlate with the later onset of infantile eczema.</w:t>
      </w:r>
    </w:p>
    <w:p w14:paraId="6B78CFB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Maternal late</w:t>
      </w:r>
      <w:r>
        <w:rPr>
          <w:rFonts w:hint="default" w:ascii="Times New Roman" w:hAnsi="Times New Roman" w:cs="Times New Roman"/>
          <w:sz w:val="24"/>
          <w:szCs w:val="24"/>
        </w:rPr>
        <w:noBreakHyphen/>
      </w:r>
      <w:r>
        <w:rPr>
          <w:rFonts w:hint="default" w:ascii="Times New Roman" w:hAnsi="Times New Roman" w:cs="Times New Roman"/>
          <w:sz w:val="24"/>
          <w:szCs w:val="24"/>
        </w:rPr>
        <w:t>pregnancy physiological indicators (including triglyceride level) are associated with increased risk of eczema in offspring infants.</w:t>
      </w:r>
    </w:p>
    <w:p w14:paraId="76455A40">
      <w:pPr>
        <w:pStyle w:val="4"/>
        <w:keepNext w:val="0"/>
        <w:keepLines w:val="0"/>
        <w:widowControl/>
        <w:suppressLineNumbers w:val="0"/>
        <w:rPr>
          <w:rFonts w:hint="default" w:ascii="Times New Roman" w:hAnsi="Times New Roman" w:cs="Times New Roman"/>
          <w:b/>
          <w:bCs/>
          <w:color w:val="auto"/>
          <w:sz w:val="24"/>
          <w:szCs w:val="24"/>
        </w:rPr>
      </w:pPr>
      <w:r>
        <w:rPr>
          <w:rFonts w:hint="default" w:ascii="Times New Roman" w:hAnsi="Times New Roman" w:cs="Times New Roman"/>
          <w:b/>
          <w:bCs/>
          <w:color w:val="auto"/>
          <w:sz w:val="24"/>
          <w:szCs w:val="24"/>
        </w:rPr>
        <w:t>Paper2</w:t>
      </w:r>
    </w:p>
    <w:p w14:paraId="446264A6">
      <w:pPr>
        <w:pStyle w:val="12"/>
        <w:keepNext w:val="0"/>
        <w:keepLines w:val="0"/>
        <w:widowControl/>
        <w:suppressLineNumbers w:val="0"/>
        <w:ind w:left="720" w:right="720"/>
        <w:rPr>
          <w:rFonts w:hint="default" w:ascii="Times New Roman" w:hAnsi="Times New Roman" w:cs="Times New Roman"/>
          <w:sz w:val="24"/>
          <w:szCs w:val="24"/>
        </w:rPr>
      </w:pPr>
      <w:r>
        <w:rPr>
          <w:rFonts w:hint="default" w:ascii="Times New Roman" w:hAnsi="Times New Roman" w:eastAsia="宋体" w:cs="Times New Roman"/>
          <w:sz w:val="24"/>
          <w:szCs w:val="24"/>
        </w:rPr>
        <w:t>Primary hypothesis</w:t>
      </w:r>
    </w:p>
    <w:p w14:paraId="25FCB526">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There are meaningful associations between gut mucosal microbial taxa and host gene / pathway expression in CRC, IBD and IBS gastrointestinal diseases.</w:t>
      </w:r>
    </w:p>
    <w:p w14:paraId="6CF42FF9">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Some host biological pathways are shared across the three diseases and correlate with distinct, disease</w:t>
      </w:r>
      <w:r>
        <w:rPr>
          <w:rFonts w:hint="default" w:ascii="Times New Roman" w:hAnsi="Times New Roman" w:cs="Times New Roman"/>
          <w:sz w:val="24"/>
          <w:szCs w:val="24"/>
        </w:rPr>
        <w:noBreakHyphen/>
      </w:r>
      <w:r>
        <w:rPr>
          <w:rFonts w:hint="default" w:ascii="Times New Roman" w:hAnsi="Times New Roman" w:cs="Times New Roman"/>
          <w:sz w:val="24"/>
          <w:szCs w:val="24"/>
        </w:rPr>
        <w:t>specific gut microbes; meanwhile unique disease</w:t>
      </w:r>
      <w:r>
        <w:rPr>
          <w:rFonts w:hint="default" w:ascii="Times New Roman" w:hAnsi="Times New Roman" w:cs="Times New Roman"/>
          <w:sz w:val="24"/>
          <w:szCs w:val="24"/>
        </w:rPr>
        <w:noBreakHyphen/>
      </w:r>
      <w:r>
        <w:rPr>
          <w:rFonts w:hint="default" w:ascii="Times New Roman" w:hAnsi="Times New Roman" w:cs="Times New Roman"/>
          <w:sz w:val="24"/>
          <w:szCs w:val="24"/>
        </w:rPr>
        <w:t>specific host</w:t>
      </w:r>
      <w:r>
        <w:rPr>
          <w:rFonts w:hint="default" w:ascii="Times New Roman" w:hAnsi="Times New Roman" w:cs="Times New Roman"/>
          <w:sz w:val="24"/>
          <w:szCs w:val="24"/>
        </w:rPr>
        <w:noBreakHyphen/>
      </w:r>
      <w:r>
        <w:rPr>
          <w:rFonts w:hint="default" w:ascii="Times New Roman" w:hAnsi="Times New Roman" w:cs="Times New Roman"/>
          <w:sz w:val="24"/>
          <w:szCs w:val="24"/>
        </w:rPr>
        <w:t>microbiome crosstalk patterns also exist for each gastrointestinal disorder.</w:t>
      </w:r>
    </w:p>
    <w:p w14:paraId="3FD4A04C">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sz w:val="24"/>
          <w:szCs w:val="24"/>
        </w:rPr>
      </w:pPr>
      <w:r>
        <w:rPr>
          <w:rFonts w:hint="default" w:ascii="Times New Roman" w:hAnsi="Times New Roman" w:cs="Times New Roman"/>
          <w:sz w:val="24"/>
          <w:szCs w:val="24"/>
        </w:rPr>
        <w:t>Identical gut microbial taxa can interact with different host genes and host pathways in different disease contexts, producing disease</w:t>
      </w:r>
      <w:r>
        <w:rPr>
          <w:rFonts w:hint="default" w:ascii="Times New Roman" w:hAnsi="Times New Roman" w:cs="Times New Roman"/>
          <w:sz w:val="24"/>
          <w:szCs w:val="24"/>
        </w:rPr>
        <w:noBreakHyphen/>
      </w:r>
      <w:r>
        <w:rPr>
          <w:rFonts w:hint="default" w:ascii="Times New Roman" w:hAnsi="Times New Roman" w:cs="Times New Roman"/>
          <w:sz w:val="24"/>
          <w:szCs w:val="24"/>
        </w:rPr>
        <w:t>specific pathophysiological effects, even when the microbe is observed in multiple GI illnesses.</w:t>
      </w:r>
    </w:p>
    <w:p w14:paraId="70CD7DEC">
      <w:pPr>
        <w:keepNext w:val="0"/>
        <w:keepLines w:val="0"/>
        <w:widowControl/>
        <w:numPr>
          <w:ilvl w:val="0"/>
          <w:numId w:val="6"/>
        </w:numPr>
        <w:suppressLineNumbers w:val="0"/>
        <w:spacing w:before="0" w:beforeAutospacing="1" w:after="0" w:afterAutospacing="1"/>
        <w:ind w:left="720" w:hanging="360"/>
        <w:rPr>
          <w:rFonts w:ascii="Times New Roman" w:hAnsi="Times New Roman" w:cs="Times New Roman"/>
          <w:lang w:val="en-US"/>
        </w:rPr>
      </w:pPr>
      <w:r>
        <w:rPr>
          <w:rFonts w:hint="default" w:ascii="Times New Roman" w:hAnsi="Times New Roman" w:cs="Times New Roman"/>
          <w:sz w:val="24"/>
          <w:szCs w:val="24"/>
        </w:rPr>
        <w:t>A multi</w:t>
      </w:r>
      <w:r>
        <w:rPr>
          <w:rFonts w:hint="default" w:ascii="Times New Roman" w:hAnsi="Times New Roman" w:cs="Times New Roman"/>
          <w:sz w:val="24"/>
          <w:szCs w:val="24"/>
        </w:rPr>
        <w:noBreakHyphen/>
      </w:r>
      <w:r>
        <w:rPr>
          <w:rFonts w:hint="default" w:ascii="Times New Roman" w:hAnsi="Times New Roman" w:cs="Times New Roman"/>
          <w:sz w:val="24"/>
          <w:szCs w:val="24"/>
        </w:rPr>
        <w:t>omic machine</w:t>
      </w:r>
      <w:r>
        <w:rPr>
          <w:rFonts w:hint="default" w:ascii="Times New Roman" w:hAnsi="Times New Roman" w:cs="Times New Roman"/>
          <w:sz w:val="24"/>
          <w:szCs w:val="24"/>
        </w:rPr>
        <w:noBreakHyphen/>
      </w:r>
      <w:r>
        <w:rPr>
          <w:rFonts w:hint="default" w:ascii="Times New Roman" w:hAnsi="Times New Roman" w:cs="Times New Roman"/>
          <w:sz w:val="24"/>
          <w:szCs w:val="24"/>
        </w:rPr>
        <w:t>learning integration framework can effectively uncover both shared and disease</w:t>
      </w:r>
      <w:r>
        <w:rPr>
          <w:rFonts w:hint="default" w:ascii="Times New Roman" w:hAnsi="Times New Roman" w:cs="Times New Roman"/>
          <w:sz w:val="24"/>
          <w:szCs w:val="24"/>
        </w:rPr>
        <w:noBreakHyphen/>
      </w:r>
      <w:r>
        <w:rPr>
          <w:rFonts w:hint="default" w:ascii="Times New Roman" w:hAnsi="Times New Roman" w:cs="Times New Roman"/>
          <w:sz w:val="24"/>
          <w:szCs w:val="24"/>
        </w:rPr>
        <w:t>specific host</w:t>
      </w:r>
      <w:r>
        <w:rPr>
          <w:rFonts w:hint="default" w:ascii="Times New Roman" w:hAnsi="Times New Roman" w:cs="Times New Roman"/>
          <w:sz w:val="24"/>
          <w:szCs w:val="24"/>
        </w:rPr>
        <w:noBreakHyphen/>
      </w:r>
      <w:r>
        <w:rPr>
          <w:rFonts w:hint="default" w:ascii="Times New Roman" w:hAnsi="Times New Roman" w:cs="Times New Roman"/>
          <w:sz w:val="24"/>
          <w:szCs w:val="24"/>
        </w:rPr>
        <w:t>microbiome associations from paired transcriptome</w:t>
      </w:r>
      <w:r>
        <w:rPr>
          <w:rFonts w:hint="default" w:ascii="Times New Roman" w:hAnsi="Times New Roman" w:cs="Times New Roman"/>
          <w:sz w:val="24"/>
          <w:szCs w:val="24"/>
        </w:rPr>
        <w:noBreakHyphen/>
      </w:r>
      <w:r>
        <w:rPr>
          <w:rFonts w:hint="default" w:ascii="Times New Roman" w:hAnsi="Times New Roman" w:cs="Times New Roman"/>
          <w:sz w:val="24"/>
          <w:szCs w:val="24"/>
        </w:rPr>
        <w:t>microbiome datasets.</w:t>
      </w:r>
    </w:p>
    <w:p w14:paraId="670838AF">
      <w:pPr>
        <w:pStyle w:val="32"/>
        <w:ind w:left="360"/>
        <w:rPr>
          <w:rFonts w:ascii="Times New Roman" w:hAnsi="Times New Roman" w:cs="Times New Roman"/>
          <w:lang w:val="en-US"/>
        </w:rPr>
      </w:pPr>
    </w:p>
    <w:p w14:paraId="65D8D600">
      <w:pPr>
        <w:pStyle w:val="32"/>
        <w:numPr>
          <w:ilvl w:val="0"/>
          <w:numId w:val="1"/>
        </w:numPr>
        <w:rPr>
          <w:rFonts w:ascii="Times New Roman" w:hAnsi="Times New Roman" w:cs="Times New Roman"/>
          <w:lang w:val="en-US"/>
        </w:rPr>
      </w:pPr>
      <w:r>
        <w:rPr>
          <w:rFonts w:ascii="Times New Roman" w:hAnsi="Times New Roman" w:cs="Times New Roman"/>
          <w:lang w:val="en-US"/>
        </w:rPr>
        <w:t>Based on your research interest, refine the search in PUBMED, and sort, identify the latest and the most important studies in your field. Read this paper and answer three question</w:t>
      </w:r>
      <w:r>
        <w:rPr>
          <w:rFonts w:hint="eastAsia" w:ascii="Times New Roman" w:hAnsi="Times New Roman" w:cs="Times New Roman"/>
          <w:lang w:val="en-US"/>
        </w:rPr>
        <w:t>s</w:t>
      </w:r>
      <w:r>
        <w:rPr>
          <w:rFonts w:ascii="Times New Roman" w:hAnsi="Times New Roman" w:cs="Times New Roman"/>
          <w:lang w:val="en-US"/>
        </w:rPr>
        <w:t>:</w:t>
      </w:r>
    </w:p>
    <w:p w14:paraId="3BF3656A">
      <w:pPr>
        <w:pStyle w:val="32"/>
        <w:numPr>
          <w:ilvl w:val="0"/>
          <w:numId w:val="0"/>
        </w:numPr>
        <w:rPr>
          <w:rFonts w:hint="default" w:ascii="Times New Roman" w:hAnsi="Times New Roman" w:eastAsia="宋体" w:cs="Times New Roman"/>
          <w:sz w:val="24"/>
          <w:szCs w:val="24"/>
        </w:rPr>
      </w:pPr>
      <w:r>
        <w:rPr>
          <w:rStyle w:val="17"/>
          <w:rFonts w:hint="eastAsia" w:ascii="Times New Roman" w:hAnsi="Times New Roman" w:eastAsia="宋体" w:cs="Times New Roman"/>
          <w:sz w:val="24"/>
          <w:szCs w:val="24"/>
          <w:lang w:val="en-US" w:eastAsia="zh-CN"/>
        </w:rPr>
        <w:t xml:space="preserve">For this question, I find the </w:t>
      </w:r>
      <w:r>
        <w:rPr>
          <w:rStyle w:val="17"/>
          <w:rFonts w:hint="default" w:ascii="Times New Roman" w:hAnsi="Times New Roman" w:eastAsia="宋体" w:cs="Times New Roman"/>
          <w:sz w:val="24"/>
          <w:szCs w:val="24"/>
        </w:rPr>
        <w:t xml:space="preserve">Paper </w:t>
      </w:r>
      <w:r>
        <w:rPr>
          <w:rFonts w:hint="default" w:ascii="Times New Roman" w:hAnsi="Times New Roman" w:eastAsia="宋体" w:cs="Times New Roman"/>
          <w:sz w:val="24"/>
          <w:szCs w:val="24"/>
        </w:rPr>
        <w:t>: Blau HM, Cosgrove BD, Ho AT. The central role of muscle stem cells in regenerative failure with aging. </w:t>
      </w:r>
      <w:r>
        <w:rPr>
          <w:rStyle w:val="18"/>
          <w:rFonts w:hint="default" w:ascii="Times New Roman" w:hAnsi="Times New Roman" w:eastAsia="宋体" w:cs="Times New Roman"/>
          <w:sz w:val="24"/>
          <w:szCs w:val="24"/>
        </w:rPr>
        <w:t>Nature Reviews Molecular Cell Biology</w:t>
      </w:r>
      <w:r>
        <w:rPr>
          <w:rFonts w:hint="default" w:ascii="Times New Roman" w:hAnsi="Times New Roman" w:eastAsia="宋体" w:cs="Times New Roman"/>
          <w:sz w:val="24"/>
          <w:szCs w:val="24"/>
        </w:rPr>
        <w:t>. 2022;23(3):171</w:t>
      </w:r>
      <w:r>
        <w:rPr>
          <w:rFonts w:hint="default" w:ascii="Times New Roman" w:hAnsi="Times New Roman" w:eastAsia="宋体" w:cs="Times New Roman"/>
          <w:sz w:val="24"/>
          <w:szCs w:val="24"/>
        </w:rPr>
        <w:noBreakHyphen/>
      </w:r>
      <w:r>
        <w:rPr>
          <w:rFonts w:hint="default" w:ascii="Times New Roman" w:hAnsi="Times New Roman" w:eastAsia="宋体" w:cs="Times New Roman"/>
          <w:sz w:val="24"/>
          <w:szCs w:val="24"/>
        </w:rPr>
        <w:t>188 (Review, high</w:t>
      </w:r>
      <w:r>
        <w:rPr>
          <w:rFonts w:hint="default" w:ascii="Times New Roman" w:hAnsi="Times New Roman" w:eastAsia="宋体" w:cs="Times New Roman"/>
          <w:sz w:val="24"/>
          <w:szCs w:val="24"/>
        </w:rPr>
        <w:noBreakHyphen/>
      </w:r>
      <w:r>
        <w:rPr>
          <w:rFonts w:hint="default" w:ascii="Times New Roman" w:hAnsi="Times New Roman" w:eastAsia="宋体" w:cs="Times New Roman"/>
          <w:sz w:val="24"/>
          <w:szCs w:val="24"/>
        </w:rPr>
        <w:t>impact landmark review)</w:t>
      </w:r>
    </w:p>
    <w:p w14:paraId="4FA185C2">
      <w:pPr>
        <w:pStyle w:val="32"/>
        <w:numPr>
          <w:ilvl w:val="0"/>
          <w:numId w:val="0"/>
        </w:numPr>
        <w:rPr>
          <w:rFonts w:hint="default" w:ascii="Times New Roman" w:hAnsi="Times New Roman" w:eastAsia="宋体" w:cs="Times New Roman"/>
          <w:sz w:val="24"/>
          <w:szCs w:val="24"/>
          <w:lang w:val="en-US"/>
        </w:rPr>
      </w:pPr>
    </w:p>
    <w:p w14:paraId="640E4334">
      <w:pPr>
        <w:pStyle w:val="32"/>
        <w:numPr>
          <w:ilvl w:val="1"/>
          <w:numId w:val="1"/>
        </w:numPr>
        <w:rPr>
          <w:rFonts w:ascii="Times New Roman" w:hAnsi="Times New Roman" w:cs="Times New Roman"/>
          <w:b/>
          <w:bCs/>
          <w:color w:val="auto"/>
          <w:lang w:val="en-US"/>
        </w:rPr>
      </w:pPr>
      <w:r>
        <w:rPr>
          <w:rFonts w:ascii="Times New Roman" w:hAnsi="Times New Roman" w:cs="Times New Roman"/>
          <w:b/>
          <w:bCs/>
          <w:color w:val="auto"/>
          <w:lang w:val="en-US"/>
        </w:rPr>
        <w:t>Question 1: Use the PICO/PECO, what are they for these two papers?</w:t>
      </w:r>
    </w:p>
    <w:p w14:paraId="4B75A443">
      <w:pPr>
        <w:pStyle w:val="32"/>
        <w:numPr>
          <w:numId w:val="0"/>
        </w:numPr>
        <w:rPr>
          <w:rFonts w:hint="default" w:ascii="Times New Roman" w:hAnsi="Times New Roman" w:eastAsia="宋体" w:cs="Times New Roman"/>
          <w:sz w:val="24"/>
          <w:szCs w:val="24"/>
        </w:rPr>
      </w:pPr>
      <w:r>
        <w:rPr>
          <w:rStyle w:val="17"/>
          <w:rFonts w:hint="default" w:ascii="Times New Roman" w:hAnsi="Times New Roman" w:eastAsia="宋体" w:cs="Times New Roman"/>
          <w:sz w:val="24"/>
          <w:szCs w:val="24"/>
        </w:rPr>
        <w:t>PECO</w:t>
      </w:r>
    </w:p>
    <w:p w14:paraId="111E2E81">
      <w:pPr>
        <w:pStyle w:val="32"/>
        <w:numPr>
          <w:numId w:val="0"/>
        </w:numPr>
        <w:rPr>
          <w:rFonts w:hint="default" w:ascii="Times New Roman" w:hAnsi="Times New Roman" w:eastAsia="宋体" w:cs="Times New Roman"/>
          <w:sz w:val="24"/>
          <w:szCs w:val="24"/>
        </w:rPr>
      </w:pPr>
      <w:r>
        <w:rPr>
          <w:rStyle w:val="17"/>
          <w:rFonts w:hint="default" w:ascii="Times New Roman" w:hAnsi="Times New Roman" w:eastAsia="宋体" w:cs="Times New Roman"/>
          <w:sz w:val="24"/>
          <w:szCs w:val="24"/>
        </w:rPr>
        <w:t>P (Population):</w:t>
      </w:r>
      <w:r>
        <w:rPr>
          <w:rFonts w:hint="default" w:ascii="Times New Roman" w:hAnsi="Times New Roman" w:eastAsia="宋体" w:cs="Times New Roman"/>
          <w:sz w:val="24"/>
          <w:szCs w:val="24"/>
        </w:rPr>
        <w:t> Skeletal muscle satellite stem</w:t>
      </w:r>
      <w:r>
        <w:rPr>
          <w:rFonts w:hint="default" w:ascii="Times New Roman" w:hAnsi="Times New Roman" w:eastAsia="宋体" w:cs="Times New Roman"/>
          <w:sz w:val="24"/>
          <w:szCs w:val="24"/>
        </w:rPr>
        <w:noBreakHyphen/>
      </w:r>
      <w:r>
        <w:rPr>
          <w:rFonts w:hint="default" w:ascii="Times New Roman" w:hAnsi="Times New Roman" w:eastAsia="宋体" w:cs="Times New Roman"/>
          <w:sz w:val="24"/>
          <w:szCs w:val="24"/>
        </w:rPr>
        <w:t>cell populations from young and aged mammalian (mouse and human) skeletal</w:t>
      </w:r>
      <w:r>
        <w:rPr>
          <w:rFonts w:hint="default" w:ascii="Times New Roman" w:hAnsi="Times New Roman" w:eastAsia="宋体" w:cs="Times New Roman"/>
          <w:sz w:val="24"/>
          <w:szCs w:val="24"/>
        </w:rPr>
        <w:noBreakHyphen/>
      </w:r>
      <w:r>
        <w:rPr>
          <w:rFonts w:hint="default" w:ascii="Times New Roman" w:hAnsi="Times New Roman" w:eastAsia="宋体" w:cs="Times New Roman"/>
          <w:sz w:val="24"/>
          <w:szCs w:val="24"/>
        </w:rPr>
        <w:t xml:space="preserve">muscle tissue. </w:t>
      </w:r>
    </w:p>
    <w:p w14:paraId="00EE1CCA">
      <w:pPr>
        <w:pStyle w:val="32"/>
        <w:numPr>
          <w:numId w:val="0"/>
        </w:numPr>
        <w:rPr>
          <w:rFonts w:hint="default" w:ascii="Times New Roman" w:hAnsi="Times New Roman" w:eastAsia="宋体" w:cs="Times New Roman"/>
          <w:sz w:val="24"/>
          <w:szCs w:val="24"/>
        </w:rPr>
      </w:pPr>
      <w:r>
        <w:rPr>
          <w:rStyle w:val="17"/>
          <w:rFonts w:hint="default" w:ascii="Times New Roman" w:hAnsi="Times New Roman" w:eastAsia="宋体" w:cs="Times New Roman"/>
          <w:sz w:val="24"/>
          <w:szCs w:val="24"/>
        </w:rPr>
        <w:t>E (Exposure):</w:t>
      </w:r>
      <w:r>
        <w:rPr>
          <w:rFonts w:hint="default" w:ascii="Times New Roman" w:hAnsi="Times New Roman" w:eastAsia="宋体" w:cs="Times New Roman"/>
          <w:sz w:val="24"/>
          <w:szCs w:val="24"/>
        </w:rPr>
        <w:t> Biological aging and age</w:t>
      </w:r>
      <w:r>
        <w:rPr>
          <w:rFonts w:hint="default" w:ascii="Times New Roman" w:hAnsi="Times New Roman" w:eastAsia="宋体" w:cs="Times New Roman"/>
          <w:sz w:val="24"/>
          <w:szCs w:val="24"/>
        </w:rPr>
        <w:noBreakHyphen/>
      </w:r>
      <w:r>
        <w:rPr>
          <w:rFonts w:hint="default" w:ascii="Times New Roman" w:hAnsi="Times New Roman" w:eastAsia="宋体" w:cs="Times New Roman"/>
          <w:sz w:val="24"/>
          <w:szCs w:val="24"/>
        </w:rPr>
        <w:t xml:space="preserve">associated intrinsic and extrinsic niche alterations acting on muscle satellite cells. </w:t>
      </w:r>
    </w:p>
    <w:p w14:paraId="1AAD7382">
      <w:pPr>
        <w:pStyle w:val="32"/>
        <w:numPr>
          <w:numId w:val="0"/>
        </w:numPr>
        <w:rPr>
          <w:rFonts w:hint="default" w:ascii="Times New Roman" w:hAnsi="Times New Roman" w:eastAsia="宋体" w:cs="Times New Roman"/>
          <w:sz w:val="24"/>
          <w:szCs w:val="24"/>
        </w:rPr>
      </w:pPr>
      <w:r>
        <w:rPr>
          <w:rStyle w:val="17"/>
          <w:rFonts w:hint="default" w:ascii="Times New Roman" w:hAnsi="Times New Roman" w:eastAsia="宋体" w:cs="Times New Roman"/>
          <w:sz w:val="24"/>
          <w:szCs w:val="24"/>
        </w:rPr>
        <w:t>C (Comparison):</w:t>
      </w:r>
      <w:r>
        <w:rPr>
          <w:rFonts w:hint="default" w:ascii="Times New Roman" w:hAnsi="Times New Roman" w:eastAsia="宋体" w:cs="Times New Roman"/>
          <w:sz w:val="24"/>
          <w:szCs w:val="24"/>
        </w:rPr>
        <w:t> Satellite</w:t>
      </w:r>
      <w:r>
        <w:rPr>
          <w:rFonts w:hint="default" w:ascii="Times New Roman" w:hAnsi="Times New Roman" w:eastAsia="宋体" w:cs="Times New Roman"/>
          <w:sz w:val="24"/>
          <w:szCs w:val="24"/>
        </w:rPr>
        <w:noBreakHyphen/>
      </w:r>
      <w:r>
        <w:rPr>
          <w:rFonts w:hint="default" w:ascii="Times New Roman" w:hAnsi="Times New Roman" w:eastAsia="宋体" w:cs="Times New Roman"/>
          <w:sz w:val="24"/>
          <w:szCs w:val="24"/>
        </w:rPr>
        <w:t>cell biology and muscle</w:t>
      </w:r>
      <w:r>
        <w:rPr>
          <w:rFonts w:hint="default" w:ascii="Times New Roman" w:hAnsi="Times New Roman" w:eastAsia="宋体" w:cs="Times New Roman"/>
          <w:sz w:val="24"/>
          <w:szCs w:val="24"/>
        </w:rPr>
        <w:noBreakHyphen/>
      </w:r>
      <w:r>
        <w:rPr>
          <w:rFonts w:hint="default" w:ascii="Times New Roman" w:hAnsi="Times New Roman" w:eastAsia="宋体" w:cs="Times New Roman"/>
          <w:sz w:val="24"/>
          <w:szCs w:val="24"/>
        </w:rPr>
        <w:t>regeneration outcomes in young versus aged skeletal</w:t>
      </w:r>
      <w:r>
        <w:rPr>
          <w:rFonts w:hint="default" w:ascii="Times New Roman" w:hAnsi="Times New Roman" w:eastAsia="宋体" w:cs="Times New Roman"/>
          <w:sz w:val="24"/>
          <w:szCs w:val="24"/>
        </w:rPr>
        <w:noBreakHyphen/>
      </w:r>
      <w:r>
        <w:rPr>
          <w:rFonts w:hint="default" w:ascii="Times New Roman" w:hAnsi="Times New Roman" w:eastAsia="宋体" w:cs="Times New Roman"/>
          <w:sz w:val="24"/>
          <w:szCs w:val="24"/>
        </w:rPr>
        <w:t xml:space="preserve">muscle systems. </w:t>
      </w:r>
    </w:p>
    <w:p w14:paraId="5DFCC354">
      <w:pPr>
        <w:pStyle w:val="32"/>
        <w:numPr>
          <w:numId w:val="0"/>
        </w:numPr>
        <w:rPr>
          <w:rFonts w:hint="default" w:ascii="Times New Roman" w:hAnsi="Times New Roman" w:eastAsia="宋体" w:cs="Times New Roman"/>
          <w:sz w:val="24"/>
          <w:szCs w:val="24"/>
        </w:rPr>
      </w:pPr>
      <w:r>
        <w:rPr>
          <w:rStyle w:val="17"/>
          <w:rFonts w:hint="default" w:ascii="Times New Roman" w:hAnsi="Times New Roman" w:eastAsia="宋体" w:cs="Times New Roman"/>
          <w:sz w:val="24"/>
          <w:szCs w:val="24"/>
        </w:rPr>
        <w:t>O (Outcome):</w:t>
      </w:r>
      <w:r>
        <w:rPr>
          <w:rFonts w:hint="default" w:ascii="Times New Roman" w:hAnsi="Times New Roman" w:eastAsia="宋体" w:cs="Times New Roman"/>
          <w:sz w:val="24"/>
          <w:szCs w:val="24"/>
        </w:rPr>
        <w:t> Mechanisms of age</w:t>
      </w:r>
      <w:r>
        <w:rPr>
          <w:rFonts w:hint="default" w:ascii="Times New Roman" w:hAnsi="Times New Roman" w:eastAsia="宋体" w:cs="Times New Roman"/>
          <w:sz w:val="24"/>
          <w:szCs w:val="24"/>
        </w:rPr>
        <w:noBreakHyphen/>
      </w:r>
      <w:r>
        <w:rPr>
          <w:rFonts w:hint="default" w:ascii="Times New Roman" w:hAnsi="Times New Roman" w:eastAsia="宋体" w:cs="Times New Roman"/>
          <w:sz w:val="24"/>
          <w:szCs w:val="24"/>
        </w:rPr>
        <w:t>dependent regenerative failure of skeletal muscle; molecular pathways driving satellite</w:t>
      </w:r>
      <w:r>
        <w:rPr>
          <w:rFonts w:hint="default" w:ascii="Times New Roman" w:hAnsi="Times New Roman" w:eastAsia="宋体" w:cs="Times New Roman"/>
          <w:sz w:val="24"/>
          <w:szCs w:val="24"/>
        </w:rPr>
        <w:noBreakHyphen/>
      </w:r>
      <w:r>
        <w:rPr>
          <w:rFonts w:hint="default" w:ascii="Times New Roman" w:hAnsi="Times New Roman" w:eastAsia="宋体" w:cs="Times New Roman"/>
          <w:sz w:val="24"/>
          <w:szCs w:val="24"/>
        </w:rPr>
        <w:t>cell dysfunction during aging.</w:t>
      </w:r>
    </w:p>
    <w:p w14:paraId="1C4E278B">
      <w:pPr>
        <w:pStyle w:val="32"/>
        <w:numPr>
          <w:numId w:val="0"/>
        </w:numPr>
        <w:rPr>
          <w:rFonts w:hint="default" w:ascii="Times New Roman" w:hAnsi="Times New Roman" w:eastAsia="宋体" w:cs="Times New Roman"/>
          <w:sz w:val="24"/>
          <w:szCs w:val="24"/>
          <w:lang w:val="en-US"/>
        </w:rPr>
      </w:pPr>
    </w:p>
    <w:p w14:paraId="74F701FF">
      <w:pPr>
        <w:pStyle w:val="32"/>
        <w:numPr>
          <w:ilvl w:val="1"/>
          <w:numId w:val="1"/>
        </w:numPr>
        <w:rPr>
          <w:rFonts w:ascii="Times New Roman" w:hAnsi="Times New Roman" w:cs="Times New Roman"/>
          <w:b/>
          <w:bCs/>
          <w:lang w:val="en-US"/>
        </w:rPr>
      </w:pPr>
      <w:r>
        <w:rPr>
          <w:rFonts w:ascii="Times New Roman" w:hAnsi="Times New Roman" w:cs="Times New Roman"/>
          <w:b/>
          <w:bCs/>
          <w:lang w:val="en-US"/>
        </w:rPr>
        <w:t>Question 2: What kind of dataset or data type these two papers use?</w:t>
      </w:r>
    </w:p>
    <w:p w14:paraId="63B8DDC9">
      <w:pPr>
        <w:pStyle w:val="32"/>
        <w:numPr>
          <w:numId w:val="0"/>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This is a narrative review paper. It synthesizes published multi</w:t>
      </w:r>
      <w:r>
        <w:rPr>
          <w:rFonts w:hint="default" w:ascii="Times New Roman" w:hAnsi="Times New Roman" w:eastAsia="宋体" w:cs="Times New Roman"/>
          <w:sz w:val="24"/>
          <w:szCs w:val="24"/>
        </w:rPr>
        <w:noBreakHyphen/>
      </w:r>
      <w:r>
        <w:rPr>
          <w:rFonts w:hint="default" w:ascii="Times New Roman" w:hAnsi="Times New Roman" w:eastAsia="宋体" w:cs="Times New Roman"/>
          <w:sz w:val="24"/>
          <w:szCs w:val="24"/>
        </w:rPr>
        <w:t xml:space="preserve">modal evidence from many existing studies: </w:t>
      </w:r>
    </w:p>
    <w:p w14:paraId="0AB8CA60">
      <w:pPr>
        <w:pStyle w:val="32"/>
        <w:numPr>
          <w:numId w:val="0"/>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 Published bulk RNA</w:t>
      </w:r>
      <w:r>
        <w:rPr>
          <w:rFonts w:hint="default" w:ascii="Times New Roman" w:hAnsi="Times New Roman" w:eastAsia="宋体" w:cs="Times New Roman"/>
          <w:sz w:val="24"/>
          <w:szCs w:val="24"/>
        </w:rPr>
        <w:noBreakHyphen/>
      </w:r>
      <w:r>
        <w:rPr>
          <w:rFonts w:hint="default" w:ascii="Times New Roman" w:hAnsi="Times New Roman" w:eastAsia="宋体" w:cs="Times New Roman"/>
          <w:sz w:val="24"/>
          <w:szCs w:val="24"/>
        </w:rPr>
        <w:t>seq, scRNA</w:t>
      </w:r>
      <w:r>
        <w:rPr>
          <w:rFonts w:hint="default" w:ascii="Times New Roman" w:hAnsi="Times New Roman" w:eastAsia="宋体" w:cs="Times New Roman"/>
          <w:sz w:val="24"/>
          <w:szCs w:val="24"/>
        </w:rPr>
        <w:noBreakHyphen/>
      </w:r>
      <w:r>
        <w:rPr>
          <w:rFonts w:hint="default" w:ascii="Times New Roman" w:hAnsi="Times New Roman" w:eastAsia="宋体" w:cs="Times New Roman"/>
          <w:sz w:val="24"/>
          <w:szCs w:val="24"/>
        </w:rPr>
        <w:t xml:space="preserve">seq data of young and aged satellite cells from mouse and human muscle. </w:t>
      </w:r>
    </w:p>
    <w:p w14:paraId="62B05650">
      <w:pPr>
        <w:pStyle w:val="32"/>
        <w:numPr>
          <w:numId w:val="0"/>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 In</w:t>
      </w:r>
      <w:r>
        <w:rPr>
          <w:rFonts w:hint="default" w:ascii="Times New Roman" w:hAnsi="Times New Roman" w:eastAsia="宋体" w:cs="Times New Roman"/>
          <w:sz w:val="24"/>
          <w:szCs w:val="24"/>
        </w:rPr>
        <w:noBreakHyphen/>
      </w:r>
      <w:r>
        <w:rPr>
          <w:rFonts w:hint="default" w:ascii="Times New Roman" w:hAnsi="Times New Roman" w:eastAsia="宋体" w:cs="Times New Roman"/>
          <w:sz w:val="24"/>
          <w:szCs w:val="24"/>
        </w:rPr>
        <w:t>vivo functional experimental datasets: muscle</w:t>
      </w:r>
      <w:r>
        <w:rPr>
          <w:rFonts w:hint="default" w:ascii="Times New Roman" w:hAnsi="Times New Roman" w:eastAsia="宋体" w:cs="Times New Roman"/>
          <w:sz w:val="24"/>
          <w:szCs w:val="24"/>
        </w:rPr>
        <w:noBreakHyphen/>
      </w:r>
      <w:r>
        <w:rPr>
          <w:rFonts w:hint="default" w:ascii="Times New Roman" w:hAnsi="Times New Roman" w:eastAsia="宋体" w:cs="Times New Roman"/>
          <w:sz w:val="24"/>
          <w:szCs w:val="24"/>
        </w:rPr>
        <w:t>injury regeneration assays, satellite</w:t>
      </w:r>
      <w:r>
        <w:rPr>
          <w:rFonts w:hint="default" w:ascii="Times New Roman" w:hAnsi="Times New Roman" w:eastAsia="宋体" w:cs="Times New Roman"/>
          <w:sz w:val="24"/>
          <w:szCs w:val="24"/>
        </w:rPr>
        <w:noBreakHyphen/>
      </w:r>
      <w:r>
        <w:rPr>
          <w:rFonts w:hint="default" w:ascii="Times New Roman" w:hAnsi="Times New Roman" w:eastAsia="宋体" w:cs="Times New Roman"/>
          <w:sz w:val="24"/>
          <w:szCs w:val="24"/>
        </w:rPr>
        <w:t>cell transplantation assays, niche modification experiments.</w:t>
      </w:r>
    </w:p>
    <w:p w14:paraId="1D93DDB0">
      <w:pPr>
        <w:pStyle w:val="32"/>
        <w:numPr>
          <w:numId w:val="0"/>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 Histological datasets: muscle histology, immunofluorescence staining for satellite</w:t>
      </w:r>
      <w:r>
        <w:rPr>
          <w:rFonts w:hint="default" w:ascii="Times New Roman" w:hAnsi="Times New Roman" w:eastAsia="宋体" w:cs="Times New Roman"/>
          <w:sz w:val="24"/>
          <w:szCs w:val="24"/>
        </w:rPr>
        <w:noBreakHyphen/>
      </w:r>
      <w:r>
        <w:rPr>
          <w:rFonts w:hint="default" w:ascii="Times New Roman" w:hAnsi="Times New Roman" w:eastAsia="宋体" w:cs="Times New Roman"/>
          <w:sz w:val="24"/>
          <w:szCs w:val="24"/>
        </w:rPr>
        <w:t>cell markers and regenerative myofibers.</w:t>
      </w:r>
    </w:p>
    <w:p w14:paraId="7268042A">
      <w:pPr>
        <w:pStyle w:val="32"/>
        <w:numPr>
          <w:numId w:val="0"/>
        </w:numPr>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 Previously published genetic perturbation experimental results. No original raw sequencing dataset was generated by this review itself.</w:t>
      </w:r>
    </w:p>
    <w:p w14:paraId="23472B5A">
      <w:pPr>
        <w:pStyle w:val="32"/>
        <w:numPr>
          <w:numId w:val="0"/>
        </w:numPr>
        <w:rPr>
          <w:rFonts w:hint="default" w:ascii="Times New Roman" w:hAnsi="Times New Roman" w:eastAsia="宋体" w:cs="Times New Roman"/>
          <w:sz w:val="24"/>
          <w:szCs w:val="24"/>
          <w:lang w:val="en-US"/>
        </w:rPr>
      </w:pPr>
    </w:p>
    <w:p w14:paraId="7FE25AF4">
      <w:pPr>
        <w:pStyle w:val="32"/>
        <w:numPr>
          <w:ilvl w:val="1"/>
          <w:numId w:val="1"/>
        </w:numPr>
        <w:rPr>
          <w:rFonts w:ascii="Times New Roman" w:hAnsi="Times New Roman" w:cs="Times New Roman"/>
          <w:b/>
          <w:bCs/>
          <w:lang w:val="en-US"/>
        </w:rPr>
      </w:pPr>
      <w:r>
        <w:rPr>
          <w:rFonts w:ascii="Times New Roman" w:hAnsi="Times New Roman" w:cs="Times New Roman"/>
          <w:b/>
          <w:bCs/>
          <w:lang w:val="en-US"/>
        </w:rPr>
        <w:t>Question 3: What is the hypothesis of these two research?</w:t>
      </w:r>
    </w:p>
    <w:p w14:paraId="698836A1">
      <w:pPr>
        <w:pStyle w:val="32"/>
        <w:ind w:left="0" w:leftChars="0" w:firstLine="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Core integrated hypothesis synthesized across existing literature:</w:t>
      </w:r>
    </w:p>
    <w:p w14:paraId="0C1DF2BC">
      <w:pPr>
        <w:pStyle w:val="32"/>
        <w:numPr>
          <w:ilvl w:val="0"/>
          <w:numId w:val="7"/>
        </w:numPr>
        <w:ind w:left="0" w:leftChars="0" w:firstLine="0" w:firstLineChars="0"/>
        <w:rPr>
          <w:rFonts w:hint="default" w:ascii="Times New Roman" w:hAnsi="Times New Roman" w:eastAsia="宋体" w:cs="Times New Roman"/>
          <w:sz w:val="24"/>
          <w:szCs w:val="24"/>
        </w:rPr>
      </w:pPr>
      <w:r>
        <w:rPr>
          <w:rFonts w:hint="default" w:ascii="Times New Roman" w:hAnsi="Times New Roman" w:eastAsia="宋体" w:cs="Times New Roman"/>
          <w:sz w:val="24"/>
          <w:szCs w:val="24"/>
        </w:rPr>
        <w:t> Age</w:t>
      </w:r>
      <w:r>
        <w:rPr>
          <w:rFonts w:hint="default" w:ascii="Times New Roman" w:hAnsi="Times New Roman" w:eastAsia="宋体" w:cs="Times New Roman"/>
          <w:sz w:val="24"/>
          <w:szCs w:val="24"/>
        </w:rPr>
        <w:noBreakHyphen/>
      </w:r>
      <w:r>
        <w:rPr>
          <w:rFonts w:hint="default" w:ascii="Times New Roman" w:hAnsi="Times New Roman" w:eastAsia="宋体" w:cs="Times New Roman"/>
          <w:sz w:val="24"/>
          <w:szCs w:val="24"/>
        </w:rPr>
        <w:t>related loss of skeletal</w:t>
      </w:r>
      <w:r>
        <w:rPr>
          <w:rFonts w:hint="default" w:ascii="Times New Roman" w:hAnsi="Times New Roman" w:eastAsia="宋体" w:cs="Times New Roman"/>
          <w:sz w:val="24"/>
          <w:szCs w:val="24"/>
        </w:rPr>
        <w:noBreakHyphen/>
      </w:r>
      <w:r>
        <w:rPr>
          <w:rFonts w:hint="default" w:ascii="Times New Roman" w:hAnsi="Times New Roman" w:eastAsia="宋体" w:cs="Times New Roman"/>
          <w:sz w:val="24"/>
          <w:szCs w:val="24"/>
        </w:rPr>
        <w:t>muscle regenerative capacity is primarily driven by functional exhaustion of satellite stem cells; both intrinsic transcriptomic alterations and aged local niche signals jointly suppress satellite</w:t>
      </w:r>
      <w:r>
        <w:rPr>
          <w:rFonts w:hint="default" w:ascii="Times New Roman" w:hAnsi="Times New Roman" w:eastAsia="宋体" w:cs="Times New Roman"/>
          <w:sz w:val="24"/>
          <w:szCs w:val="24"/>
        </w:rPr>
        <w:noBreakHyphen/>
      </w:r>
      <w:r>
        <w:rPr>
          <w:rFonts w:hint="default" w:ascii="Times New Roman" w:hAnsi="Times New Roman" w:eastAsia="宋体" w:cs="Times New Roman"/>
          <w:sz w:val="24"/>
          <w:szCs w:val="24"/>
        </w:rPr>
        <w:t>cell activation, proliferation and myogenic differentiation after muscle injury.</w:t>
      </w:r>
    </w:p>
    <w:p w14:paraId="3F7E5258">
      <w:pPr>
        <w:pStyle w:val="32"/>
        <w:numPr>
          <w:ilvl w:val="0"/>
          <w:numId w:val="7"/>
        </w:numPr>
        <w:ind w:left="0" w:leftChars="0" w:firstLine="0" w:firstLineChars="0"/>
        <w:rPr>
          <w:rFonts w:hint="default" w:ascii="Times New Roman" w:hAnsi="Times New Roman" w:cs="Times New Roman"/>
          <w:lang w:val="en-US"/>
        </w:rPr>
      </w:pPr>
      <w:r>
        <w:rPr>
          <w:rFonts w:hint="default" w:ascii="Times New Roman" w:hAnsi="Times New Roman" w:eastAsia="宋体" w:cs="Times New Roman"/>
          <w:sz w:val="24"/>
          <w:szCs w:val="24"/>
        </w:rPr>
        <w:t> Restoring youthful satellite</w:t>
      </w:r>
      <w:r>
        <w:rPr>
          <w:rFonts w:hint="default" w:ascii="Times New Roman" w:hAnsi="Times New Roman" w:eastAsia="宋体" w:cs="Times New Roman"/>
          <w:sz w:val="24"/>
          <w:szCs w:val="24"/>
        </w:rPr>
        <w:noBreakHyphen/>
      </w:r>
      <w:r>
        <w:rPr>
          <w:rFonts w:hint="default" w:ascii="Times New Roman" w:hAnsi="Times New Roman" w:eastAsia="宋体" w:cs="Times New Roman"/>
          <w:sz w:val="24"/>
          <w:szCs w:val="24"/>
        </w:rPr>
        <w:t>cell function (by reversing intrinsic aging signatures or remodelling aged niche environment) can rescue impaired muscle regeneration in aged mammals. This review assembles evidence to evaluate these hypotheses rather than testing them via new original experiments.</w:t>
      </w:r>
    </w:p>
    <w:p w14:paraId="6C589650">
      <w:pPr>
        <w:rPr>
          <w:rFonts w:ascii="Times New Roman" w:hAnsi="Times New Roman" w:cs="Times New Roman"/>
          <w:lang w:val="en-US"/>
        </w:rPr>
      </w:pPr>
    </w:p>
    <w:p w14:paraId="47363888">
      <w:pPr>
        <w:rPr>
          <w:rFonts w:ascii="Times New Roman" w:hAnsi="Times New Roman" w:cs="Times New Roman"/>
          <w:lang w:val="en-US"/>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DF938F"/>
    <w:multiLevelType w:val="multilevel"/>
    <w:tmpl w:val="A3DF938F"/>
    <w:lvl w:ilvl="0" w:tentative="0">
      <w:start w:val="1"/>
      <w:numFmt w:val="decimal"/>
      <w:lvlText w:val="%1."/>
      <w:lvlJc w:val="left"/>
      <w:pPr>
        <w:tabs>
          <w:tab w:val="left" w:pos="720"/>
        </w:tabs>
        <w:ind w:left="720" w:hanging="360"/>
      </w:pPr>
      <w:rPr>
        <w:sz w:val="24"/>
        <w:szCs w:val="24"/>
      </w:rPr>
    </w:lvl>
    <w:lvl w:ilvl="1" w:tentative="0">
      <w:start w:val="1"/>
      <w:numFmt w:val="bullet"/>
      <w:lvlText w:val=""/>
      <w:lvlJc w:val="left"/>
      <w:pPr>
        <w:tabs>
          <w:tab w:val="left" w:pos="1440"/>
        </w:tabs>
        <w:ind w:left="1440" w:hanging="360"/>
      </w:pPr>
      <w:rPr>
        <w:rFonts w:ascii="Symbol" w:hAnsi="Symbol" w:cs="Symbol"/>
        <w:sz w:val="20"/>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BC5F71F"/>
    <w:multiLevelType w:val="multilevel"/>
    <w:tmpl w:val="EBC5F71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BD21B55"/>
    <w:multiLevelType w:val="multilevel"/>
    <w:tmpl w:val="EBD21B5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12893EB9"/>
    <w:multiLevelType w:val="multilevel"/>
    <w:tmpl w:val="12893EB9"/>
    <w:lvl w:ilvl="0" w:tentative="0">
      <w:start w:val="1"/>
      <w:numFmt w:val="decimal"/>
      <w:lvlText w:val="%1."/>
      <w:lvlJc w:val="left"/>
      <w:pPr>
        <w:ind w:left="360" w:hanging="360"/>
      </w:pPr>
      <w:rPr>
        <w:rFonts w:hint="default"/>
      </w:rPr>
    </w:lvl>
    <w:lvl w:ilvl="1" w:tentative="0">
      <w:start w:val="1"/>
      <w:numFmt w:val="lowerLetter"/>
      <w:lvlText w:val="%2."/>
      <w:lvlJc w:val="left"/>
      <w:pPr>
        <w:ind w:left="1080" w:hanging="360"/>
      </w:pPr>
    </w:lvl>
    <w:lvl w:ilvl="2" w:tentative="0">
      <w:start w:val="1"/>
      <w:numFmt w:val="lowerRoman"/>
      <w:lvlText w:val="%3."/>
      <w:lvlJc w:val="right"/>
      <w:pPr>
        <w:ind w:left="1800" w:hanging="180"/>
      </w:pPr>
    </w:lvl>
    <w:lvl w:ilvl="3" w:tentative="0">
      <w:start w:val="1"/>
      <w:numFmt w:val="decimal"/>
      <w:lvlText w:val="%4."/>
      <w:lvlJc w:val="left"/>
      <w:pPr>
        <w:ind w:left="2520" w:hanging="360"/>
      </w:pPr>
    </w:lvl>
    <w:lvl w:ilvl="4" w:tentative="0">
      <w:start w:val="1"/>
      <w:numFmt w:val="lowerLetter"/>
      <w:lvlText w:val="%5."/>
      <w:lvlJc w:val="left"/>
      <w:pPr>
        <w:ind w:left="3240" w:hanging="360"/>
      </w:pPr>
    </w:lvl>
    <w:lvl w:ilvl="5" w:tentative="0">
      <w:start w:val="1"/>
      <w:numFmt w:val="lowerRoman"/>
      <w:lvlText w:val="%6."/>
      <w:lvlJc w:val="right"/>
      <w:pPr>
        <w:ind w:left="3960" w:hanging="180"/>
      </w:pPr>
    </w:lvl>
    <w:lvl w:ilvl="6" w:tentative="0">
      <w:start w:val="1"/>
      <w:numFmt w:val="decimal"/>
      <w:lvlText w:val="%7."/>
      <w:lvlJc w:val="left"/>
      <w:pPr>
        <w:ind w:left="4680" w:hanging="360"/>
      </w:pPr>
    </w:lvl>
    <w:lvl w:ilvl="7" w:tentative="0">
      <w:start w:val="1"/>
      <w:numFmt w:val="lowerLetter"/>
      <w:lvlText w:val="%8."/>
      <w:lvlJc w:val="left"/>
      <w:pPr>
        <w:ind w:left="5400" w:hanging="360"/>
      </w:pPr>
    </w:lvl>
    <w:lvl w:ilvl="8" w:tentative="0">
      <w:start w:val="1"/>
      <w:numFmt w:val="lowerRoman"/>
      <w:lvlText w:val="%9."/>
      <w:lvlJc w:val="right"/>
      <w:pPr>
        <w:ind w:left="6120" w:hanging="180"/>
      </w:pPr>
    </w:lvl>
  </w:abstractNum>
  <w:abstractNum w:abstractNumId="4">
    <w:nsid w:val="2B762C78"/>
    <w:multiLevelType w:val="singleLevel"/>
    <w:tmpl w:val="2B762C78"/>
    <w:lvl w:ilvl="0" w:tentative="0">
      <w:start w:val="1"/>
      <w:numFmt w:val="decimal"/>
      <w:lvlText w:val="%1."/>
      <w:lvlJc w:val="left"/>
      <w:pPr>
        <w:tabs>
          <w:tab w:val="left" w:pos="312"/>
        </w:tabs>
      </w:pPr>
    </w:lvl>
  </w:abstractNum>
  <w:abstractNum w:abstractNumId="5">
    <w:nsid w:val="47C85626"/>
    <w:multiLevelType w:val="multilevel"/>
    <w:tmpl w:val="47C8562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57C13D04"/>
    <w:multiLevelType w:val="multilevel"/>
    <w:tmpl w:val="57C13D04"/>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6"/>
  </w:num>
  <w:num w:numId="3">
    <w:abstractNumId w:val="2"/>
  </w:num>
  <w:num w:numId="4">
    <w:abstractNumId w:val="0"/>
  </w:num>
  <w:num w:numId="5">
    <w:abstractNumId w:val="1"/>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0E73"/>
    <w:rsid w:val="0040633A"/>
    <w:rsid w:val="00651052"/>
    <w:rsid w:val="00680E65"/>
    <w:rsid w:val="00880E73"/>
    <w:rsid w:val="008C5ACE"/>
    <w:rsid w:val="00F917DF"/>
    <w:rsid w:val="03E5572D"/>
    <w:rsid w:val="66552634"/>
    <w:rsid w:val="6A0B2F3B"/>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zh-CN" w:eastAsia="zh-CN" w:bidi="ar-SA"/>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11">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paragraph" w:styleId="13">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table" w:styleId="15">
    <w:name w:val="Table Grid"/>
    <w:basedOn w:val="14"/>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Strong"/>
    <w:basedOn w:val="16"/>
    <w:qFormat/>
    <w:uiPriority w:val="22"/>
    <w:rPr>
      <w:b/>
    </w:rPr>
  </w:style>
  <w:style w:type="character" w:styleId="18">
    <w:name w:val="Emphasis"/>
    <w:basedOn w:val="16"/>
    <w:qFormat/>
    <w:uiPriority w:val="20"/>
    <w:rPr>
      <w:i/>
    </w:rPr>
  </w:style>
  <w:style w:type="character" w:customStyle="1" w:styleId="19">
    <w:name w:val="Heading 1 Char"/>
    <w:basedOn w:val="16"/>
    <w:link w:val="2"/>
    <w:qFormat/>
    <w:uiPriority w:val="9"/>
    <w:rPr>
      <w:rFonts w:asciiTheme="majorHAnsi" w:hAnsiTheme="majorHAnsi" w:eastAsiaTheme="majorEastAsia" w:cstheme="majorBidi"/>
      <w:color w:val="2F5597" w:themeColor="accent1" w:themeShade="BF"/>
      <w:sz w:val="40"/>
      <w:szCs w:val="40"/>
    </w:rPr>
  </w:style>
  <w:style w:type="character" w:customStyle="1" w:styleId="20">
    <w:name w:val="Heading 2 Char"/>
    <w:basedOn w:val="16"/>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1">
    <w:name w:val="Heading 3 Char"/>
    <w:basedOn w:val="16"/>
    <w:link w:val="4"/>
    <w:semiHidden/>
    <w:qFormat/>
    <w:uiPriority w:val="9"/>
    <w:rPr>
      <w:rFonts w:eastAsiaTheme="majorEastAsia" w:cstheme="majorBidi"/>
      <w:color w:val="2F5597" w:themeColor="accent1" w:themeShade="BF"/>
      <w:sz w:val="28"/>
      <w:szCs w:val="28"/>
    </w:rPr>
  </w:style>
  <w:style w:type="character" w:customStyle="1" w:styleId="22">
    <w:name w:val="Heading 4 Char"/>
    <w:basedOn w:val="16"/>
    <w:link w:val="5"/>
    <w:semiHidden/>
    <w:qFormat/>
    <w:uiPriority w:val="9"/>
    <w:rPr>
      <w:rFonts w:eastAsiaTheme="majorEastAsia" w:cstheme="majorBidi"/>
      <w:i/>
      <w:iCs/>
      <w:color w:val="2F5597" w:themeColor="accent1" w:themeShade="BF"/>
    </w:rPr>
  </w:style>
  <w:style w:type="character" w:customStyle="1" w:styleId="23">
    <w:name w:val="Heading 5 Char"/>
    <w:basedOn w:val="16"/>
    <w:link w:val="6"/>
    <w:semiHidden/>
    <w:qFormat/>
    <w:uiPriority w:val="9"/>
    <w:rPr>
      <w:rFonts w:eastAsiaTheme="majorEastAsia" w:cstheme="majorBidi"/>
      <w:color w:val="2F5597" w:themeColor="accent1" w:themeShade="BF"/>
    </w:rPr>
  </w:style>
  <w:style w:type="character" w:customStyle="1" w:styleId="24">
    <w:name w:val="Heading 6 Char"/>
    <w:basedOn w:val="16"/>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6"/>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6"/>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6"/>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6"/>
    <w:link w:val="13"/>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6"/>
    <w:link w:val="1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6"/>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6"/>
    <w:qFormat/>
    <w:uiPriority w:val="21"/>
    <w:rPr>
      <w:i/>
      <w:iCs/>
      <w:color w:val="2F5597" w:themeColor="accent1" w:themeShade="BF"/>
    </w:rPr>
  </w:style>
  <w:style w:type="paragraph" w:styleId="34">
    <w:name w:val="Intense Quote"/>
    <w:basedOn w:val="1"/>
    <w:next w:val="1"/>
    <w:link w:val="35"/>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5">
    <w:name w:val="Intense Quote Char"/>
    <w:basedOn w:val="16"/>
    <w:link w:val="34"/>
    <w:qFormat/>
    <w:uiPriority w:val="30"/>
    <w:rPr>
      <w:i/>
      <w:iCs/>
      <w:color w:val="2F5597" w:themeColor="accent1" w:themeShade="BF"/>
    </w:rPr>
  </w:style>
  <w:style w:type="character" w:customStyle="1" w:styleId="36">
    <w:name w:val="Intense Reference"/>
    <w:basedOn w:val="16"/>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837</Words>
  <Characters>4936</Characters>
  <Lines>7</Lines>
  <Paragraphs>2</Paragraphs>
  <TotalTime>49</TotalTime>
  <ScaleCrop>false</ScaleCrop>
  <LinksUpToDate>false</LinksUpToDate>
  <CharactersWithSpaces>5730</CharactersWithSpaces>
  <Application>WPS Office_12.1.0.19770_F1E327BC-269C-435d-A152-05C5408002CA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2026-08-22T08:22:00Z</dcterms:created>
  <dc:creator>mac</dc:creator>
  <cp:lastModifiedBy>抽踢紫</cp:lastModifiedBy>
  <dcterms:modified xsi:type="dcterms:W3CDTF">2026-09-04T15:04:38Z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eyJoZGlkIjoiMmRmNjYwNWIyMDFjY2QzNDI1NTM5NmJjNWRiOWVmY2YiLCJ1c2VySWQiOiIxNjE1MDY0OTY4In0=</vt:lpwstr>
  </property>
  <property fmtid="{D5CDD505-2E9C-101B-9397-08002B2CF9AE}" pid="3" name="KSOProductBuildVer">
    <vt:lpwstr>2052-12.1.0.19770</vt:lpwstr>
  </property>
  <property fmtid="{D5CDD505-2E9C-101B-9397-08002B2CF9AE}" pid="4" name="ICV">
    <vt:lpwstr>1C30553D28074586A6F503E563B4C851_12</vt:lpwstr>
  </property>
</Properties>
</file>