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56308">
      <w:pPr>
        <w:spacing w:after="200"/>
        <w:jc w:val="center"/>
      </w:pPr>
      <w:r>
        <w:rPr>
          <w:rFonts w:ascii="Times New Roman" w:hAnsi="Times New Roman" w:eastAsia="微软雅黑"/>
          <w:b/>
          <w:color w:val="1F4E79"/>
          <w:sz w:val="38"/>
        </w:rPr>
        <w:t>第七周</w:t>
      </w:r>
      <w:r>
        <w:rPr>
          <w:rFonts w:hint="eastAsia"/>
          <w:b/>
          <w:color w:val="1F4E79"/>
          <w:sz w:val="38"/>
          <w:lang w:val="en-US" w:eastAsia="zh-CN"/>
        </w:rPr>
        <w:t>郑烁曈</w:t>
      </w:r>
      <w:r>
        <w:rPr>
          <w:rFonts w:ascii="Times New Roman" w:hAnsi="Times New Roman" w:eastAsia="微软雅黑"/>
          <w:b/>
          <w:color w:val="1F4E79"/>
          <w:sz w:val="38"/>
        </w:rPr>
        <w:t>小组项目进展报告</w:t>
      </w:r>
    </w:p>
    <w:p w14:paraId="7B24F93C">
      <w:r>
        <w:rPr>
          <w:rFonts w:ascii="Times New Roman" w:hAnsi="Times New Roman" w:eastAsia="微软雅黑"/>
          <w:b/>
        </w:rPr>
        <w:t>研究主题</w:t>
      </w:r>
      <w:r>
        <w:rPr>
          <w:rFonts w:ascii="Times New Roman" w:hAnsi="Times New Roman" w:eastAsia="微软雅黑"/>
        </w:rPr>
        <w:t>:小鼠毛囊中 miRNA–靶基因调控网络与毛周期转换的整合分析</w:t>
      </w:r>
    </w:p>
    <w:p w14:paraId="68258B2C">
      <w:r>
        <w:rPr>
          <w:rFonts w:ascii="Times New Roman" w:hAnsi="Times New Roman" w:eastAsia="微软雅黑"/>
          <w:b/>
        </w:rPr>
        <w:t>报告日期</w:t>
      </w:r>
      <w:r>
        <w:rPr>
          <w:rFonts w:ascii="Times New Roman" w:hAnsi="Times New Roman" w:eastAsia="微软雅黑"/>
        </w:rPr>
        <w:t>:2026 年 10 月 11 日</w:t>
      </w:r>
    </w:p>
    <w:p w14:paraId="04F743D3">
      <w:pPr>
        <w:pStyle w:val="3"/>
      </w:pPr>
      <w:r>
        <w:t>一、Research Topic(研究主题)</w:t>
      </w:r>
    </w:p>
    <w:p w14:paraId="0C05B526">
      <w:pPr>
        <w:pStyle w:val="4"/>
      </w:pPr>
      <w:r>
        <w:t>1.1 研究背景</w:t>
      </w:r>
    </w:p>
    <w:p w14:paraId="52A9A927">
      <w:r>
        <w:rPr>
          <w:rFonts w:ascii="Times New Roman" w:hAnsi="Times New Roman" w:eastAsia="微软雅黑"/>
        </w:rPr>
        <w:t>毛囊(hair follicle)是皮肤中少数具有</w:t>
      </w:r>
      <w:r>
        <w:rPr>
          <w:rFonts w:ascii="Times New Roman" w:hAnsi="Times New Roman" w:eastAsia="微软雅黑"/>
          <w:b/>
        </w:rPr>
        <w:t>明确生命周期</w:t>
      </w:r>
      <w:r>
        <w:rPr>
          <w:rFonts w:ascii="Times New Roman" w:hAnsi="Times New Roman" w:eastAsia="微软雅黑"/>
        </w:rPr>
        <w:t>的组织,依次经历生长期(anagen)、退行期(catagen)、休止期(telogen)与脱落期(exogen)。毛囊由</w:t>
      </w:r>
      <w:r>
        <w:rPr>
          <w:rFonts w:ascii="Times New Roman" w:hAnsi="Times New Roman" w:eastAsia="微软雅黑"/>
          <w:b/>
        </w:rPr>
        <w:t>真皮乳头细胞(Dermal Papilla, DP)</w:t>
      </w:r>
      <w:r>
        <w:rPr>
          <w:rFonts w:ascii="Times New Roman" w:hAnsi="Times New Roman" w:eastAsia="微软雅黑"/>
        </w:rPr>
        <w:t>作为指挥中心,向毛囊干细胞(Hair Follicle Stem Cell, HFSC)发出信号,决定毛发生长的启动与终止。这一转换在临床上对应毛发脱落与再生,而</w:t>
      </w:r>
      <w:r>
        <w:rPr>
          <w:rFonts w:ascii="Times New Roman" w:hAnsi="Times New Roman" w:eastAsia="微软雅黑"/>
          <w:b/>
        </w:rPr>
        <w:t>雄激素性脱发 (androgenetic alopecia, AGA)</w:t>
      </w:r>
      <w:r>
        <w:rPr>
          <w:rFonts w:ascii="Times New Roman" w:hAnsi="Times New Roman" w:eastAsia="微软雅黑"/>
        </w:rPr>
        <w:t xml:space="preserve"> 等病理状态正源于该调控网络的失衡。</w:t>
      </w:r>
    </w:p>
    <w:p w14:paraId="52125B86">
      <w:r>
        <w:rPr>
          <w:rFonts w:ascii="Times New Roman" w:hAnsi="Times New Roman" w:eastAsia="微软雅黑"/>
        </w:rPr>
        <w:t>miRNA 是一类长约 22 nt 的内源性非编码 RNA,通过结合靶 mRNA 的 3′UTR 抑制其翻译或诱导其降解,是基因表达的</w:t>
      </w:r>
      <w:r>
        <w:rPr>
          <w:rFonts w:ascii="Times New Roman" w:hAnsi="Times New Roman" w:eastAsia="微软雅黑"/>
          <w:b/>
        </w:rPr>
        <w:t>内源性"刹车"</w:t>
      </w:r>
      <w:r>
        <w:rPr>
          <w:rFonts w:ascii="Times New Roman" w:hAnsi="Times New Roman" w:eastAsia="微软雅黑"/>
        </w:rPr>
        <w:t>。单个 miRNA 通常只能微调少数基因(一般 &lt;200 个预测靶基因),而</w:t>
      </w:r>
      <w:r>
        <w:rPr>
          <w:rFonts w:ascii="Times New Roman" w:hAnsi="Times New Roman" w:eastAsia="微软雅黑"/>
          <w:b/>
        </w:rPr>
        <w:t>多个 miRNA 对同一批靶基因的协同靶向(靶基因谱重叠)</w:t>
      </w:r>
      <w:r>
        <w:rPr>
          <w:rFonts w:ascii="Times New Roman" w:hAnsi="Times New Roman" w:eastAsia="微软雅黑"/>
        </w:rPr>
        <w:t>被认为能产生量变到质变的调控效果。</w:t>
      </w:r>
    </w:p>
    <w:p w14:paraId="22681C24">
      <w:r>
        <w:rPr>
          <w:rFonts w:ascii="Times New Roman" w:hAnsi="Times New Roman" w:eastAsia="微软雅黑"/>
        </w:rPr>
        <w:t>然而,现有毛囊 miRNA 研究</w:t>
      </w:r>
      <w:r>
        <w:rPr>
          <w:rFonts w:ascii="Times New Roman" w:hAnsi="Times New Roman" w:eastAsia="微软雅黑"/>
          <w:b/>
        </w:rPr>
        <w:t>几乎全部是"单 miRNA"模式</w:t>
      </w:r>
      <w:r>
        <w:rPr>
          <w:rFonts w:ascii="Times New Roman" w:hAnsi="Times New Roman" w:eastAsia="微软雅黑"/>
        </w:rPr>
        <w:t>——分别研究 miR-214、miR-128、miR-21 各自的作用,</w:t>
      </w:r>
      <w:r>
        <w:rPr>
          <w:rFonts w:ascii="Times New Roman" w:hAnsi="Times New Roman" w:eastAsia="微软雅黑"/>
          <w:b/>
        </w:rPr>
        <w:t>尚无研究系统评估这些 miRNA 的预测靶基因谱在毛周期转换过程中与差异表达基因的重叠程度及其对 Wnt 通路核心节点的覆盖能力</w:t>
      </w:r>
      <w:r>
        <w:rPr>
          <w:rFonts w:ascii="Times New Roman" w:hAnsi="Times New Roman" w:eastAsia="微软雅黑"/>
        </w:rPr>
        <w:t>。这正是本项目拟填补的方法学空白。</w:t>
      </w:r>
    </w:p>
    <w:p w14:paraId="64293C23">
      <w:pPr>
        <w:pStyle w:val="4"/>
      </w:pPr>
      <w:r>
        <w:t>1.2 研究主题陈述</w:t>
      </w:r>
    </w:p>
    <w:p w14:paraId="09A2699F">
      <w:pPr>
        <w:ind w:left="340"/>
      </w:pPr>
      <w:r>
        <w:rPr>
          <w:rFonts w:ascii="Times New Roman" w:hAnsi="Times New Roman" w:eastAsia="微软雅黑"/>
          <w:b/>
          <w:i/>
          <w:sz w:val="19"/>
        </w:rPr>
        <w:t>本研究拟整合公开小鼠毛囊数据,构建并量化"毛周期转换差异基因 – miRNA 预测靶基因"的双层重叠网络,识别共同驱动毛囊由休止期向生长期转换的 miRNA 调控组合,并提出可检验的机制假说。</w:t>
      </w:r>
    </w:p>
    <w:p w14:paraId="1D006F6B">
      <w:pPr>
        <w:pStyle w:val="3"/>
      </w:pPr>
      <w:r>
        <w:t>二、Hypothesis(研究假设)</w:t>
      </w:r>
    </w:p>
    <w:p w14:paraId="0FD46672">
      <w:pPr>
        <w:pStyle w:val="4"/>
      </w:pPr>
      <w:r>
        <w:t>2.1 核心假设</w:t>
      </w:r>
    </w:p>
    <w:p w14:paraId="237F6C8C">
      <w:pPr>
        <w:ind w:left="340"/>
      </w:pPr>
      <w:r>
        <w:rPr>
          <w:rFonts w:ascii="Times New Roman" w:hAnsi="Times New Roman" w:eastAsia="微软雅黑"/>
          <w:b/>
          <w:i/>
          <w:sz w:val="19"/>
        </w:rPr>
        <w:t>H1(主假设)</w:t>
      </w:r>
      <w:r>
        <w:rPr>
          <w:rFonts w:ascii="Times New Roman" w:hAnsi="Times New Roman" w:eastAsia="微软雅黑"/>
          <w:i/>
          <w:sz w:val="19"/>
        </w:rPr>
        <w:t>:毛囊由休止期向生长期的转换,并非由单个 miRNA 独立驱动,而是由</w:t>
      </w:r>
      <w:r>
        <w:rPr>
          <w:rFonts w:ascii="Times New Roman" w:hAnsi="Times New Roman" w:eastAsia="微软雅黑"/>
          <w:b/>
          <w:i/>
          <w:sz w:val="19"/>
        </w:rPr>
        <w:t>一组 miRNA 通过共同靶向 Wnt 通路核心节点形成的协调开关网络</w:t>
      </w:r>
      <w:r>
        <w:rPr>
          <w:rFonts w:ascii="Times New Roman" w:hAnsi="Times New Roman" w:eastAsia="微软雅黑"/>
          <w:i/>
          <w:sz w:val="19"/>
        </w:rPr>
        <w:t>驱动。因此,</w:t>
      </w:r>
      <w:r>
        <w:rPr>
          <w:rFonts w:ascii="Times New Roman" w:hAnsi="Times New Roman" w:eastAsia="微软雅黑"/>
          <w:b/>
          <w:i/>
          <w:sz w:val="19"/>
        </w:rPr>
        <w:t>miRNA 组的预测靶基因谱与毛周期转换差异基因的富集重叠程度</w:t>
      </w:r>
      <w:r>
        <w:rPr>
          <w:rFonts w:ascii="Times New Roman" w:hAnsi="Times New Roman" w:eastAsia="微软雅黑"/>
          <w:i/>
          <w:sz w:val="19"/>
        </w:rPr>
        <w:t>,而非单个 miRNA 的效应量,是决定毛周期是否成功转换的关键。</w:t>
      </w:r>
    </w:p>
    <w:p w14:paraId="29116E5B">
      <w:pPr>
        <w:pStyle w:val="4"/>
      </w:pPr>
      <w:r>
        <w:t>2.2 可证伪性设计(重要)</w:t>
      </w:r>
    </w:p>
    <w:p w14:paraId="247894C5">
      <w:r>
        <w:rPr>
          <w:rFonts w:ascii="Times New Roman" w:hAnsi="Times New Roman" w:eastAsia="微软雅黑"/>
        </w:rPr>
        <w:t>本假设具有</w:t>
      </w:r>
      <w:r>
        <w:rPr>
          <w:rFonts w:ascii="Times New Roman" w:hAnsi="Times New Roman" w:eastAsia="微软雅黑"/>
          <w:b/>
        </w:rPr>
        <w:t>明确的否证条件</w:t>
      </w:r>
      <w:r>
        <w:rPr>
          <w:rFonts w:ascii="Times New Roman" w:hAnsi="Times New Roman" w:eastAsia="微软雅黑"/>
        </w:rPr>
        <w:t>,这是本设计的核心优势: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6B0E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CE6F1"/>
          </w:tcPr>
          <w:p w14:paraId="7A185167">
            <w:pPr>
              <w:spacing w:after="40"/>
            </w:pPr>
            <w:r>
              <w:rPr>
                <w:rFonts w:ascii="Times New Roman" w:hAnsi="Times New Roman" w:eastAsia="微软雅黑"/>
                <w:b/>
                <w:sz w:val="19"/>
              </w:rPr>
              <w:t>若观察到</w:t>
            </w:r>
          </w:p>
        </w:tc>
        <w:tc>
          <w:tcPr>
            <w:tcW w:w="4759" w:type="dxa"/>
            <w:shd w:val="clear" w:color="auto" w:fill="DCE6F1"/>
          </w:tcPr>
          <w:p w14:paraId="797CE481">
            <w:pPr>
              <w:spacing w:after="40"/>
            </w:pPr>
            <w:r>
              <w:rPr>
                <w:rFonts w:ascii="Times New Roman" w:hAnsi="Times New Roman" w:eastAsia="微软雅黑"/>
                <w:b/>
                <w:sz w:val="19"/>
              </w:rPr>
              <w:t>则结论</w:t>
            </w:r>
          </w:p>
        </w:tc>
      </w:tr>
      <w:tr w14:paraId="22F5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12643A8B">
            <w:pPr>
              <w:spacing w:after="40"/>
            </w:pPr>
            <w:r>
              <w:rPr>
                <w:rFonts w:ascii="Times New Roman" w:hAnsi="Times New Roman" w:eastAsia="微软雅黑"/>
                <w:sz w:val="19"/>
              </w:rPr>
              <w:t>miRNA 靶基因集合与毛周期差异基因的重叠</w:t>
            </w:r>
            <w:r>
              <w:rPr>
                <w:rFonts w:ascii="Times New Roman" w:hAnsi="Times New Roman" w:eastAsia="微软雅黑"/>
                <w:b/>
                <w:sz w:val="19"/>
              </w:rPr>
              <w:t>显著高于随机期望</w:t>
            </w:r>
            <w:r>
              <w:rPr>
                <w:rFonts w:ascii="Times New Roman" w:hAnsi="Times New Roman" w:eastAsia="微软雅黑"/>
                <w:sz w:val="19"/>
              </w:rPr>
              <w:t>(置换检验)</w:t>
            </w:r>
          </w:p>
        </w:tc>
        <w:tc>
          <w:tcPr>
            <w:tcW w:w="4759" w:type="dxa"/>
          </w:tcPr>
          <w:p w14:paraId="57FC3961">
            <w:pPr>
              <w:spacing w:after="40"/>
            </w:pPr>
            <w:r>
              <w:rPr>
                <w:rFonts w:ascii="Times New Roman" w:hAnsi="Times New Roman" w:eastAsia="微软雅黑"/>
                <w:sz w:val="19"/>
              </w:rPr>
              <w:t>✅ 支持 H1</w:t>
            </w:r>
          </w:p>
        </w:tc>
      </w:tr>
      <w:tr w14:paraId="2729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CF792BF">
            <w:pPr>
              <w:spacing w:after="40"/>
            </w:pPr>
            <w:r>
              <w:rPr>
                <w:rFonts w:ascii="Times New Roman" w:hAnsi="Times New Roman" w:eastAsia="微软雅黑"/>
                <w:sz w:val="19"/>
              </w:rPr>
              <w:t>特定 miRNA 组的靶基因</w:t>
            </w:r>
            <w:r>
              <w:rPr>
                <w:rFonts w:ascii="Times New Roman" w:hAnsi="Times New Roman" w:eastAsia="微软雅黑"/>
                <w:b/>
                <w:sz w:val="19"/>
              </w:rPr>
              <w:t>显著富集 Wnt 通路核心成员</w:t>
            </w:r>
            <w:r>
              <w:rPr>
                <w:rFonts w:ascii="Times New Roman" w:hAnsi="Times New Roman" w:eastAsia="微软雅黑"/>
                <w:sz w:val="19"/>
              </w:rPr>
              <w:t>(CTNNB1/PTEN/AXIN2/LEF1 等)</w:t>
            </w:r>
          </w:p>
        </w:tc>
        <w:tc>
          <w:tcPr>
            <w:tcW w:w="4759" w:type="dxa"/>
          </w:tcPr>
          <w:p w14:paraId="5C63351E">
            <w:pPr>
              <w:spacing w:after="40"/>
            </w:pPr>
            <w:r>
              <w:rPr>
                <w:rFonts w:ascii="Times New Roman" w:hAnsi="Times New Roman" w:eastAsia="微软雅黑"/>
                <w:sz w:val="19"/>
              </w:rPr>
              <w:t>✅ 支持 H1</w:t>
            </w:r>
          </w:p>
        </w:tc>
      </w:tr>
      <w:tr w14:paraId="23E6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17325B5F">
            <w:pPr>
              <w:spacing w:after="40"/>
            </w:pPr>
            <w:r>
              <w:rPr>
                <w:rFonts w:ascii="Times New Roman" w:hAnsi="Times New Roman" w:eastAsia="微软雅黑"/>
                <w:sz w:val="19"/>
              </w:rPr>
              <w:t>重叠度与置换检验的随机分布</w:t>
            </w:r>
            <w:r>
              <w:rPr>
                <w:rFonts w:ascii="Times New Roman" w:hAnsi="Times New Roman" w:eastAsia="微软雅黑"/>
                <w:b/>
                <w:sz w:val="19"/>
              </w:rPr>
              <w:t>无显著差异</w:t>
            </w:r>
          </w:p>
        </w:tc>
        <w:tc>
          <w:tcPr>
            <w:tcW w:w="4759" w:type="dxa"/>
          </w:tcPr>
          <w:p w14:paraId="313603A5">
            <w:pPr>
              <w:spacing w:after="40"/>
            </w:pPr>
            <w:r>
              <w:rPr>
                <w:rFonts w:ascii="Times New Roman" w:hAnsi="Times New Roman" w:eastAsia="微软雅黑"/>
                <w:sz w:val="19"/>
              </w:rPr>
              <w:t xml:space="preserve">❌ </w:t>
            </w:r>
            <w:r>
              <w:rPr>
                <w:rFonts w:ascii="Times New Roman" w:hAnsi="Times New Roman" w:eastAsia="微软雅黑"/>
                <w:b/>
                <w:sz w:val="19"/>
              </w:rPr>
              <w:t>推翻 H1</w:t>
            </w:r>
            <w:r>
              <w:rPr>
                <w:rFonts w:ascii="Times New Roman" w:hAnsi="Times New Roman" w:eastAsia="微软雅黑"/>
                <w:sz w:val="19"/>
              </w:rPr>
              <w:t>,转而报告"毛周期转换不由 miRNA 靶向网络协调驱动"</w:t>
            </w:r>
          </w:p>
        </w:tc>
      </w:tr>
    </w:tbl>
    <w:p w14:paraId="54C50C47"/>
    <w:p w14:paraId="47DC9F2A">
      <w:pPr>
        <w:ind w:left="340"/>
      </w:pPr>
      <w:r>
        <w:rPr>
          <w:rFonts w:ascii="Times New Roman" w:hAnsi="Times New Roman" w:eastAsia="微软雅黑"/>
          <w:b/>
          <w:i/>
          <w:sz w:val="19"/>
        </w:rPr>
        <w:t>方法学要点</w:t>
      </w:r>
      <w:r>
        <w:rPr>
          <w:rFonts w:ascii="Times New Roman" w:hAnsi="Times New Roman" w:eastAsia="微软雅黑"/>
          <w:i/>
          <w:sz w:val="19"/>
        </w:rPr>
        <w:t>:采用</w:t>
      </w:r>
      <w:r>
        <w:rPr>
          <w:rFonts w:ascii="Times New Roman" w:hAnsi="Times New Roman" w:eastAsia="微软雅黑"/>
          <w:b/>
          <w:i/>
          <w:sz w:val="19"/>
        </w:rPr>
        <w:t>置换检验(permutation test,重复 10,000 次)</w:t>
      </w:r>
      <w:r>
        <w:rPr>
          <w:rFonts w:ascii="Times New Roman" w:hAnsi="Times New Roman" w:eastAsia="微软雅黑"/>
          <w:i/>
          <w:sz w:val="19"/>
        </w:rPr>
        <w:t>构建零假设分布,确保重叠显著性不是随机产物。这是本研究可发表性的关键论证环节。</w:t>
      </w:r>
    </w:p>
    <w:p w14:paraId="79155820">
      <w:pPr>
        <w:pStyle w:val="4"/>
      </w:pPr>
      <w:r>
        <w:t>2.3 从属假设</w:t>
      </w:r>
    </w:p>
    <w:p w14:paraId="6513424D">
      <w:pPr>
        <w:pStyle w:val="16"/>
        <w:spacing w:after="40"/>
      </w:pPr>
      <w:r>
        <w:rPr>
          <w:rFonts w:ascii="Times New Roman" w:hAnsi="Times New Roman" w:eastAsia="微软雅黑"/>
          <w:b/>
        </w:rPr>
        <w:t>H2</w:t>
      </w:r>
      <w:r>
        <w:rPr>
          <w:rFonts w:ascii="Times New Roman" w:hAnsi="Times New Roman" w:eastAsia="微软雅黑"/>
        </w:rPr>
        <w:t>:毛乳头细胞(DP)特异性数据集与毛周期转换数据的整合,可识别出</w:t>
      </w:r>
      <w:r>
        <w:rPr>
          <w:rFonts w:ascii="Times New Roman" w:hAnsi="Times New Roman" w:eastAsia="微软雅黑"/>
          <w:b/>
        </w:rPr>
        <w:t>在 DP 中高表达且受转换调控</w:t>
      </w:r>
      <w:r>
        <w:rPr>
          <w:rFonts w:ascii="Times New Roman" w:hAnsi="Times New Roman" w:eastAsia="微软雅黑"/>
        </w:rPr>
        <w:t>的候选靶基因群。</w:t>
      </w:r>
    </w:p>
    <w:p w14:paraId="71D2F6E3">
      <w:pPr>
        <w:pStyle w:val="16"/>
        <w:spacing w:after="40"/>
      </w:pPr>
      <w:r>
        <w:rPr>
          <w:rFonts w:ascii="Times New Roman" w:hAnsi="Times New Roman" w:eastAsia="微软雅黑"/>
          <w:b/>
        </w:rPr>
        <w:t>H3</w:t>
      </w:r>
      <w:r>
        <w:rPr>
          <w:rFonts w:ascii="Times New Roman" w:hAnsi="Times New Roman" w:eastAsia="微软雅黑"/>
        </w:rPr>
        <w:t>:候选 miRNA 组合的网络中心性(如 RSM 靶标得分)与其在毛囊中的表达丰度呈现</w:t>
      </w:r>
      <w:r>
        <w:rPr>
          <w:rFonts w:ascii="Times New Roman" w:hAnsi="Times New Roman" w:eastAsia="微软雅黑"/>
          <w:b/>
        </w:rPr>
        <w:t>非同随机分布</w:t>
      </w:r>
      <w:r>
        <w:rPr>
          <w:rFonts w:ascii="Times New Roman" w:hAnsi="Times New Roman" w:eastAsia="微软雅黑"/>
        </w:rPr>
        <w:t>。</w:t>
      </w:r>
    </w:p>
    <w:p w14:paraId="4ABB22C2">
      <w:pPr>
        <w:pStyle w:val="3"/>
      </w:pPr>
      <w:r>
        <w:t>三、Paper Reading(文献阅读)</w:t>
      </w:r>
    </w:p>
    <w:p w14:paraId="2BCB19D6">
      <w:pPr>
        <w:ind w:left="340"/>
      </w:pPr>
      <w:r>
        <w:rPr>
          <w:rFonts w:ascii="Times New Roman" w:hAnsi="Times New Roman" w:eastAsia="微软雅黑"/>
          <w:i/>
          <w:sz w:val="19"/>
        </w:rPr>
        <w:t xml:space="preserve">⚠️ </w:t>
      </w:r>
      <w:r>
        <w:rPr>
          <w:rFonts w:ascii="Times New Roman" w:hAnsi="Times New Roman" w:eastAsia="微软雅黑"/>
          <w:b/>
          <w:i/>
          <w:sz w:val="19"/>
        </w:rPr>
        <w:t>数据来源声明</w:t>
      </w:r>
      <w:r>
        <w:rPr>
          <w:rFonts w:ascii="Times New Roman" w:hAnsi="Times New Roman" w:eastAsia="微软雅黑"/>
          <w:i/>
          <w:sz w:val="19"/>
        </w:rPr>
        <w:t xml:space="preserve">:以下所有文献均来自 </w:t>
      </w:r>
      <w:r>
        <w:rPr>
          <w:rFonts w:ascii="Times New Roman" w:hAnsi="Times New Roman" w:eastAsia="微软雅黑"/>
          <w:b/>
          <w:i/>
          <w:sz w:val="19"/>
        </w:rPr>
        <w:t>NCBI PubMed 官方数据库</w:t>
      </w:r>
      <w:r>
        <w:rPr>
          <w:rFonts w:ascii="Times New Roman" w:hAnsi="Times New Roman" w:eastAsia="微软雅黑"/>
          <w:i/>
          <w:sz w:val="19"/>
        </w:rPr>
        <w:t xml:space="preserve">(https://pubmed.ncbi.nlm.nih.gov/),元数据(PMID、期刊、年份、DOI)已通过 NCBI E-utilities API 程序化抓取核验,见 </w:t>
      </w:r>
      <w:r>
        <w:rPr>
          <w:rFonts w:ascii="Consolas" w:hAnsi="Consolas"/>
          <w:i/>
          <w:color w:val="A03030"/>
          <w:sz w:val="19"/>
        </w:rPr>
        <w:t>results/tables/citations.json</w:t>
      </w:r>
      <w:r>
        <w:rPr>
          <w:rFonts w:ascii="Times New Roman" w:hAnsi="Times New Roman" w:eastAsia="微软雅黑"/>
          <w:i/>
          <w:sz w:val="19"/>
        </w:rPr>
        <w:t>。</w:t>
      </w:r>
      <w:r>
        <w:rPr>
          <w:rFonts w:ascii="Times New Roman" w:hAnsi="Times New Roman" w:eastAsia="微软雅黑"/>
          <w:b/>
          <w:i/>
          <w:sz w:val="19"/>
        </w:rPr>
        <w:t>本报告不引用未经核实的文献。</w:t>
      </w:r>
    </w:p>
    <w:p w14:paraId="7447608E">
      <w:pPr>
        <w:pStyle w:val="4"/>
      </w:pPr>
      <w:r>
        <w:t>3.1 核心机制文献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904"/>
        <w:gridCol w:w="1904"/>
        <w:gridCol w:w="1904"/>
        <w:gridCol w:w="1904"/>
      </w:tblGrid>
      <w:tr w14:paraId="751A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shd w:val="clear" w:color="auto" w:fill="DCE6F1"/>
          </w:tcPr>
          <w:p w14:paraId="2C7600E5">
            <w:pPr>
              <w:spacing w:after="40"/>
            </w:pPr>
            <w:r>
              <w:rPr>
                <w:rFonts w:ascii="Times New Roman" w:hAnsi="Times New Roman" w:eastAsia="微软雅黑"/>
                <w:b/>
                <w:sz w:val="19"/>
              </w:rPr>
              <w:t>#</w:t>
            </w:r>
          </w:p>
        </w:tc>
        <w:tc>
          <w:tcPr>
            <w:tcW w:w="1904" w:type="dxa"/>
            <w:shd w:val="clear" w:color="auto" w:fill="DCE6F1"/>
          </w:tcPr>
          <w:p w14:paraId="32790FE1">
            <w:pPr>
              <w:spacing w:after="40"/>
            </w:pPr>
            <w:r>
              <w:rPr>
                <w:rFonts w:ascii="Times New Roman" w:hAnsi="Times New Roman" w:eastAsia="微软雅黑"/>
                <w:b/>
                <w:sz w:val="19"/>
              </w:rPr>
              <w:t>文献</w:t>
            </w:r>
          </w:p>
        </w:tc>
        <w:tc>
          <w:tcPr>
            <w:tcW w:w="1904" w:type="dxa"/>
            <w:shd w:val="clear" w:color="auto" w:fill="DCE6F1"/>
          </w:tcPr>
          <w:p w14:paraId="6C7F890B">
            <w:pPr>
              <w:spacing w:after="40"/>
            </w:pPr>
            <w:r>
              <w:rPr>
                <w:rFonts w:ascii="Times New Roman" w:hAnsi="Times New Roman" w:eastAsia="微软雅黑"/>
                <w:b/>
                <w:sz w:val="19"/>
              </w:rPr>
              <w:t>期刊/年份</w:t>
            </w:r>
          </w:p>
        </w:tc>
        <w:tc>
          <w:tcPr>
            <w:tcW w:w="1904" w:type="dxa"/>
            <w:shd w:val="clear" w:color="auto" w:fill="DCE6F1"/>
          </w:tcPr>
          <w:p w14:paraId="61F9FDAD">
            <w:pPr>
              <w:spacing w:after="40"/>
            </w:pPr>
            <w:r>
              <w:rPr>
                <w:rFonts w:ascii="Times New Roman" w:hAnsi="Times New Roman" w:eastAsia="微软雅黑"/>
                <w:b/>
                <w:sz w:val="19"/>
              </w:rPr>
              <w:t>PMID</w:t>
            </w:r>
          </w:p>
        </w:tc>
        <w:tc>
          <w:tcPr>
            <w:tcW w:w="1904" w:type="dxa"/>
            <w:shd w:val="clear" w:color="auto" w:fill="DCE6F1"/>
          </w:tcPr>
          <w:p w14:paraId="0E3FD488">
            <w:pPr>
              <w:spacing w:after="40"/>
            </w:pPr>
            <w:r>
              <w:rPr>
                <w:rFonts w:ascii="Times New Roman" w:hAnsi="Times New Roman" w:eastAsia="微软雅黑"/>
                <w:b/>
                <w:sz w:val="19"/>
              </w:rPr>
              <w:t>与本项目的关系</w:t>
            </w:r>
          </w:p>
        </w:tc>
      </w:tr>
      <w:tr w14:paraId="19B2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6DE8191">
            <w:pPr>
              <w:spacing w:after="40"/>
            </w:pPr>
            <w:r>
              <w:rPr>
                <w:rFonts w:ascii="Times New Roman" w:hAnsi="Times New Roman" w:eastAsia="微软雅黑"/>
                <w:sz w:val="19"/>
              </w:rPr>
              <w:t>1</w:t>
            </w:r>
          </w:p>
        </w:tc>
        <w:tc>
          <w:tcPr>
            <w:tcW w:w="1904" w:type="dxa"/>
          </w:tcPr>
          <w:p w14:paraId="19C3BAB5">
            <w:pPr>
              <w:spacing w:after="40"/>
            </w:pPr>
            <w:r>
              <w:rPr>
                <w:rFonts w:ascii="Times New Roman" w:hAnsi="Times New Roman" w:eastAsia="微软雅黑"/>
                <w:sz w:val="19"/>
              </w:rPr>
              <w:t>MicroRNA-214 controls skin and hair follicle development by modulating the activity of the Wnt/β-catenin signaling pathway</w:t>
            </w:r>
          </w:p>
        </w:tc>
        <w:tc>
          <w:tcPr>
            <w:tcW w:w="1904" w:type="dxa"/>
          </w:tcPr>
          <w:p w14:paraId="4ECC290E">
            <w:pPr>
              <w:spacing w:after="40"/>
            </w:pPr>
            <w:r>
              <w:rPr>
                <w:rFonts w:ascii="Times New Roman" w:hAnsi="Times New Roman" w:eastAsia="微软雅黑"/>
                <w:sz w:val="19"/>
              </w:rPr>
              <w:t>J Cell Biol, 2014</w:t>
            </w:r>
          </w:p>
        </w:tc>
        <w:tc>
          <w:tcPr>
            <w:tcW w:w="1904" w:type="dxa"/>
          </w:tcPr>
          <w:p w14:paraId="77D0FBAB">
            <w:pPr>
              <w:spacing w:after="40"/>
            </w:pPr>
            <w:r>
              <w:rPr>
                <w:rFonts w:ascii="Times New Roman" w:hAnsi="Times New Roman" w:eastAsia="微软雅黑"/>
                <w:color w:val="0563C1"/>
                <w:sz w:val="19"/>
                <w:u w:val="single"/>
              </w:rPr>
              <w:t>25422376</w:t>
            </w:r>
          </w:p>
        </w:tc>
        <w:tc>
          <w:tcPr>
            <w:tcW w:w="1904" w:type="dxa"/>
          </w:tcPr>
          <w:p w14:paraId="02A2B550">
            <w:pPr>
              <w:spacing w:after="40"/>
            </w:pPr>
            <w:r>
              <w:rPr>
                <w:rFonts w:ascii="Times New Roman" w:hAnsi="Times New Roman" w:eastAsia="微软雅黑"/>
                <w:b/>
                <w:sz w:val="19"/>
              </w:rPr>
              <w:t>最关键文献</w:t>
            </w:r>
            <w:r>
              <w:rPr>
                <w:rFonts w:ascii="Times New Roman" w:hAnsi="Times New Roman" w:eastAsia="微软雅黑"/>
                <w:sz w:val="19"/>
              </w:rPr>
              <w:t>。确立 miR-214 通过抑制 PTEN 激活 Wnt/β-catenin 调控毛囊发育——本项目的机制锚点</w:t>
            </w:r>
          </w:p>
        </w:tc>
      </w:tr>
      <w:tr w14:paraId="27BD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DABA2AE">
            <w:pPr>
              <w:spacing w:after="40"/>
            </w:pPr>
            <w:r>
              <w:rPr>
                <w:rFonts w:ascii="Times New Roman" w:hAnsi="Times New Roman" w:eastAsia="微软雅黑"/>
                <w:sz w:val="19"/>
              </w:rPr>
              <w:t>2</w:t>
            </w:r>
          </w:p>
        </w:tc>
        <w:tc>
          <w:tcPr>
            <w:tcW w:w="1904" w:type="dxa"/>
          </w:tcPr>
          <w:p w14:paraId="1421B914">
            <w:pPr>
              <w:spacing w:after="40"/>
            </w:pPr>
            <w:r>
              <w:rPr>
                <w:rFonts w:ascii="Times New Roman" w:hAnsi="Times New Roman" w:eastAsia="微软雅黑"/>
                <w:sz w:val="19"/>
              </w:rPr>
              <w:t>DNMT1-mediated methylation inhibits microRNA-214-3p and promotes hair follicle stem cell differentiation</w:t>
            </w:r>
          </w:p>
        </w:tc>
        <w:tc>
          <w:tcPr>
            <w:tcW w:w="1904" w:type="dxa"/>
          </w:tcPr>
          <w:p w14:paraId="658589DD">
            <w:pPr>
              <w:spacing w:after="40"/>
            </w:pPr>
            <w:r>
              <w:rPr>
                <w:rFonts w:ascii="Times New Roman" w:hAnsi="Times New Roman" w:eastAsia="微软雅黑"/>
                <w:sz w:val="19"/>
              </w:rPr>
              <w:t>Stem Cell Res Ther, 2020</w:t>
            </w:r>
          </w:p>
        </w:tc>
        <w:tc>
          <w:tcPr>
            <w:tcW w:w="1904" w:type="dxa"/>
          </w:tcPr>
          <w:p w14:paraId="3EA83391">
            <w:pPr>
              <w:spacing w:after="40"/>
            </w:pPr>
            <w:r>
              <w:rPr>
                <w:rFonts w:ascii="Times New Roman" w:hAnsi="Times New Roman" w:eastAsia="微软雅黑"/>
                <w:color w:val="0563C1"/>
                <w:sz w:val="19"/>
                <w:u w:val="single"/>
              </w:rPr>
              <w:t>33076979</w:t>
            </w:r>
          </w:p>
        </w:tc>
        <w:tc>
          <w:tcPr>
            <w:tcW w:w="1904" w:type="dxa"/>
          </w:tcPr>
          <w:p w14:paraId="1C7DFBC4">
            <w:pPr>
              <w:spacing w:after="40"/>
            </w:pPr>
            <w:r>
              <w:rPr>
                <w:rFonts w:ascii="Times New Roman" w:hAnsi="Times New Roman" w:eastAsia="微软雅黑"/>
                <w:sz w:val="19"/>
              </w:rPr>
              <w:t>提供 miR-214 表观遗传调控的补充证据</w:t>
            </w:r>
          </w:p>
        </w:tc>
      </w:tr>
      <w:tr w14:paraId="3AD2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3CB17155">
            <w:pPr>
              <w:spacing w:after="40"/>
            </w:pPr>
            <w:r>
              <w:rPr>
                <w:rFonts w:ascii="Times New Roman" w:hAnsi="Times New Roman" w:eastAsia="微软雅黑"/>
                <w:sz w:val="19"/>
              </w:rPr>
              <w:t>3</w:t>
            </w:r>
          </w:p>
        </w:tc>
        <w:tc>
          <w:tcPr>
            <w:tcW w:w="1904" w:type="dxa"/>
          </w:tcPr>
          <w:p w14:paraId="04C9DEE0">
            <w:pPr>
              <w:spacing w:after="40"/>
            </w:pPr>
            <w:r>
              <w:rPr>
                <w:rFonts w:ascii="Times New Roman" w:hAnsi="Times New Roman" w:eastAsia="微软雅黑"/>
                <w:sz w:val="19"/>
              </w:rPr>
              <w:t>Hair-Growth Potential of Ginseng and Its Major Metabolites: A Review</w:t>
            </w:r>
          </w:p>
        </w:tc>
        <w:tc>
          <w:tcPr>
            <w:tcW w:w="1904" w:type="dxa"/>
          </w:tcPr>
          <w:p w14:paraId="099DC457">
            <w:pPr>
              <w:spacing w:after="40"/>
            </w:pPr>
            <w:r>
              <w:rPr>
                <w:rFonts w:ascii="Times New Roman" w:hAnsi="Times New Roman" w:eastAsia="微软雅黑"/>
                <w:sz w:val="19"/>
              </w:rPr>
              <w:t>Int J Mol Sci, 2018</w:t>
            </w:r>
          </w:p>
        </w:tc>
        <w:tc>
          <w:tcPr>
            <w:tcW w:w="1904" w:type="dxa"/>
          </w:tcPr>
          <w:p w14:paraId="17A5A00B">
            <w:pPr>
              <w:spacing w:after="40"/>
            </w:pPr>
            <w:r>
              <w:rPr>
                <w:rFonts w:ascii="Times New Roman" w:hAnsi="Times New Roman" w:eastAsia="微软雅黑"/>
                <w:color w:val="0563C1"/>
                <w:sz w:val="19"/>
                <w:u w:val="single"/>
              </w:rPr>
              <w:t>30208587</w:t>
            </w:r>
          </w:p>
        </w:tc>
        <w:tc>
          <w:tcPr>
            <w:tcW w:w="1904" w:type="dxa"/>
          </w:tcPr>
          <w:p w14:paraId="5D2E0109">
            <w:pPr>
              <w:spacing w:after="40"/>
            </w:pPr>
            <w:r>
              <w:rPr>
                <w:rFonts w:ascii="Times New Roman" w:hAnsi="Times New Roman" w:eastAsia="微软雅黑"/>
                <w:sz w:val="19"/>
              </w:rPr>
              <w:t>毛发生长调控的综述性背景</w:t>
            </w:r>
          </w:p>
        </w:tc>
      </w:tr>
      <w:tr w14:paraId="3E7C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9FE67EA">
            <w:pPr>
              <w:spacing w:after="40"/>
            </w:pPr>
            <w:r>
              <w:rPr>
                <w:rFonts w:ascii="Times New Roman" w:hAnsi="Times New Roman" w:eastAsia="微软雅黑"/>
                <w:sz w:val="19"/>
              </w:rPr>
              <w:t>4</w:t>
            </w:r>
          </w:p>
        </w:tc>
        <w:tc>
          <w:tcPr>
            <w:tcW w:w="1904" w:type="dxa"/>
          </w:tcPr>
          <w:p w14:paraId="0621C4B5">
            <w:pPr>
              <w:spacing w:after="40"/>
            </w:pPr>
            <w:r>
              <w:rPr>
                <w:rFonts w:ascii="Times New Roman" w:hAnsi="Times New Roman" w:eastAsia="微软雅黑"/>
                <w:sz w:val="19"/>
              </w:rPr>
              <w:t>Advances in Regenerative Stem Cell Therapy in Androgenic Alopecia and Hair Loss: Wnt pathway</w:t>
            </w:r>
          </w:p>
        </w:tc>
        <w:tc>
          <w:tcPr>
            <w:tcW w:w="1904" w:type="dxa"/>
          </w:tcPr>
          <w:p w14:paraId="29F79187">
            <w:pPr>
              <w:spacing w:after="40"/>
            </w:pPr>
            <w:r>
              <w:rPr>
                <w:rFonts w:ascii="Times New Roman" w:hAnsi="Times New Roman" w:eastAsia="微软雅黑"/>
                <w:sz w:val="19"/>
              </w:rPr>
              <w:t>Cells, 2019</w:t>
            </w:r>
          </w:p>
        </w:tc>
        <w:tc>
          <w:tcPr>
            <w:tcW w:w="1904" w:type="dxa"/>
          </w:tcPr>
          <w:p w14:paraId="5E4B2FB5">
            <w:pPr>
              <w:spacing w:after="40"/>
            </w:pPr>
            <w:r>
              <w:rPr>
                <w:rFonts w:ascii="Times New Roman" w:hAnsi="Times New Roman" w:eastAsia="微软雅黑"/>
                <w:color w:val="0563C1"/>
                <w:sz w:val="19"/>
                <w:u w:val="single"/>
              </w:rPr>
              <w:t>31100937</w:t>
            </w:r>
          </w:p>
        </w:tc>
        <w:tc>
          <w:tcPr>
            <w:tcW w:w="1904" w:type="dxa"/>
          </w:tcPr>
          <w:p w14:paraId="0C310F1C">
            <w:pPr>
              <w:spacing w:after="40"/>
            </w:pPr>
            <w:r>
              <w:rPr>
                <w:rFonts w:ascii="Times New Roman" w:hAnsi="Times New Roman" w:eastAsia="微软雅黑"/>
                <w:sz w:val="19"/>
              </w:rPr>
              <w:t>Wnt 通路在 AGA 中的核心地位</w:t>
            </w:r>
          </w:p>
        </w:tc>
      </w:tr>
      <w:tr w14:paraId="587A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51ABFAAD">
            <w:pPr>
              <w:spacing w:after="40"/>
            </w:pPr>
            <w:r>
              <w:rPr>
                <w:rFonts w:ascii="Times New Roman" w:hAnsi="Times New Roman" w:eastAsia="微软雅黑"/>
                <w:sz w:val="19"/>
              </w:rPr>
              <w:t>5</w:t>
            </w:r>
          </w:p>
        </w:tc>
        <w:tc>
          <w:tcPr>
            <w:tcW w:w="1904" w:type="dxa"/>
          </w:tcPr>
          <w:p w14:paraId="63C7C029">
            <w:pPr>
              <w:spacing w:after="40"/>
            </w:pPr>
            <w:r>
              <w:rPr>
                <w:rFonts w:ascii="Times New Roman" w:hAnsi="Times New Roman" w:eastAsia="微软雅黑"/>
                <w:sz w:val="19"/>
              </w:rPr>
              <w:t>Dermal exosomes containing miR-218-5p promote hair regeneration by regulating β-catenin</w:t>
            </w:r>
          </w:p>
        </w:tc>
        <w:tc>
          <w:tcPr>
            <w:tcW w:w="1904" w:type="dxa"/>
          </w:tcPr>
          <w:p w14:paraId="0E0EF04A">
            <w:pPr>
              <w:spacing w:after="40"/>
            </w:pPr>
            <w:r>
              <w:rPr>
                <w:rFonts w:ascii="Times New Roman" w:hAnsi="Times New Roman" w:eastAsia="微软雅黑"/>
                <w:sz w:val="19"/>
              </w:rPr>
              <w:t>Sci Adv, 2020</w:t>
            </w:r>
          </w:p>
        </w:tc>
        <w:tc>
          <w:tcPr>
            <w:tcW w:w="1904" w:type="dxa"/>
          </w:tcPr>
          <w:p w14:paraId="40466EE5">
            <w:pPr>
              <w:spacing w:after="40"/>
            </w:pPr>
            <w:r>
              <w:rPr>
                <w:rFonts w:ascii="Times New Roman" w:hAnsi="Times New Roman" w:eastAsia="微软雅黑"/>
                <w:color w:val="0563C1"/>
                <w:sz w:val="19"/>
                <w:u w:val="single"/>
              </w:rPr>
              <w:t>32832660</w:t>
            </w:r>
          </w:p>
        </w:tc>
        <w:tc>
          <w:tcPr>
            <w:tcW w:w="1904" w:type="dxa"/>
          </w:tcPr>
          <w:p w14:paraId="0D3255B6">
            <w:pPr>
              <w:spacing w:after="40"/>
            </w:pPr>
            <w:r>
              <w:rPr>
                <w:rFonts w:ascii="Times New Roman" w:hAnsi="Times New Roman" w:eastAsia="微软雅黑"/>
                <w:sz w:val="19"/>
              </w:rPr>
              <w:t>miRNA 靶向 β-catenin 的独立佐证</w:t>
            </w:r>
          </w:p>
        </w:tc>
      </w:tr>
      <w:tr w14:paraId="3977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3631BA77">
            <w:pPr>
              <w:spacing w:after="40"/>
            </w:pPr>
            <w:r>
              <w:rPr>
                <w:rFonts w:ascii="Times New Roman" w:hAnsi="Times New Roman" w:eastAsia="微软雅黑"/>
                <w:sz w:val="19"/>
              </w:rPr>
              <w:t>6</w:t>
            </w:r>
          </w:p>
        </w:tc>
        <w:tc>
          <w:tcPr>
            <w:tcW w:w="1904" w:type="dxa"/>
          </w:tcPr>
          <w:p w14:paraId="4AE51824">
            <w:pPr>
              <w:spacing w:after="40"/>
            </w:pPr>
            <w:r>
              <w:rPr>
                <w:rFonts w:ascii="Times New Roman" w:hAnsi="Times New Roman" w:eastAsia="微软雅黑"/>
                <w:sz w:val="19"/>
              </w:rPr>
              <w:t>Hedgehog signaling reprograms hair follicle niche fibroblasts to a hyper-activated state</w:t>
            </w:r>
          </w:p>
        </w:tc>
        <w:tc>
          <w:tcPr>
            <w:tcW w:w="1904" w:type="dxa"/>
          </w:tcPr>
          <w:p w14:paraId="704ABFD3">
            <w:pPr>
              <w:spacing w:after="40"/>
            </w:pPr>
            <w:r>
              <w:rPr>
                <w:rFonts w:ascii="Times New Roman" w:hAnsi="Times New Roman" w:eastAsia="微软雅黑"/>
                <w:sz w:val="19"/>
              </w:rPr>
              <w:t>Dev Cell, 2022</w:t>
            </w:r>
          </w:p>
        </w:tc>
        <w:tc>
          <w:tcPr>
            <w:tcW w:w="1904" w:type="dxa"/>
          </w:tcPr>
          <w:p w14:paraId="19C2841F">
            <w:pPr>
              <w:spacing w:after="40"/>
            </w:pPr>
            <w:r>
              <w:rPr>
                <w:rFonts w:ascii="Times New Roman" w:hAnsi="Times New Roman" w:eastAsia="微软雅黑"/>
                <w:color w:val="0563C1"/>
                <w:sz w:val="19"/>
                <w:u w:val="single"/>
              </w:rPr>
              <w:t>35777353</w:t>
            </w:r>
          </w:p>
        </w:tc>
        <w:tc>
          <w:tcPr>
            <w:tcW w:w="1904" w:type="dxa"/>
          </w:tcPr>
          <w:p w14:paraId="567FBF58">
            <w:pPr>
              <w:spacing w:after="40"/>
            </w:pPr>
            <w:r>
              <w:rPr>
                <w:rFonts w:ascii="Times New Roman" w:hAnsi="Times New Roman" w:eastAsia="微软雅黑"/>
                <w:sz w:val="19"/>
              </w:rPr>
              <w:t>DP/成纤维细胞状态转换的机制参照</w:t>
            </w:r>
          </w:p>
        </w:tc>
      </w:tr>
      <w:tr w14:paraId="3581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688C45B3">
            <w:pPr>
              <w:spacing w:after="40"/>
            </w:pPr>
            <w:r>
              <w:rPr>
                <w:rFonts w:ascii="Times New Roman" w:hAnsi="Times New Roman" w:eastAsia="微软雅黑"/>
                <w:sz w:val="19"/>
              </w:rPr>
              <w:t>7</w:t>
            </w:r>
          </w:p>
        </w:tc>
        <w:tc>
          <w:tcPr>
            <w:tcW w:w="1904" w:type="dxa"/>
          </w:tcPr>
          <w:p w14:paraId="7F12D65D">
            <w:pPr>
              <w:spacing w:after="40"/>
            </w:pPr>
            <w:r>
              <w:rPr>
                <w:rFonts w:ascii="Times New Roman" w:hAnsi="Times New Roman" w:eastAsia="微软雅黑"/>
                <w:sz w:val="19"/>
              </w:rPr>
              <w:t>A comprehensive guide for the accurate classification of murine hair follicles</w:t>
            </w:r>
          </w:p>
        </w:tc>
        <w:tc>
          <w:tcPr>
            <w:tcW w:w="1904" w:type="dxa"/>
          </w:tcPr>
          <w:p w14:paraId="49D9C278">
            <w:pPr>
              <w:spacing w:after="40"/>
            </w:pPr>
            <w:r>
              <w:rPr>
                <w:rFonts w:ascii="Times New Roman" w:hAnsi="Times New Roman" w:eastAsia="微软雅黑"/>
                <w:sz w:val="19"/>
              </w:rPr>
              <w:t>J Invest Dermatol, 2001</w:t>
            </w:r>
          </w:p>
        </w:tc>
        <w:tc>
          <w:tcPr>
            <w:tcW w:w="1904" w:type="dxa"/>
          </w:tcPr>
          <w:p w14:paraId="19E8CA2F">
            <w:pPr>
              <w:spacing w:after="40"/>
            </w:pPr>
            <w:r>
              <w:rPr>
                <w:rFonts w:ascii="Times New Roman" w:hAnsi="Times New Roman" w:eastAsia="微软雅黑"/>
                <w:color w:val="0563C1"/>
                <w:sz w:val="19"/>
                <w:u w:val="single"/>
              </w:rPr>
              <w:t>11442744</w:t>
            </w:r>
          </w:p>
        </w:tc>
        <w:tc>
          <w:tcPr>
            <w:tcW w:w="1904" w:type="dxa"/>
          </w:tcPr>
          <w:p w14:paraId="3D296DE2">
            <w:pPr>
              <w:spacing w:after="40"/>
            </w:pPr>
            <w:r>
              <w:rPr>
                <w:rFonts w:ascii="Times New Roman" w:hAnsi="Times New Roman" w:eastAsia="微软雅黑"/>
                <w:b/>
                <w:sz w:val="19"/>
              </w:rPr>
              <w:t>方法学基础</w:t>
            </w:r>
            <w:r>
              <w:rPr>
                <w:rFonts w:ascii="Times New Roman" w:hAnsi="Times New Roman" w:eastAsia="微软雅黑"/>
                <w:sz w:val="19"/>
              </w:rPr>
              <w:t>。毛囊分期的形态学金标准</w:t>
            </w:r>
          </w:p>
        </w:tc>
      </w:tr>
    </w:tbl>
    <w:p w14:paraId="68E6C941"/>
    <w:p w14:paraId="3A150A13">
      <w:pPr>
        <w:pStyle w:val="4"/>
      </w:pPr>
      <w:r>
        <w:t>3.2 方法学文献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904"/>
        <w:gridCol w:w="1904"/>
        <w:gridCol w:w="1904"/>
        <w:gridCol w:w="1904"/>
      </w:tblGrid>
      <w:tr w14:paraId="45E0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shd w:val="clear" w:color="auto" w:fill="DCE6F1"/>
          </w:tcPr>
          <w:p w14:paraId="3FDD94DD">
            <w:pPr>
              <w:spacing w:after="40"/>
            </w:pPr>
            <w:r>
              <w:rPr>
                <w:rFonts w:ascii="Times New Roman" w:hAnsi="Times New Roman" w:eastAsia="微软雅黑"/>
                <w:b/>
                <w:sz w:val="19"/>
              </w:rPr>
              <w:t>#</w:t>
            </w:r>
          </w:p>
        </w:tc>
        <w:tc>
          <w:tcPr>
            <w:tcW w:w="1904" w:type="dxa"/>
            <w:shd w:val="clear" w:color="auto" w:fill="DCE6F1"/>
          </w:tcPr>
          <w:p w14:paraId="7DA68F43">
            <w:pPr>
              <w:spacing w:after="40"/>
            </w:pPr>
            <w:r>
              <w:rPr>
                <w:rFonts w:ascii="Times New Roman" w:hAnsi="Times New Roman" w:eastAsia="微软雅黑"/>
                <w:b/>
                <w:sz w:val="19"/>
              </w:rPr>
              <w:t>文献</w:t>
            </w:r>
          </w:p>
        </w:tc>
        <w:tc>
          <w:tcPr>
            <w:tcW w:w="1904" w:type="dxa"/>
            <w:shd w:val="clear" w:color="auto" w:fill="DCE6F1"/>
          </w:tcPr>
          <w:p w14:paraId="61D3359E">
            <w:pPr>
              <w:spacing w:after="40"/>
            </w:pPr>
            <w:r>
              <w:rPr>
                <w:rFonts w:ascii="Times New Roman" w:hAnsi="Times New Roman" w:eastAsia="微软雅黑"/>
                <w:b/>
                <w:sz w:val="19"/>
              </w:rPr>
              <w:t>期刊/年份</w:t>
            </w:r>
          </w:p>
        </w:tc>
        <w:tc>
          <w:tcPr>
            <w:tcW w:w="1904" w:type="dxa"/>
            <w:shd w:val="clear" w:color="auto" w:fill="DCE6F1"/>
          </w:tcPr>
          <w:p w14:paraId="108902D9">
            <w:pPr>
              <w:spacing w:after="40"/>
            </w:pPr>
            <w:r>
              <w:rPr>
                <w:rFonts w:ascii="Times New Roman" w:hAnsi="Times New Roman" w:eastAsia="微软雅黑"/>
                <w:b/>
                <w:sz w:val="19"/>
              </w:rPr>
              <w:t>PMID</w:t>
            </w:r>
          </w:p>
        </w:tc>
        <w:tc>
          <w:tcPr>
            <w:tcW w:w="1904" w:type="dxa"/>
            <w:shd w:val="clear" w:color="auto" w:fill="DCE6F1"/>
          </w:tcPr>
          <w:p w14:paraId="434976A6">
            <w:pPr>
              <w:spacing w:after="40"/>
            </w:pPr>
            <w:r>
              <w:rPr>
                <w:rFonts w:ascii="Times New Roman" w:hAnsi="Times New Roman" w:eastAsia="微软雅黑"/>
                <w:b/>
                <w:sz w:val="19"/>
              </w:rPr>
              <w:t>用途</w:t>
            </w:r>
          </w:p>
        </w:tc>
      </w:tr>
      <w:tr w14:paraId="123A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6332DB0">
            <w:pPr>
              <w:spacing w:after="40"/>
            </w:pPr>
            <w:r>
              <w:rPr>
                <w:rFonts w:ascii="Times New Roman" w:hAnsi="Times New Roman" w:eastAsia="微软雅黑"/>
                <w:sz w:val="19"/>
              </w:rPr>
              <w:t>8</w:t>
            </w:r>
          </w:p>
        </w:tc>
        <w:tc>
          <w:tcPr>
            <w:tcW w:w="1904" w:type="dxa"/>
          </w:tcPr>
          <w:p w14:paraId="1B6E0160">
            <w:pPr>
              <w:spacing w:after="40"/>
            </w:pPr>
            <w:r>
              <w:rPr>
                <w:rFonts w:ascii="Times New Roman" w:hAnsi="Times New Roman" w:eastAsia="微软雅黑"/>
                <w:sz w:val="19"/>
              </w:rPr>
              <w:t>Computational Methods for MicroRNA Target Prediction</w:t>
            </w:r>
          </w:p>
        </w:tc>
        <w:tc>
          <w:tcPr>
            <w:tcW w:w="1904" w:type="dxa"/>
          </w:tcPr>
          <w:p w14:paraId="0DE15B30">
            <w:pPr>
              <w:spacing w:after="40"/>
            </w:pPr>
            <w:r>
              <w:rPr>
                <w:rFonts w:ascii="Times New Roman" w:hAnsi="Times New Roman" w:eastAsia="微软雅黑"/>
                <w:sz w:val="19"/>
              </w:rPr>
              <w:t>Genes, 2014</w:t>
            </w:r>
          </w:p>
        </w:tc>
        <w:tc>
          <w:tcPr>
            <w:tcW w:w="1904" w:type="dxa"/>
          </w:tcPr>
          <w:p w14:paraId="50DCD5FD">
            <w:pPr>
              <w:spacing w:after="40"/>
            </w:pPr>
            <w:r>
              <w:rPr>
                <w:rFonts w:ascii="Times New Roman" w:hAnsi="Times New Roman" w:eastAsia="微软雅黑"/>
                <w:color w:val="0563C1"/>
                <w:sz w:val="19"/>
                <w:u w:val="single"/>
              </w:rPr>
              <w:t>25153283</w:t>
            </w:r>
          </w:p>
        </w:tc>
        <w:tc>
          <w:tcPr>
            <w:tcW w:w="1904" w:type="dxa"/>
          </w:tcPr>
          <w:p w14:paraId="5654C7A7">
            <w:pPr>
              <w:spacing w:after="40"/>
            </w:pPr>
            <w:r>
              <w:rPr>
                <w:rFonts w:ascii="Times New Roman" w:hAnsi="Times New Roman" w:eastAsia="微软雅黑"/>
                <w:sz w:val="19"/>
              </w:rPr>
              <w:t>靶基因预测方法学依据与局限说明</w:t>
            </w:r>
          </w:p>
        </w:tc>
      </w:tr>
      <w:tr w14:paraId="7F7E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62DF572D">
            <w:pPr>
              <w:spacing w:after="40"/>
            </w:pPr>
            <w:r>
              <w:rPr>
                <w:rFonts w:ascii="Times New Roman" w:hAnsi="Times New Roman" w:eastAsia="微软雅黑"/>
                <w:sz w:val="19"/>
              </w:rPr>
              <w:t>9</w:t>
            </w:r>
          </w:p>
        </w:tc>
        <w:tc>
          <w:tcPr>
            <w:tcW w:w="1904" w:type="dxa"/>
          </w:tcPr>
          <w:p w14:paraId="13A71631">
            <w:pPr>
              <w:spacing w:after="40"/>
            </w:pPr>
            <w:r>
              <w:rPr>
                <w:rFonts w:ascii="Times New Roman" w:hAnsi="Times New Roman" w:eastAsia="微软雅黑"/>
                <w:sz w:val="19"/>
              </w:rPr>
              <w:t>MicroRNA-Target Network Inference and Local Network Enrichment Analysis</w:t>
            </w:r>
          </w:p>
        </w:tc>
        <w:tc>
          <w:tcPr>
            <w:tcW w:w="1904" w:type="dxa"/>
          </w:tcPr>
          <w:p w14:paraId="1E530379">
            <w:pPr>
              <w:spacing w:after="40"/>
            </w:pPr>
            <w:r>
              <w:rPr>
                <w:rFonts w:ascii="Times New Roman" w:hAnsi="Times New Roman" w:eastAsia="微软雅黑"/>
                <w:sz w:val="19"/>
              </w:rPr>
              <w:t>Int J Mol Sci, 2015</w:t>
            </w:r>
          </w:p>
        </w:tc>
        <w:tc>
          <w:tcPr>
            <w:tcW w:w="1904" w:type="dxa"/>
          </w:tcPr>
          <w:p w14:paraId="202DAD38">
            <w:pPr>
              <w:spacing w:after="40"/>
            </w:pPr>
            <w:r>
              <w:rPr>
                <w:rFonts w:ascii="Times New Roman" w:hAnsi="Times New Roman" w:eastAsia="微软雅黑"/>
                <w:color w:val="0563C1"/>
                <w:sz w:val="19"/>
                <w:u w:val="single"/>
              </w:rPr>
              <w:t>26694379</w:t>
            </w:r>
          </w:p>
        </w:tc>
        <w:tc>
          <w:tcPr>
            <w:tcW w:w="1904" w:type="dxa"/>
          </w:tcPr>
          <w:p w14:paraId="050C0679">
            <w:pPr>
              <w:spacing w:after="40"/>
            </w:pPr>
            <w:r>
              <w:rPr>
                <w:rFonts w:ascii="Times New Roman" w:hAnsi="Times New Roman" w:eastAsia="微软雅黑"/>
                <w:b/>
                <w:sz w:val="19"/>
              </w:rPr>
              <w:t>靶基因谱重叠分析的方法原型</w:t>
            </w:r>
          </w:p>
        </w:tc>
      </w:tr>
      <w:tr w14:paraId="4DA1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56D16E48">
            <w:pPr>
              <w:spacing w:after="40"/>
            </w:pPr>
            <w:r>
              <w:rPr>
                <w:rFonts w:ascii="Times New Roman" w:hAnsi="Times New Roman" w:eastAsia="微软雅黑"/>
                <w:sz w:val="19"/>
              </w:rPr>
              <w:t>10</w:t>
            </w:r>
          </w:p>
        </w:tc>
        <w:tc>
          <w:tcPr>
            <w:tcW w:w="1904" w:type="dxa"/>
          </w:tcPr>
          <w:p w14:paraId="107C9969">
            <w:pPr>
              <w:spacing w:after="40"/>
            </w:pPr>
            <w:r>
              <w:rPr>
                <w:rFonts w:ascii="Times New Roman" w:hAnsi="Times New Roman" w:eastAsia="微软雅黑"/>
                <w:sz w:val="19"/>
              </w:rPr>
              <w:t>Identification of microRNA-21 target genes associated with hair follicle development</w:t>
            </w:r>
          </w:p>
        </w:tc>
        <w:tc>
          <w:tcPr>
            <w:tcW w:w="1904" w:type="dxa"/>
          </w:tcPr>
          <w:p w14:paraId="6A5A55E9">
            <w:pPr>
              <w:spacing w:after="40"/>
            </w:pPr>
            <w:r>
              <w:rPr>
                <w:rFonts w:ascii="Times New Roman" w:hAnsi="Times New Roman" w:eastAsia="微软雅黑"/>
                <w:sz w:val="19"/>
              </w:rPr>
              <w:t>PeerJ, 2019</w:t>
            </w:r>
          </w:p>
        </w:tc>
        <w:tc>
          <w:tcPr>
            <w:tcW w:w="1904" w:type="dxa"/>
          </w:tcPr>
          <w:p w14:paraId="0CDF48D4">
            <w:pPr>
              <w:spacing w:after="40"/>
            </w:pPr>
            <w:r>
              <w:rPr>
                <w:rFonts w:ascii="Times New Roman" w:hAnsi="Times New Roman" w:eastAsia="微软雅黑"/>
                <w:color w:val="0563C1"/>
                <w:sz w:val="19"/>
                <w:u w:val="single"/>
              </w:rPr>
              <w:t>31293827</w:t>
            </w:r>
          </w:p>
        </w:tc>
        <w:tc>
          <w:tcPr>
            <w:tcW w:w="1904" w:type="dxa"/>
          </w:tcPr>
          <w:p w14:paraId="15641CC8">
            <w:pPr>
              <w:spacing w:after="40"/>
            </w:pPr>
            <w:r>
              <w:rPr>
                <w:rFonts w:ascii="Times New Roman" w:hAnsi="Times New Roman" w:eastAsia="微软雅黑"/>
                <w:sz w:val="19"/>
              </w:rPr>
              <w:t>miRNA 与毛囊靶基因关联的既有工作</w:t>
            </w:r>
          </w:p>
        </w:tc>
      </w:tr>
      <w:tr w14:paraId="72F4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FDA37AB">
            <w:pPr>
              <w:spacing w:after="40"/>
            </w:pPr>
            <w:r>
              <w:rPr>
                <w:rFonts w:ascii="Times New Roman" w:hAnsi="Times New Roman" w:eastAsia="微软雅黑"/>
                <w:sz w:val="19"/>
              </w:rPr>
              <w:t>11</w:t>
            </w:r>
          </w:p>
        </w:tc>
        <w:tc>
          <w:tcPr>
            <w:tcW w:w="1904" w:type="dxa"/>
          </w:tcPr>
          <w:p w14:paraId="59BEC200">
            <w:pPr>
              <w:spacing w:after="40"/>
            </w:pPr>
            <w:r>
              <w:rPr>
                <w:rFonts w:ascii="Times New Roman" w:hAnsi="Times New Roman" w:eastAsia="微软雅黑"/>
                <w:sz w:val="19"/>
              </w:rPr>
              <w:t>Expression of miRNA-203 and its target gene in hair follicle cycle development</w:t>
            </w:r>
          </w:p>
        </w:tc>
        <w:tc>
          <w:tcPr>
            <w:tcW w:w="1904" w:type="dxa"/>
          </w:tcPr>
          <w:p w14:paraId="6E68EBBD">
            <w:pPr>
              <w:spacing w:after="40"/>
            </w:pPr>
            <w:r>
              <w:rPr>
                <w:rFonts w:ascii="Times New Roman" w:hAnsi="Times New Roman" w:eastAsia="微软雅黑"/>
                <w:sz w:val="19"/>
              </w:rPr>
              <w:t>Cell Cycle, 2021</w:t>
            </w:r>
          </w:p>
        </w:tc>
        <w:tc>
          <w:tcPr>
            <w:tcW w:w="1904" w:type="dxa"/>
          </w:tcPr>
          <w:p w14:paraId="753C407B">
            <w:pPr>
              <w:spacing w:after="40"/>
            </w:pPr>
            <w:r>
              <w:rPr>
                <w:rFonts w:ascii="Times New Roman" w:hAnsi="Times New Roman" w:eastAsia="微软雅黑"/>
                <w:color w:val="0563C1"/>
                <w:sz w:val="19"/>
                <w:u w:val="single"/>
              </w:rPr>
              <w:t>33427027</w:t>
            </w:r>
          </w:p>
        </w:tc>
        <w:tc>
          <w:tcPr>
            <w:tcW w:w="1904" w:type="dxa"/>
          </w:tcPr>
          <w:p w14:paraId="280FAFA7">
            <w:pPr>
              <w:spacing w:after="40"/>
            </w:pPr>
            <w:r>
              <w:rPr>
                <w:rFonts w:ascii="Times New Roman" w:hAnsi="Times New Roman" w:eastAsia="微软雅黑"/>
                <w:b/>
                <w:sz w:val="19"/>
              </w:rPr>
              <w:t>最接近本项目的既有工作</w:t>
            </w:r>
            <w:r>
              <w:rPr>
                <w:rFonts w:ascii="Times New Roman" w:hAnsi="Times New Roman" w:eastAsia="微软雅黑"/>
                <w:sz w:val="19"/>
              </w:rPr>
              <w:t>——但仅针对单一 miRNA(单个 miR-203),未做全 miRNA 组重叠分析</w:t>
            </w:r>
          </w:p>
        </w:tc>
      </w:tr>
      <w:tr w14:paraId="0860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8A1ED56">
            <w:pPr>
              <w:spacing w:after="40"/>
            </w:pPr>
            <w:r>
              <w:rPr>
                <w:rFonts w:ascii="Times New Roman" w:hAnsi="Times New Roman" w:eastAsia="微软雅黑"/>
                <w:sz w:val="19"/>
              </w:rPr>
              <w:t>12</w:t>
            </w:r>
          </w:p>
        </w:tc>
        <w:tc>
          <w:tcPr>
            <w:tcW w:w="1904" w:type="dxa"/>
          </w:tcPr>
          <w:p w14:paraId="05FC406F">
            <w:pPr>
              <w:spacing w:after="40"/>
            </w:pPr>
            <w:r>
              <w:rPr>
                <w:rFonts w:ascii="Times New Roman" w:hAnsi="Times New Roman" w:eastAsia="微软雅黑"/>
                <w:sz w:val="19"/>
              </w:rPr>
              <w:t>Construction and analyses of the microRNA-target gene differential regulatory network</w:t>
            </w:r>
          </w:p>
        </w:tc>
        <w:tc>
          <w:tcPr>
            <w:tcW w:w="1904" w:type="dxa"/>
          </w:tcPr>
          <w:p w14:paraId="299167DD">
            <w:pPr>
              <w:spacing w:after="40"/>
            </w:pPr>
            <w:r>
              <w:rPr>
                <w:rFonts w:ascii="Times New Roman" w:hAnsi="Times New Roman" w:eastAsia="微软雅黑"/>
                <w:sz w:val="19"/>
              </w:rPr>
              <w:t>PLoS One, 2017</w:t>
            </w:r>
          </w:p>
        </w:tc>
        <w:tc>
          <w:tcPr>
            <w:tcW w:w="1904" w:type="dxa"/>
          </w:tcPr>
          <w:p w14:paraId="2AFCAFF9">
            <w:pPr>
              <w:spacing w:after="40"/>
            </w:pPr>
            <w:r>
              <w:rPr>
                <w:rFonts w:ascii="Times New Roman" w:hAnsi="Times New Roman" w:eastAsia="微软雅黑"/>
                <w:color w:val="0563C1"/>
                <w:sz w:val="19"/>
                <w:u w:val="single"/>
              </w:rPr>
              <w:t>28570571</w:t>
            </w:r>
          </w:p>
        </w:tc>
        <w:tc>
          <w:tcPr>
            <w:tcW w:w="1904" w:type="dxa"/>
          </w:tcPr>
          <w:p w14:paraId="18A10359">
            <w:pPr>
              <w:spacing w:after="40"/>
            </w:pPr>
            <w:r>
              <w:rPr>
                <w:rFonts w:ascii="Times New Roman" w:hAnsi="Times New Roman" w:eastAsia="微软雅黑"/>
                <w:sz w:val="19"/>
              </w:rPr>
              <w:t>网络构建流程参照</w:t>
            </w:r>
          </w:p>
        </w:tc>
      </w:tr>
    </w:tbl>
    <w:p w14:paraId="60C98699"/>
    <w:p w14:paraId="42A9FB75">
      <w:pPr>
        <w:pStyle w:val="4"/>
      </w:pPr>
      <w:r>
        <w:t>3.3 文献检索结果(已核实的定量结论)</w:t>
      </w:r>
    </w:p>
    <w:p w14:paraId="79C4F373">
      <w:r>
        <w:rPr>
          <w:rFonts w:ascii="Times New Roman" w:hAnsi="Times New Roman" w:eastAsia="微软雅黑"/>
        </w:rPr>
        <w:t>通过 NCBI PubMed 官方检索,获得以下关键量化信息: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0CF2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CE6F1"/>
          </w:tcPr>
          <w:p w14:paraId="3C67C3D6">
            <w:pPr>
              <w:spacing w:after="40"/>
            </w:pPr>
            <w:r>
              <w:rPr>
                <w:rFonts w:ascii="Times New Roman" w:hAnsi="Times New Roman" w:eastAsia="微软雅黑"/>
                <w:b/>
                <w:sz w:val="19"/>
              </w:rPr>
              <w:t>检索式</w:t>
            </w:r>
          </w:p>
        </w:tc>
        <w:tc>
          <w:tcPr>
            <w:tcW w:w="3173" w:type="dxa"/>
            <w:shd w:val="clear" w:color="auto" w:fill="DCE6F1"/>
          </w:tcPr>
          <w:p w14:paraId="4B40D921">
            <w:pPr>
              <w:spacing w:after="40"/>
            </w:pPr>
            <w:r>
              <w:rPr>
                <w:rFonts w:ascii="Times New Roman" w:hAnsi="Times New Roman" w:eastAsia="微软雅黑"/>
                <w:b/>
                <w:sz w:val="19"/>
              </w:rPr>
              <w:t>命中数</w:t>
            </w:r>
          </w:p>
        </w:tc>
        <w:tc>
          <w:tcPr>
            <w:tcW w:w="3173" w:type="dxa"/>
            <w:shd w:val="clear" w:color="auto" w:fill="DCE6F1"/>
          </w:tcPr>
          <w:p w14:paraId="53A60684">
            <w:pPr>
              <w:spacing w:after="40"/>
            </w:pPr>
            <w:r>
              <w:rPr>
                <w:rFonts w:ascii="Times New Roman" w:hAnsi="Times New Roman" w:eastAsia="微软雅黑"/>
                <w:b/>
                <w:sz w:val="19"/>
              </w:rPr>
              <w:t>含义</w:t>
            </w:r>
          </w:p>
        </w:tc>
      </w:tr>
      <w:tr w14:paraId="0ED6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0C8E1DC5">
            <w:pPr>
              <w:spacing w:after="40"/>
            </w:pPr>
            <w:r>
              <w:rPr>
                <w:rFonts w:ascii="Times New Roman" w:hAnsi="Times New Roman" w:eastAsia="微软雅黑"/>
                <w:color w:val="A03030"/>
                <w:sz w:val="19"/>
              </w:rPr>
              <w:t>microRNA AND dermal papilla</w:t>
            </w:r>
          </w:p>
        </w:tc>
        <w:tc>
          <w:tcPr>
            <w:tcW w:w="3173" w:type="dxa"/>
          </w:tcPr>
          <w:p w14:paraId="0886BC89">
            <w:pPr>
              <w:spacing w:after="40"/>
            </w:pPr>
            <w:r>
              <w:rPr>
                <w:rFonts w:ascii="Times New Roman" w:hAnsi="Times New Roman" w:eastAsia="微软雅黑"/>
                <w:b/>
                <w:sz w:val="19"/>
              </w:rPr>
              <w:t>49</w:t>
            </w:r>
          </w:p>
        </w:tc>
        <w:tc>
          <w:tcPr>
            <w:tcW w:w="3173" w:type="dxa"/>
          </w:tcPr>
          <w:p w14:paraId="2E16BBC0">
            <w:pPr>
              <w:spacing w:after="40"/>
            </w:pPr>
            <w:r>
              <w:rPr>
                <w:rFonts w:ascii="Times New Roman" w:hAnsi="Times New Roman" w:eastAsia="微软雅黑"/>
                <w:sz w:val="19"/>
              </w:rPr>
              <w:t>DP-miRNA 文献存在,但以"外泌体递送 miRNA 治脱发"为主,机制研究少</w:t>
            </w:r>
          </w:p>
        </w:tc>
      </w:tr>
      <w:tr w14:paraId="1047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864FBED">
            <w:pPr>
              <w:spacing w:after="40"/>
            </w:pPr>
            <w:r>
              <w:rPr>
                <w:rFonts w:ascii="Times New Roman" w:hAnsi="Times New Roman" w:eastAsia="微软雅黑"/>
                <w:color w:val="A03030"/>
                <w:sz w:val="19"/>
              </w:rPr>
              <w:t>miRNA AND hair follicle (mouse)</w:t>
            </w:r>
          </w:p>
        </w:tc>
        <w:tc>
          <w:tcPr>
            <w:tcW w:w="3173" w:type="dxa"/>
          </w:tcPr>
          <w:p w14:paraId="3D07DA6F">
            <w:pPr>
              <w:spacing w:after="40"/>
            </w:pPr>
            <w:r>
              <w:rPr>
                <w:rFonts w:ascii="Times New Roman" w:hAnsi="Times New Roman" w:eastAsia="微软雅黑"/>
                <w:b/>
                <w:sz w:val="19"/>
              </w:rPr>
              <w:t>36</w:t>
            </w:r>
          </w:p>
        </w:tc>
        <w:tc>
          <w:tcPr>
            <w:tcW w:w="3173" w:type="dxa"/>
          </w:tcPr>
          <w:p w14:paraId="7A29F0EC">
            <w:pPr>
              <w:spacing w:after="40"/>
            </w:pPr>
            <w:r>
              <w:rPr>
                <w:rFonts w:ascii="Times New Roman" w:hAnsi="Times New Roman" w:eastAsia="微软雅黑"/>
                <w:sz w:val="19"/>
              </w:rPr>
              <w:t>总体量小,多为单 miRNA 报道</w:t>
            </w:r>
          </w:p>
        </w:tc>
      </w:tr>
      <w:tr w14:paraId="1EE2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F5647F9">
            <w:pPr>
              <w:spacing w:after="40"/>
            </w:pPr>
            <w:r>
              <w:rPr>
                <w:rFonts w:ascii="Times New Roman" w:hAnsi="Times New Roman" w:eastAsia="微软雅黑"/>
                <w:color w:val="A03030"/>
                <w:sz w:val="19"/>
              </w:rPr>
              <w:t>miRNA AND hair follicle [Title] (review)</w:t>
            </w:r>
          </w:p>
        </w:tc>
        <w:tc>
          <w:tcPr>
            <w:tcW w:w="3173" w:type="dxa"/>
          </w:tcPr>
          <w:p w14:paraId="290F4EAE">
            <w:pPr>
              <w:spacing w:after="40"/>
            </w:pPr>
            <w:r>
              <w:rPr>
                <w:rFonts w:ascii="Times New Roman" w:hAnsi="Times New Roman" w:eastAsia="微软雅黑"/>
                <w:b/>
                <w:sz w:val="19"/>
              </w:rPr>
              <w:t>41</w:t>
            </w:r>
          </w:p>
        </w:tc>
        <w:tc>
          <w:tcPr>
            <w:tcW w:w="3173" w:type="dxa"/>
          </w:tcPr>
          <w:p w14:paraId="3E3B1126">
            <w:pPr>
              <w:spacing w:after="40"/>
            </w:pPr>
            <w:r>
              <w:rPr>
                <w:rFonts w:ascii="Times New Roman" w:hAnsi="Times New Roman" w:eastAsia="微软雅黑"/>
                <w:sz w:val="19"/>
              </w:rPr>
              <w:t>综述数量,反映领域关注度</w:t>
            </w:r>
          </w:p>
        </w:tc>
      </w:tr>
      <w:tr w14:paraId="7CAB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8CDF3B9">
            <w:pPr>
              <w:spacing w:after="40"/>
            </w:pPr>
            <w:r>
              <w:rPr>
                <w:rFonts w:ascii="Times New Roman" w:hAnsi="Times New Roman" w:eastAsia="微软雅黑"/>
                <w:b/>
                <w:sz w:val="19"/>
              </w:rPr>
              <w:t>`miR-214 AND PTEN AND (hair OR follicle)`</w:t>
            </w:r>
          </w:p>
        </w:tc>
        <w:tc>
          <w:tcPr>
            <w:tcW w:w="3173" w:type="dxa"/>
          </w:tcPr>
          <w:p w14:paraId="38AB87A9">
            <w:pPr>
              <w:spacing w:after="40"/>
            </w:pPr>
            <w:r>
              <w:rPr>
                <w:rFonts w:ascii="Times New Roman" w:hAnsi="Times New Roman" w:eastAsia="微软雅黑"/>
                <w:b/>
                <w:sz w:val="19"/>
              </w:rPr>
              <w:t>0</w:t>
            </w:r>
            <w:r>
              <w:rPr>
                <w:rFonts w:ascii="Times New Roman" w:hAnsi="Times New Roman" w:eastAsia="微软雅黑"/>
                <w:sz w:val="19"/>
              </w:rPr>
              <w:t xml:space="preserve"> ⚠️</w:t>
            </w:r>
          </w:p>
        </w:tc>
        <w:tc>
          <w:tcPr>
            <w:tcW w:w="3173" w:type="dxa"/>
          </w:tcPr>
          <w:p w14:paraId="1358E332">
            <w:pPr>
              <w:spacing w:after="40"/>
            </w:pPr>
            <w:r>
              <w:rPr>
                <w:rFonts w:ascii="Times New Roman" w:hAnsi="Times New Roman" w:eastAsia="微软雅黑"/>
                <w:b/>
                <w:sz w:val="19"/>
              </w:rPr>
              <w:t>关键发现</w:t>
            </w:r>
            <w:r>
              <w:rPr>
                <w:rFonts w:ascii="Times New Roman" w:hAnsi="Times New Roman" w:eastAsia="微软雅黑"/>
                <w:sz w:val="19"/>
              </w:rPr>
              <w:t>:miR-214–PTEN–毛囊三者在 PubMed 中</w:t>
            </w:r>
            <w:r>
              <w:rPr>
                <w:rFonts w:ascii="Times New Roman" w:hAnsi="Times New Roman" w:eastAsia="微软雅黑"/>
                <w:b/>
                <w:sz w:val="19"/>
              </w:rPr>
              <w:t>无直接文献</w:t>
            </w:r>
            <w:r>
              <w:rPr>
                <w:rFonts w:ascii="Times New Roman" w:hAnsi="Times New Roman" w:eastAsia="微软雅黑"/>
                <w:sz w:val="19"/>
              </w:rPr>
              <w:t xml:space="preserve">,说明该机制在毛囊语境下尚未被系统验证 → </w:t>
            </w:r>
            <w:r>
              <w:rPr>
                <w:rFonts w:ascii="Times New Roman" w:hAnsi="Times New Roman" w:eastAsia="微软雅黑"/>
                <w:b/>
                <w:sz w:val="19"/>
              </w:rPr>
              <w:t>构成本项目的核心空白与创新依据</w:t>
            </w:r>
          </w:p>
        </w:tc>
      </w:tr>
      <w:tr w14:paraId="2F05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7A34D0A">
            <w:pPr>
              <w:spacing w:after="40"/>
            </w:pPr>
            <w:r>
              <w:rPr>
                <w:rFonts w:ascii="Times New Roman" w:hAnsi="Times New Roman" w:eastAsia="微软雅黑"/>
                <w:color w:val="A03030"/>
                <w:sz w:val="19"/>
              </w:rPr>
              <w:t>Wnt AND hair cycle</w:t>
            </w:r>
          </w:p>
        </w:tc>
        <w:tc>
          <w:tcPr>
            <w:tcW w:w="3173" w:type="dxa"/>
          </w:tcPr>
          <w:p w14:paraId="45441FDE">
            <w:pPr>
              <w:spacing w:after="40"/>
            </w:pPr>
            <w:r>
              <w:rPr>
                <w:rFonts w:ascii="Times New Roman" w:hAnsi="Times New Roman" w:eastAsia="微软雅黑"/>
                <w:sz w:val="19"/>
              </w:rPr>
              <w:t>147</w:t>
            </w:r>
          </w:p>
        </w:tc>
        <w:tc>
          <w:tcPr>
            <w:tcW w:w="3173" w:type="dxa"/>
          </w:tcPr>
          <w:p w14:paraId="63A0B1EC">
            <w:pPr>
              <w:spacing w:after="40"/>
            </w:pPr>
            <w:r>
              <w:rPr>
                <w:rFonts w:ascii="Times New Roman" w:hAnsi="Times New Roman" w:eastAsia="微软雅黑"/>
                <w:sz w:val="19"/>
              </w:rPr>
              <w:t>Wnt 通路与毛周期关联证据充分</w:t>
            </w:r>
          </w:p>
        </w:tc>
      </w:tr>
    </w:tbl>
    <w:p w14:paraId="0621BF7C"/>
    <w:p w14:paraId="3A6355C6">
      <w:pPr>
        <w:ind w:left="340"/>
      </w:pPr>
      <w:r>
        <w:rPr>
          <w:rFonts w:ascii="Times New Roman" w:hAnsi="Times New Roman" w:eastAsia="微软雅黑"/>
          <w:b/>
          <w:i/>
          <w:sz w:val="19"/>
        </w:rPr>
        <w:t>评审可核验</w:t>
      </w:r>
      <w:r>
        <w:rPr>
          <w:rFonts w:ascii="Times New Roman" w:hAnsi="Times New Roman" w:eastAsia="微软雅黑"/>
          <w:i/>
          <w:sz w:val="19"/>
        </w:rPr>
        <w:t xml:space="preserve">:上述命中数由 </w:t>
      </w:r>
      <w:r>
        <w:rPr>
          <w:rFonts w:ascii="Consolas" w:hAnsi="Consolas"/>
          <w:i/>
          <w:color w:val="A03030"/>
          <w:sz w:val="19"/>
        </w:rPr>
        <w:t>scripts/03_citations.py</w:t>
      </w:r>
      <w:r>
        <w:rPr>
          <w:rFonts w:ascii="Times New Roman" w:hAnsi="Times New Roman" w:eastAsia="微软雅黑"/>
          <w:i/>
          <w:sz w:val="19"/>
        </w:rPr>
        <w:t xml:space="preserve"> 于 2026-10-11 实时调用 NCBI E-utilities API 获得,检索式完整记录于 </w:t>
      </w:r>
      <w:r>
        <w:rPr>
          <w:rFonts w:ascii="Consolas" w:hAnsi="Consolas"/>
          <w:i/>
          <w:color w:val="A03030"/>
          <w:sz w:val="19"/>
        </w:rPr>
        <w:t>results/tables/citations.json</w:t>
      </w:r>
      <w:r>
        <w:rPr>
          <w:rFonts w:ascii="Times New Roman" w:hAnsi="Times New Roman" w:eastAsia="微软雅黑"/>
          <w:i/>
          <w:sz w:val="19"/>
        </w:rPr>
        <w:t>。</w:t>
      </w:r>
    </w:p>
    <w:p w14:paraId="267710D7">
      <w:pPr>
        <w:pStyle w:val="3"/>
      </w:pPr>
      <w:r>
        <w:t>四、Data Collection Strategy(数据收集策略)</w:t>
      </w:r>
    </w:p>
    <w:p w14:paraId="3ED49DB5">
      <w:pPr>
        <w:ind w:left="340"/>
      </w:pPr>
      <w:r>
        <w:rPr>
          <w:rFonts w:ascii="Times New Roman" w:hAnsi="Times New Roman" w:eastAsia="微软雅黑"/>
          <w:i/>
          <w:sz w:val="19"/>
        </w:rPr>
        <w:t xml:space="preserve">⚠️ </w:t>
      </w:r>
      <w:r>
        <w:rPr>
          <w:rFonts w:ascii="Times New Roman" w:hAnsi="Times New Roman" w:eastAsia="微软雅黑"/>
          <w:b/>
          <w:i/>
          <w:sz w:val="19"/>
        </w:rPr>
        <w:t>数据来源声明</w:t>
      </w:r>
      <w:r>
        <w:rPr>
          <w:rFonts w:ascii="Times New Roman" w:hAnsi="Times New Roman" w:eastAsia="微软雅黑"/>
          <w:i/>
          <w:sz w:val="19"/>
        </w:rPr>
        <w:t xml:space="preserve">:以下数据集全部来自 </w:t>
      </w:r>
      <w:r>
        <w:rPr>
          <w:rFonts w:ascii="Times New Roman" w:hAnsi="Times New Roman" w:eastAsia="微软雅黑"/>
          <w:b/>
          <w:i/>
          <w:sz w:val="19"/>
        </w:rPr>
        <w:t>NCBI Gene Expression Omnibus (GEO) 官方数据库</w:t>
      </w:r>
      <w:r>
        <w:rPr>
          <w:rFonts w:ascii="Times New Roman" w:hAnsi="Times New Roman" w:eastAsia="微软雅黑"/>
          <w:i/>
          <w:sz w:val="19"/>
        </w:rPr>
        <w:t>(https://www.ncbi.nlm.nih.gov/geo/),均为已公开发表的第三方数据,</w:t>
      </w:r>
      <w:r>
        <w:rPr>
          <w:rFonts w:ascii="Times New Roman" w:hAnsi="Times New Roman" w:eastAsia="微软雅黑"/>
          <w:b/>
          <w:i/>
          <w:sz w:val="19"/>
        </w:rPr>
        <w:t>不使用任何未公开数据</w:t>
      </w:r>
      <w:r>
        <w:rPr>
          <w:rFonts w:ascii="Times New Roman" w:hAnsi="Times New Roman" w:eastAsia="微软雅黑"/>
          <w:i/>
          <w:sz w:val="19"/>
        </w:rPr>
        <w:t>。所有元信息经 NCBI API 核验。</w:t>
      </w:r>
    </w:p>
    <w:p w14:paraId="63151B0E">
      <w:pPr>
        <w:pStyle w:val="4"/>
      </w:pPr>
      <w:r>
        <w:t>4.1 目标数据集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904"/>
        <w:gridCol w:w="1904"/>
        <w:gridCol w:w="1904"/>
        <w:gridCol w:w="1904"/>
      </w:tblGrid>
      <w:tr w14:paraId="38B7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shd w:val="clear" w:color="auto" w:fill="DCE6F1"/>
          </w:tcPr>
          <w:p w14:paraId="0BE54B8B">
            <w:pPr>
              <w:spacing w:after="40"/>
            </w:pPr>
            <w:r>
              <w:rPr>
                <w:rFonts w:ascii="Times New Roman" w:hAnsi="Times New Roman" w:eastAsia="微软雅黑"/>
                <w:b/>
                <w:sz w:val="19"/>
              </w:rPr>
              <w:t>数据集</w:t>
            </w:r>
          </w:p>
        </w:tc>
        <w:tc>
          <w:tcPr>
            <w:tcW w:w="1904" w:type="dxa"/>
            <w:shd w:val="clear" w:color="auto" w:fill="DCE6F1"/>
          </w:tcPr>
          <w:p w14:paraId="7BE57BCF">
            <w:pPr>
              <w:spacing w:after="40"/>
            </w:pPr>
            <w:r>
              <w:rPr>
                <w:rFonts w:ascii="Times New Roman" w:hAnsi="Times New Roman" w:eastAsia="微软雅黑"/>
                <w:b/>
                <w:sz w:val="19"/>
              </w:rPr>
              <w:t>样本数</w:t>
            </w:r>
          </w:p>
        </w:tc>
        <w:tc>
          <w:tcPr>
            <w:tcW w:w="1904" w:type="dxa"/>
            <w:shd w:val="clear" w:color="auto" w:fill="DCE6F1"/>
          </w:tcPr>
          <w:p w14:paraId="66EDF774">
            <w:pPr>
              <w:spacing w:after="40"/>
            </w:pPr>
            <w:r>
              <w:rPr>
                <w:rFonts w:ascii="Times New Roman" w:hAnsi="Times New Roman" w:eastAsia="微软雅黑"/>
                <w:b/>
                <w:sz w:val="19"/>
              </w:rPr>
              <w:t>平台</w:t>
            </w:r>
          </w:p>
        </w:tc>
        <w:tc>
          <w:tcPr>
            <w:tcW w:w="1904" w:type="dxa"/>
            <w:shd w:val="clear" w:color="auto" w:fill="DCE6F1"/>
          </w:tcPr>
          <w:p w14:paraId="06B34C4F">
            <w:pPr>
              <w:spacing w:after="40"/>
            </w:pPr>
            <w:r>
              <w:rPr>
                <w:rFonts w:ascii="Times New Roman" w:hAnsi="Times New Roman" w:eastAsia="微软雅黑"/>
                <w:b/>
                <w:sz w:val="19"/>
              </w:rPr>
              <w:t>内容</w:t>
            </w:r>
          </w:p>
        </w:tc>
        <w:tc>
          <w:tcPr>
            <w:tcW w:w="1904" w:type="dxa"/>
            <w:shd w:val="clear" w:color="auto" w:fill="DCE6F1"/>
          </w:tcPr>
          <w:p w14:paraId="2107CA3E">
            <w:pPr>
              <w:spacing w:after="40"/>
            </w:pPr>
            <w:r>
              <w:rPr>
                <w:rFonts w:ascii="Times New Roman" w:hAnsi="Times New Roman" w:eastAsia="微软雅黑"/>
                <w:b/>
                <w:sz w:val="19"/>
              </w:rPr>
              <w:t>在本项目中的角色</w:t>
            </w:r>
          </w:p>
        </w:tc>
      </w:tr>
      <w:tr w14:paraId="5E42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467BCD06">
            <w:pPr>
              <w:spacing w:after="40"/>
            </w:pPr>
            <w:r>
              <w:rPr>
                <w:rFonts w:ascii="Times New Roman" w:hAnsi="Times New Roman" w:eastAsia="微软雅黑"/>
                <w:b/>
                <w:sz w:val="19"/>
              </w:rPr>
              <w:t>GSE15185</w:t>
            </w:r>
          </w:p>
        </w:tc>
        <w:tc>
          <w:tcPr>
            <w:tcW w:w="1904" w:type="dxa"/>
          </w:tcPr>
          <w:p w14:paraId="266366B8">
            <w:pPr>
              <w:spacing w:after="40"/>
            </w:pPr>
            <w:r>
              <w:rPr>
                <w:rFonts w:ascii="Times New Roman" w:hAnsi="Times New Roman" w:eastAsia="微软雅黑"/>
                <w:sz w:val="19"/>
              </w:rPr>
              <w:t>9</w:t>
            </w:r>
          </w:p>
        </w:tc>
        <w:tc>
          <w:tcPr>
            <w:tcW w:w="1904" w:type="dxa"/>
          </w:tcPr>
          <w:p w14:paraId="0E8EC499">
            <w:pPr>
              <w:spacing w:after="40"/>
            </w:pPr>
            <w:r>
              <w:rPr>
                <w:rFonts w:ascii="Times New Roman" w:hAnsi="Times New Roman" w:eastAsia="微软雅黑"/>
                <w:sz w:val="19"/>
              </w:rPr>
              <w:t>GPL8321 (Affymetrix MoGene 1.0 ST)</w:t>
            </w:r>
          </w:p>
        </w:tc>
        <w:tc>
          <w:tcPr>
            <w:tcW w:w="1904" w:type="dxa"/>
          </w:tcPr>
          <w:p w14:paraId="30D421C7">
            <w:pPr>
              <w:spacing w:after="40"/>
            </w:pPr>
            <w:r>
              <w:rPr>
                <w:rFonts w:ascii="Times New Roman" w:hAnsi="Times New Roman" w:eastAsia="微软雅黑"/>
                <w:sz w:val="19"/>
              </w:rPr>
              <w:t>分选毛囊细胞,覆盖</w:t>
            </w:r>
            <w:r>
              <w:rPr>
                <w:rFonts w:ascii="Times New Roman" w:hAnsi="Times New Roman" w:eastAsia="微软雅黑"/>
                <w:b/>
                <w:sz w:val="19"/>
              </w:rPr>
              <w:t>第二次休止期→生长期转换</w:t>
            </w:r>
          </w:p>
        </w:tc>
        <w:tc>
          <w:tcPr>
            <w:tcW w:w="1904" w:type="dxa"/>
          </w:tcPr>
          <w:p w14:paraId="53B489FF">
            <w:pPr>
              <w:spacing w:after="40"/>
            </w:pPr>
            <w:r>
              <w:rPr>
                <w:rFonts w:ascii="Times New Roman" w:hAnsi="Times New Roman" w:eastAsia="微软雅黑"/>
                <w:sz w:val="19"/>
              </w:rPr>
              <w:t xml:space="preserve">⭐ </w:t>
            </w:r>
            <w:r>
              <w:rPr>
                <w:rFonts w:ascii="Times New Roman" w:hAnsi="Times New Roman" w:eastAsia="微软雅黑"/>
                <w:b/>
                <w:sz w:val="19"/>
              </w:rPr>
              <w:t>核心数据集</w:t>
            </w:r>
            <w:r>
              <w:rPr>
                <w:rFonts w:ascii="Times New Roman" w:hAnsi="Times New Roman" w:eastAsia="微软雅黑"/>
                <w:sz w:val="19"/>
              </w:rPr>
              <w:t>。提供毛周期转换差异基因</w:t>
            </w:r>
          </w:p>
        </w:tc>
      </w:tr>
      <w:tr w14:paraId="2AB4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D5EC69C">
            <w:pPr>
              <w:spacing w:after="40"/>
            </w:pPr>
            <w:r>
              <w:rPr>
                <w:rFonts w:ascii="Times New Roman" w:hAnsi="Times New Roman" w:eastAsia="微软雅黑"/>
                <w:b/>
                <w:sz w:val="19"/>
              </w:rPr>
              <w:t>GSE115649</w:t>
            </w:r>
          </w:p>
        </w:tc>
        <w:tc>
          <w:tcPr>
            <w:tcW w:w="1904" w:type="dxa"/>
          </w:tcPr>
          <w:p w14:paraId="6230DA63">
            <w:pPr>
              <w:spacing w:after="40"/>
            </w:pPr>
            <w:r>
              <w:rPr>
                <w:rFonts w:ascii="Times New Roman" w:hAnsi="Times New Roman" w:eastAsia="微软雅黑"/>
                <w:sz w:val="19"/>
              </w:rPr>
              <w:t>12</w:t>
            </w:r>
          </w:p>
        </w:tc>
        <w:tc>
          <w:tcPr>
            <w:tcW w:w="1904" w:type="dxa"/>
          </w:tcPr>
          <w:p w14:paraId="0A5D893C">
            <w:pPr>
              <w:spacing w:after="40"/>
            </w:pPr>
            <w:r>
              <w:rPr>
                <w:rFonts w:ascii="Times New Roman" w:hAnsi="Times New Roman" w:eastAsia="微软雅黑"/>
                <w:sz w:val="19"/>
              </w:rPr>
              <w:t>GPL17021 (Illumina HiSeq 4000)</w:t>
            </w:r>
          </w:p>
        </w:tc>
        <w:tc>
          <w:tcPr>
            <w:tcW w:w="1904" w:type="dxa"/>
          </w:tcPr>
          <w:p w14:paraId="48939752">
            <w:pPr>
              <w:spacing w:after="40"/>
            </w:pPr>
            <w:r>
              <w:rPr>
                <w:rFonts w:ascii="Times New Roman" w:hAnsi="Times New Roman" w:eastAsia="微软雅黑"/>
                <w:sz w:val="19"/>
              </w:rPr>
              <w:t>DP 细胞,WT vs DP 特异性敲除</w:t>
            </w:r>
          </w:p>
        </w:tc>
        <w:tc>
          <w:tcPr>
            <w:tcW w:w="1904" w:type="dxa"/>
          </w:tcPr>
          <w:p w14:paraId="5A032217">
            <w:pPr>
              <w:spacing w:after="40"/>
            </w:pPr>
            <w:r>
              <w:rPr>
                <w:rFonts w:ascii="Times New Roman" w:hAnsi="Times New Roman" w:eastAsia="微软雅黑"/>
                <w:b/>
                <w:sz w:val="19"/>
              </w:rPr>
              <w:t>H2 支撑</w:t>
            </w:r>
            <w:r>
              <w:rPr>
                <w:rFonts w:ascii="Times New Roman" w:hAnsi="Times New Roman" w:eastAsia="微软雅黑"/>
                <w:sz w:val="19"/>
              </w:rPr>
              <w:t>。DP 表达谱</w:t>
            </w:r>
          </w:p>
        </w:tc>
      </w:tr>
      <w:tr w14:paraId="7CC5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03BF0B9">
            <w:pPr>
              <w:spacing w:after="40"/>
            </w:pPr>
            <w:r>
              <w:rPr>
                <w:rFonts w:ascii="Times New Roman" w:hAnsi="Times New Roman" w:eastAsia="微软雅黑"/>
                <w:b/>
                <w:sz w:val="19"/>
              </w:rPr>
              <w:t>GSE155837</w:t>
            </w:r>
          </w:p>
        </w:tc>
        <w:tc>
          <w:tcPr>
            <w:tcW w:w="1904" w:type="dxa"/>
          </w:tcPr>
          <w:p w14:paraId="7A19B150">
            <w:pPr>
              <w:spacing w:after="40"/>
            </w:pPr>
            <w:r>
              <w:rPr>
                <w:rFonts w:ascii="Times New Roman" w:hAnsi="Times New Roman" w:eastAsia="微软雅黑"/>
                <w:sz w:val="19"/>
              </w:rPr>
              <w:t>12</w:t>
            </w:r>
          </w:p>
        </w:tc>
        <w:tc>
          <w:tcPr>
            <w:tcW w:w="1904" w:type="dxa"/>
          </w:tcPr>
          <w:p w14:paraId="19CCDD42">
            <w:pPr>
              <w:spacing w:after="40"/>
            </w:pPr>
            <w:r>
              <w:rPr>
                <w:rFonts w:ascii="Times New Roman" w:hAnsi="Times New Roman" w:eastAsia="微软雅黑"/>
                <w:sz w:val="19"/>
              </w:rPr>
              <w:t>GPL17021 (Illumina HiSeq 4000)</w:t>
            </w:r>
          </w:p>
        </w:tc>
        <w:tc>
          <w:tcPr>
            <w:tcW w:w="1904" w:type="dxa"/>
          </w:tcPr>
          <w:p w14:paraId="10314E51">
            <w:pPr>
              <w:spacing w:after="40"/>
            </w:pPr>
            <w:r>
              <w:rPr>
                <w:rFonts w:ascii="Times New Roman" w:hAnsi="Times New Roman" w:eastAsia="微软雅黑"/>
                <w:sz w:val="19"/>
              </w:rPr>
              <w:t>DP 细胞,WT vs Fgfr1/Fgfr2 敲除</w:t>
            </w:r>
          </w:p>
        </w:tc>
        <w:tc>
          <w:tcPr>
            <w:tcW w:w="1904" w:type="dxa"/>
          </w:tcPr>
          <w:p w14:paraId="60A8FA85">
            <w:pPr>
              <w:spacing w:after="40"/>
            </w:pPr>
            <w:r>
              <w:rPr>
                <w:rFonts w:ascii="Times New Roman" w:hAnsi="Times New Roman" w:eastAsia="微软雅黑"/>
                <w:b/>
                <w:sz w:val="19"/>
              </w:rPr>
              <w:t>H2 支撑</w:t>
            </w:r>
            <w:r>
              <w:rPr>
                <w:rFonts w:ascii="Times New Roman" w:hAnsi="Times New Roman" w:eastAsia="微软雅黑"/>
                <w:sz w:val="19"/>
              </w:rPr>
              <w:t>。DP 表达谱(独立数据集)</w:t>
            </w:r>
          </w:p>
        </w:tc>
      </w:tr>
      <w:tr w14:paraId="296F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56E22AF">
            <w:pPr>
              <w:spacing w:after="40"/>
            </w:pPr>
            <w:r>
              <w:rPr>
                <w:rFonts w:ascii="Times New Roman" w:hAnsi="Times New Roman" w:eastAsia="微软雅黑"/>
                <w:sz w:val="19"/>
              </w:rPr>
              <w:t>GSE261821</w:t>
            </w:r>
          </w:p>
        </w:tc>
        <w:tc>
          <w:tcPr>
            <w:tcW w:w="1904" w:type="dxa"/>
          </w:tcPr>
          <w:p w14:paraId="1B8F8DDD">
            <w:pPr>
              <w:spacing w:after="40"/>
            </w:pPr>
            <w:r>
              <w:rPr>
                <w:rFonts w:ascii="Times New Roman" w:hAnsi="Times New Roman" w:eastAsia="微软雅黑"/>
                <w:sz w:val="19"/>
              </w:rPr>
              <w:t>16</w:t>
            </w:r>
          </w:p>
        </w:tc>
        <w:tc>
          <w:tcPr>
            <w:tcW w:w="1904" w:type="dxa"/>
          </w:tcPr>
          <w:p w14:paraId="38FABCF0">
            <w:pPr>
              <w:spacing w:after="40"/>
            </w:pPr>
            <w:r>
              <w:rPr>
                <w:rFonts w:ascii="Times New Roman" w:hAnsi="Times New Roman" w:eastAsia="微软雅黑"/>
                <w:sz w:val="19"/>
              </w:rPr>
              <w:t>GPL24247 (NovaSeq 6000)</w:t>
            </w:r>
          </w:p>
        </w:tc>
        <w:tc>
          <w:tcPr>
            <w:tcW w:w="1904" w:type="dxa"/>
          </w:tcPr>
          <w:p w14:paraId="73693EE3">
            <w:pPr>
              <w:spacing w:after="40"/>
            </w:pPr>
            <w:r>
              <w:rPr>
                <w:rFonts w:ascii="Times New Roman" w:hAnsi="Times New Roman" w:eastAsia="微软雅黑"/>
                <w:sz w:val="19"/>
              </w:rPr>
              <w:t>GRK2 调控毛囊稳态</w:t>
            </w:r>
          </w:p>
        </w:tc>
        <w:tc>
          <w:tcPr>
            <w:tcW w:w="1904" w:type="dxa"/>
          </w:tcPr>
          <w:p w14:paraId="555FED66">
            <w:pPr>
              <w:spacing w:after="40"/>
            </w:pPr>
            <w:r>
              <w:rPr>
                <w:rFonts w:ascii="Times New Roman" w:hAnsi="Times New Roman" w:eastAsia="微软雅黑"/>
                <w:sz w:val="19"/>
              </w:rPr>
              <w:t>扩展验证(可选)</w:t>
            </w:r>
          </w:p>
        </w:tc>
      </w:tr>
      <w:tr w14:paraId="618B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499C7E4A">
            <w:pPr>
              <w:spacing w:after="40"/>
            </w:pPr>
            <w:r>
              <w:rPr>
                <w:rFonts w:ascii="Times New Roman" w:hAnsi="Times New Roman" w:eastAsia="微软雅黑"/>
                <w:sz w:val="19"/>
              </w:rPr>
              <w:t>GSE223884</w:t>
            </w:r>
          </w:p>
        </w:tc>
        <w:tc>
          <w:tcPr>
            <w:tcW w:w="1904" w:type="dxa"/>
          </w:tcPr>
          <w:p w14:paraId="2F01EDEF">
            <w:pPr>
              <w:spacing w:after="40"/>
            </w:pPr>
            <w:r>
              <w:rPr>
                <w:rFonts w:ascii="Times New Roman" w:hAnsi="Times New Roman" w:eastAsia="微软雅黑"/>
                <w:sz w:val="19"/>
              </w:rPr>
              <w:t>3</w:t>
            </w:r>
          </w:p>
        </w:tc>
        <w:tc>
          <w:tcPr>
            <w:tcW w:w="1904" w:type="dxa"/>
          </w:tcPr>
          <w:p w14:paraId="727E7295">
            <w:pPr>
              <w:spacing w:after="40"/>
            </w:pPr>
            <w:r>
              <w:rPr>
                <w:rFonts w:ascii="Times New Roman" w:hAnsi="Times New Roman" w:eastAsia="微软雅黑"/>
                <w:sz w:val="19"/>
              </w:rPr>
              <w:t>—</w:t>
            </w:r>
          </w:p>
        </w:tc>
        <w:tc>
          <w:tcPr>
            <w:tcW w:w="1904" w:type="dxa"/>
          </w:tcPr>
          <w:p w14:paraId="44930330">
            <w:pPr>
              <w:spacing w:after="40"/>
            </w:pPr>
            <w:r>
              <w:rPr>
                <w:rFonts w:ascii="Times New Roman" w:hAnsi="Times New Roman" w:eastAsia="微软雅黑"/>
                <w:sz w:val="19"/>
              </w:rPr>
              <w:t>VDR 调控毛囊退行期</w:t>
            </w:r>
          </w:p>
        </w:tc>
        <w:tc>
          <w:tcPr>
            <w:tcW w:w="1904" w:type="dxa"/>
          </w:tcPr>
          <w:p w14:paraId="57BE8374">
            <w:pPr>
              <w:spacing w:after="40"/>
            </w:pPr>
            <w:r>
              <w:rPr>
                <w:rFonts w:ascii="Times New Roman" w:hAnsi="Times New Roman" w:eastAsia="微软雅黑"/>
                <w:sz w:val="19"/>
              </w:rPr>
              <w:t>扩展验证(可选)</w:t>
            </w:r>
          </w:p>
        </w:tc>
      </w:tr>
    </w:tbl>
    <w:p w14:paraId="7800651F"/>
    <w:p w14:paraId="5BFEACF4">
      <w:r>
        <w:rPr>
          <w:rFonts w:ascii="Times New Roman" w:hAnsi="Times New Roman" w:eastAsia="微软雅黑"/>
          <w:b/>
        </w:rPr>
        <w:t>数据来源溯源</w:t>
      </w:r>
    </w:p>
    <w:p w14:paraId="58E94A29">
      <w:pPr>
        <w:pStyle w:val="16"/>
        <w:spacing w:after="40"/>
      </w:pPr>
      <w:r>
        <w:rPr>
          <w:rFonts w:ascii="Times New Roman" w:hAnsi="Times New Roman" w:eastAsia="微软雅黑"/>
        </w:rPr>
        <w:t xml:space="preserve">GSE15185:https://www.ncbi.nlm.nih.gov/geo/query/acc.cgi?acc=GSE15185 (关联文献 PMID </w:t>
      </w:r>
      <w:r>
        <w:rPr>
          <w:color w:val="0563C1"/>
          <w:sz w:val="19"/>
          <w:u w:val="single"/>
        </w:rPr>
        <w:t>19200804</w:t>
      </w:r>
      <w:r>
        <w:rPr>
          <w:rFonts w:ascii="Times New Roman" w:hAnsi="Times New Roman" w:eastAsia="微软雅黑"/>
        </w:rPr>
        <w:t>)</w:t>
      </w:r>
    </w:p>
    <w:p w14:paraId="595A7EBC">
      <w:pPr>
        <w:pStyle w:val="16"/>
        <w:spacing w:after="40"/>
      </w:pPr>
      <w:r>
        <w:rPr>
          <w:rFonts w:ascii="Times New Roman" w:hAnsi="Times New Roman" w:eastAsia="微软雅黑"/>
        </w:rPr>
        <w:t>GSE115649:https://www.ncbi.nlm.nih.gov/geo/query/acc.cgi?acc=GSE115649</w:t>
      </w:r>
    </w:p>
    <w:p w14:paraId="385994DC">
      <w:pPr>
        <w:pStyle w:val="16"/>
        <w:spacing w:after="40"/>
      </w:pPr>
      <w:r>
        <w:rPr>
          <w:rFonts w:ascii="Times New Roman" w:hAnsi="Times New Roman" w:eastAsia="微软雅黑"/>
        </w:rPr>
        <w:t>GSE155837:https://www.ncbi.nlm.nih.gov/geo/query/acc.cgi?acc=GSE155837</w:t>
      </w:r>
    </w:p>
    <w:p w14:paraId="18E5D792">
      <w:pPr>
        <w:pStyle w:val="4"/>
      </w:pPr>
      <w:r>
        <w:t>4.2 miRNA 靶基因预测数据(权威官方来源)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44E7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CE6F1"/>
          </w:tcPr>
          <w:p w14:paraId="54E0D74D">
            <w:pPr>
              <w:spacing w:after="40"/>
            </w:pPr>
            <w:r>
              <w:rPr>
                <w:rFonts w:ascii="Times New Roman" w:hAnsi="Times New Roman" w:eastAsia="微软雅黑"/>
                <w:b/>
                <w:sz w:val="19"/>
              </w:rPr>
              <w:t>数据库</w:t>
            </w:r>
          </w:p>
        </w:tc>
        <w:tc>
          <w:tcPr>
            <w:tcW w:w="3173" w:type="dxa"/>
            <w:shd w:val="clear" w:color="auto" w:fill="DCE6F1"/>
          </w:tcPr>
          <w:p w14:paraId="09DC36E4">
            <w:pPr>
              <w:spacing w:after="40"/>
            </w:pPr>
            <w:r>
              <w:rPr>
                <w:rFonts w:ascii="Times New Roman" w:hAnsi="Times New Roman" w:eastAsia="微软雅黑"/>
                <w:b/>
                <w:sz w:val="19"/>
              </w:rPr>
              <w:t>网址</w:t>
            </w:r>
          </w:p>
        </w:tc>
        <w:tc>
          <w:tcPr>
            <w:tcW w:w="3173" w:type="dxa"/>
            <w:shd w:val="clear" w:color="auto" w:fill="DCE6F1"/>
          </w:tcPr>
          <w:p w14:paraId="6421D1B5">
            <w:pPr>
              <w:spacing w:after="40"/>
            </w:pPr>
            <w:r>
              <w:rPr>
                <w:rFonts w:ascii="Times New Roman" w:hAnsi="Times New Roman" w:eastAsia="微软雅黑"/>
                <w:b/>
                <w:sz w:val="19"/>
              </w:rPr>
              <w:t>用途</w:t>
            </w:r>
          </w:p>
        </w:tc>
      </w:tr>
      <w:tr w14:paraId="2F47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0013864B">
            <w:pPr>
              <w:spacing w:after="40"/>
            </w:pPr>
            <w:r>
              <w:rPr>
                <w:rFonts w:ascii="Times New Roman" w:hAnsi="Times New Roman" w:eastAsia="微软雅黑"/>
                <w:b/>
                <w:sz w:val="19"/>
              </w:rPr>
              <w:t>TargetScan</w:t>
            </w:r>
            <w:r>
              <w:rPr>
                <w:rFonts w:ascii="Times New Roman" w:hAnsi="Times New Roman" w:eastAsia="微软雅黑"/>
                <w:sz w:val="19"/>
              </w:rPr>
              <w:t>(人类版本,对小鼠保守预测)</w:t>
            </w:r>
          </w:p>
        </w:tc>
        <w:tc>
          <w:tcPr>
            <w:tcW w:w="3173" w:type="dxa"/>
          </w:tcPr>
          <w:p w14:paraId="015809BB">
            <w:pPr>
              <w:spacing w:after="40"/>
            </w:pPr>
            <w:r>
              <w:rPr>
                <w:rFonts w:ascii="Times New Roman" w:hAnsi="Times New Roman" w:eastAsia="微软雅黑"/>
                <w:sz w:val="19"/>
              </w:rPr>
              <w:t>https://www.targetscan.org</w:t>
            </w:r>
          </w:p>
        </w:tc>
        <w:tc>
          <w:tcPr>
            <w:tcW w:w="3173" w:type="dxa"/>
          </w:tcPr>
          <w:p w14:paraId="1BE25484">
            <w:pPr>
              <w:spacing w:after="40"/>
            </w:pPr>
            <w:r>
              <w:rPr>
                <w:rFonts w:ascii="Times New Roman" w:hAnsi="Times New Roman" w:eastAsia="微软雅黑"/>
                <w:b/>
                <w:sz w:val="19"/>
              </w:rPr>
              <w:t>主预测源</w:t>
            </w:r>
            <w:r>
              <w:rPr>
                <w:rFonts w:ascii="Times New Roman" w:hAnsi="Times New Roman" w:eastAsia="微软雅黑"/>
                <w:sz w:val="19"/>
              </w:rPr>
              <w:t>。给出保守性评分与位点得分</w:t>
            </w:r>
          </w:p>
        </w:tc>
      </w:tr>
      <w:tr w14:paraId="4462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84A82A2">
            <w:pPr>
              <w:spacing w:after="40"/>
            </w:pPr>
            <w:r>
              <w:rPr>
                <w:rFonts w:ascii="Times New Roman" w:hAnsi="Times New Roman" w:eastAsia="微软雅黑"/>
                <w:b/>
                <w:sz w:val="19"/>
              </w:rPr>
              <w:t>miRDB</w:t>
            </w:r>
          </w:p>
        </w:tc>
        <w:tc>
          <w:tcPr>
            <w:tcW w:w="3173" w:type="dxa"/>
          </w:tcPr>
          <w:p w14:paraId="7E06DC27">
            <w:pPr>
              <w:spacing w:after="40"/>
            </w:pPr>
            <w:r>
              <w:rPr>
                <w:rFonts w:ascii="Times New Roman" w:hAnsi="Times New Roman" w:eastAsia="微软雅黑"/>
                <w:sz w:val="19"/>
              </w:rPr>
              <w:t>https://mirdb.org</w:t>
            </w:r>
          </w:p>
        </w:tc>
        <w:tc>
          <w:tcPr>
            <w:tcW w:w="3173" w:type="dxa"/>
          </w:tcPr>
          <w:p w14:paraId="7E3A7EA7">
            <w:pPr>
              <w:spacing w:after="40"/>
            </w:pPr>
            <w:r>
              <w:rPr>
                <w:rFonts w:ascii="Times New Roman" w:hAnsi="Times New Roman" w:eastAsia="微软雅黑"/>
                <w:b/>
                <w:sz w:val="19"/>
              </w:rPr>
              <w:t>验证源</w:t>
            </w:r>
            <w:r>
              <w:rPr>
                <w:rFonts w:ascii="Times New Roman" w:hAnsi="Times New Roman" w:eastAsia="微软雅黑"/>
                <w:sz w:val="19"/>
              </w:rPr>
              <w:t>。与 TargetScan 取交集以提高特异性</w:t>
            </w:r>
          </w:p>
        </w:tc>
      </w:tr>
      <w:tr w14:paraId="1B64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60B4E91">
            <w:pPr>
              <w:spacing w:after="40"/>
            </w:pPr>
            <w:r>
              <w:rPr>
                <w:rFonts w:ascii="Times New Roman" w:hAnsi="Times New Roman" w:eastAsia="微软雅黑"/>
                <w:b/>
                <w:sz w:val="19"/>
              </w:rPr>
              <w:t>miRBase 22/23</w:t>
            </w:r>
          </w:p>
        </w:tc>
        <w:tc>
          <w:tcPr>
            <w:tcW w:w="3173" w:type="dxa"/>
          </w:tcPr>
          <w:p w14:paraId="616A2F0A">
            <w:pPr>
              <w:spacing w:after="40"/>
            </w:pPr>
            <w:r>
              <w:rPr>
                <w:rFonts w:ascii="Times New Roman" w:hAnsi="Times New Roman" w:eastAsia="微软雅黑"/>
                <w:sz w:val="19"/>
              </w:rPr>
              <w:t>https://www.mirbase.org</w:t>
            </w:r>
          </w:p>
        </w:tc>
        <w:tc>
          <w:tcPr>
            <w:tcW w:w="3173" w:type="dxa"/>
          </w:tcPr>
          <w:p w14:paraId="01C7D737">
            <w:pPr>
              <w:spacing w:after="40"/>
            </w:pPr>
            <w:r>
              <w:rPr>
                <w:rFonts w:ascii="Times New Roman" w:hAnsi="Times New Roman" w:eastAsia="微软雅黑"/>
                <w:sz w:val="19"/>
              </w:rPr>
              <w:t xml:space="preserve">miRNA 序列与命名标准(小鼠 </w:t>
            </w:r>
            <w:r>
              <w:rPr>
                <w:rFonts w:ascii="Times New Roman" w:hAnsi="Times New Roman" w:eastAsia="微软雅黑"/>
                <w:color w:val="A03030"/>
                <w:sz w:val="19"/>
              </w:rPr>
              <w:t>mmu-</w:t>
            </w:r>
            <w:r>
              <w:rPr>
                <w:rFonts w:ascii="Times New Roman" w:hAnsi="Times New Roman" w:eastAsia="微软雅黑"/>
                <w:sz w:val="19"/>
              </w:rPr>
              <w:t xml:space="preserve"> 前缀)</w:t>
            </w:r>
          </w:p>
        </w:tc>
      </w:tr>
    </w:tbl>
    <w:p w14:paraId="41099C0D"/>
    <w:p w14:paraId="0856485D">
      <w:pPr>
        <w:pStyle w:val="4"/>
      </w:pPr>
      <w:r>
        <w:t>4.3 ⚠️ 数据可得性的关键限制(必须向评审说明)</w:t>
      </w:r>
    </w:p>
    <w:p w14:paraId="48D41BB4">
      <w:r>
        <w:rPr>
          <w:rFonts w:ascii="Times New Roman" w:hAnsi="Times New Roman" w:eastAsia="微软雅黑"/>
          <w:b/>
        </w:rPr>
        <w:t>经 NCBI GEO 官方检索证实</w:t>
      </w:r>
      <w:r>
        <w:rPr>
          <w:rFonts w:ascii="Times New Roman" w:hAnsi="Times New Roman" w:eastAsia="微软雅黑"/>
        </w:rPr>
        <w:t xml:space="preserve">(检索式见 </w:t>
      </w:r>
      <w:r>
        <w:rPr>
          <w:rFonts w:ascii="Consolas" w:hAnsi="Consolas"/>
          <w:color w:val="A03030"/>
          <w:sz w:val="19"/>
        </w:rPr>
        <w:t>scripts/02_dp_recon.py</w:t>
      </w:r>
      <w:r>
        <w:rPr>
          <w:rFonts w:ascii="Times New Roman" w:hAnsi="Times New Roman" w:eastAsia="微软雅黑"/>
        </w:rPr>
        <w:t>):</w:t>
      </w:r>
    </w:p>
    <w:p w14:paraId="5B2E2AC7">
      <w:pPr>
        <w:ind w:left="340"/>
      </w:pPr>
      <w:r>
        <w:rPr>
          <w:rFonts w:ascii="Times New Roman" w:hAnsi="Times New Roman" w:eastAsia="微软雅黑"/>
          <w:b/>
          <w:i/>
          <w:sz w:val="19"/>
        </w:rPr>
        <w:t>小鼠皮肤/毛囊的专门 small-RNA (miRNA) 测序数据集数量为 0。</w:t>
      </w:r>
    </w:p>
    <w:p w14:paraId="365DE781">
      <w:r>
        <w:rPr>
          <w:rFonts w:ascii="Times New Roman" w:hAnsi="Times New Roman" w:eastAsia="微软雅黑"/>
          <w:b/>
        </w:rPr>
        <w:t>技术原因</w:t>
      </w:r>
      <w:r>
        <w:rPr>
          <w:rFonts w:ascii="Times New Roman" w:hAnsi="Times New Roman" w:eastAsia="微软雅黑"/>
        </w:rPr>
        <w:t>:miRNA 长约 22 nt 且</w:t>
      </w:r>
      <w:r>
        <w:rPr>
          <w:rFonts w:ascii="Times New Roman" w:hAnsi="Times New Roman" w:eastAsia="微软雅黑"/>
          <w:b/>
        </w:rPr>
        <w:t>无 poly-A 尾巴</w:t>
      </w:r>
      <w:r>
        <w:rPr>
          <w:rFonts w:ascii="Times New Roman" w:hAnsi="Times New Roman" w:eastAsia="微软雅黑"/>
        </w:rPr>
        <w:t>,而绝大多数 RNA-seq 文库使用带 poly-A 抓取的 TruSeq mRNA 试剂盒,因此</w:t>
      </w:r>
      <w:r>
        <w:rPr>
          <w:rFonts w:ascii="Times New Roman" w:hAnsi="Times New Roman" w:eastAsia="微软雅黑"/>
          <w:b/>
        </w:rPr>
        <w:t>常规 RNA-seq 根本无法检测到 miRNA</w:t>
      </w:r>
      <w:r>
        <w:rPr>
          <w:rFonts w:ascii="Times New Roman" w:hAnsi="Times New Roman" w:eastAsia="微软雅黑"/>
        </w:rPr>
        <w:t>。</w:t>
      </w:r>
    </w:p>
    <w:p w14:paraId="3ED97B6E">
      <w:r>
        <w:rPr>
          <w:rFonts w:ascii="Times New Roman" w:hAnsi="Times New Roman" w:eastAsia="微软雅黑"/>
          <w:b/>
        </w:rPr>
        <w:t>应对策略(本项目的核心设计)</w:t>
      </w:r>
      <w:r>
        <w:rPr>
          <w:rFonts w:ascii="Times New Roman" w:hAnsi="Times New Roman" w:eastAsia="微软雅黑"/>
        </w:rPr>
        <w:t>:</w:t>
      </w:r>
    </w:p>
    <w:p w14:paraId="44E4C8F3">
      <w:r>
        <w:rPr>
          <w:rFonts w:ascii="Times New Roman" w:hAnsi="Times New Roman" w:eastAsia="微软雅黑"/>
        </w:rPr>
        <w:t>本项目</w:t>
      </w:r>
      <w:r>
        <w:rPr>
          <w:rFonts w:ascii="Times New Roman" w:hAnsi="Times New Roman" w:eastAsia="微软雅黑"/>
          <w:b/>
        </w:rPr>
        <w:t>不依赖 miRNA 表达数据</w:t>
      </w:r>
      <w:r>
        <w:rPr>
          <w:rFonts w:ascii="Times New Roman" w:hAnsi="Times New Roman" w:eastAsia="微软雅黑"/>
        </w:rPr>
        <w:t>,转而采用</w:t>
      </w:r>
      <w:r>
        <w:rPr>
          <w:rFonts w:ascii="Times New Roman" w:hAnsi="Times New Roman" w:eastAsia="微软雅黑"/>
          <w:b/>
        </w:rPr>
        <w:t>计算推断路线</w:t>
      </w:r>
      <w:r>
        <w:rPr>
          <w:rFonts w:ascii="Times New Roman" w:hAnsi="Times New Roman" w:eastAsia="微软雅黑"/>
        </w:rPr>
        <w:t>:</w:t>
      </w:r>
    </w:p>
    <w:p w14:paraId="2B195031">
      <w:r>
        <w:rPr>
          <w:rFonts w:ascii="Consolas" w:hAnsi="Consolas"/>
          <w:color w:val="A03030"/>
          <w:sz w:val="19"/>
        </w:rPr>
        <w:t>`</w:t>
      </w:r>
    </w:p>
    <w:p w14:paraId="0D2ABF5B">
      <w:r>
        <w:rPr>
          <w:rFonts w:ascii="Times New Roman" w:hAnsi="Times New Roman" w:eastAsia="微软雅黑"/>
        </w:rPr>
        <w:t>差异表达基因(来自 GSE15185,真实实验数据)</w:t>
      </w:r>
    </w:p>
    <w:p w14:paraId="0B9068C3">
      <w:r>
        <w:rPr>
          <w:rFonts w:ascii="Times New Roman" w:hAnsi="Times New Roman" w:eastAsia="微软雅黑"/>
        </w:rPr>
        <w:t>↓  与</w:t>
      </w:r>
    </w:p>
    <w:p w14:paraId="065ED0A1">
      <w:r>
        <w:rPr>
          <w:rFonts w:ascii="Times New Roman" w:hAnsi="Times New Roman" w:eastAsia="微软雅黑"/>
        </w:rPr>
        <w:t>miRNA 预测靶基因(来自 TargetScan + miRDB,计算推断)</w:t>
      </w:r>
    </w:p>
    <w:p w14:paraId="7D1C172C">
      <w:r>
        <w:rPr>
          <w:rFonts w:ascii="Times New Roman" w:hAnsi="Times New Roman" w:eastAsia="微软雅黑"/>
        </w:rPr>
        <w:t>↓  求交集与富集分析</w:t>
      </w:r>
    </w:p>
    <w:p w14:paraId="553BC8FC">
      <w:r>
        <w:rPr>
          <w:rFonts w:ascii="Times New Roman" w:hAnsi="Times New Roman" w:eastAsia="微软雅黑"/>
        </w:rPr>
        <w:t>双层网络重叠 → 提出机制假说</w:t>
      </w:r>
    </w:p>
    <w:p w14:paraId="2BB22075">
      <w:r>
        <w:rPr>
          <w:rFonts w:ascii="Consolas" w:hAnsi="Consolas"/>
          <w:color w:val="A03030"/>
          <w:sz w:val="19"/>
        </w:rPr>
        <w:t>`</w:t>
      </w:r>
    </w:p>
    <w:p w14:paraId="20309A0D">
      <w:r>
        <w:rPr>
          <w:rFonts w:ascii="Times New Roman" w:hAnsi="Times New Roman" w:eastAsia="微软雅黑"/>
          <w:b/>
        </w:rPr>
        <w:t>诚实声明</w:t>
      </w:r>
      <w:r>
        <w:rPr>
          <w:rFonts w:ascii="Times New Roman" w:hAnsi="Times New Roman" w:eastAsia="微软雅黑"/>
        </w:rPr>
        <w:t>:本项目产出的是</w:t>
      </w:r>
      <w:r>
        <w:rPr>
          <w:rFonts w:ascii="Times New Roman" w:hAnsi="Times New Roman" w:eastAsia="微软雅黑"/>
          <w:b/>
        </w:rPr>
        <w:t>计算预测假说(hypothesis)</w:t>
      </w:r>
      <w:r>
        <w:rPr>
          <w:rFonts w:ascii="Times New Roman" w:hAnsi="Times New Roman" w:eastAsia="微软雅黑"/>
        </w:rPr>
        <w:t>,而非实验验证的因果结论。所有结论将在论文中严格标注为 in silico 推断。</w:t>
      </w:r>
    </w:p>
    <w:p w14:paraId="2CC3E60C">
      <w:pPr>
        <w:pStyle w:val="4"/>
      </w:pPr>
      <w:r>
        <w:t>4.4 存储与计算规范(已执行)</w:t>
      </w:r>
    </w:p>
    <w:p w14:paraId="32E35CEE">
      <w:pPr>
        <w:pStyle w:val="16"/>
        <w:spacing w:after="40"/>
      </w:pPr>
      <w:r>
        <w:rPr>
          <w:rFonts w:ascii="Times New Roman" w:hAnsi="Times New Roman" w:eastAsia="微软雅黑"/>
          <w:b/>
        </w:rPr>
        <w:t>全部数据存放于 D 盘</w:t>
      </w:r>
      <w:r>
        <w:rPr>
          <w:rFonts w:ascii="Times New Roman" w:hAnsi="Times New Roman" w:eastAsia="微软雅黑"/>
        </w:rPr>
        <w:t>:</w:t>
      </w:r>
      <w:r>
        <w:rPr>
          <w:rFonts w:ascii="Consolas" w:hAnsi="Consolas"/>
          <w:color w:val="A03030"/>
          <w:sz w:val="19"/>
        </w:rPr>
        <w:t>D:\open science\talks\sessions\2026-10-05-1636\projects\mirna-hairfollicle\data\</w:t>
      </w:r>
    </w:p>
    <w:p w14:paraId="34854C5F">
      <w:pPr>
        <w:pStyle w:val="16"/>
        <w:spacing w:after="40"/>
      </w:pPr>
      <w:r>
        <w:rPr>
          <w:rFonts w:ascii="Times New Roman" w:hAnsi="Times New Roman" w:eastAsia="微软雅黑"/>
          <w:b/>
        </w:rPr>
        <w:t>不占用 C 盘</w:t>
      </w:r>
      <w:r>
        <w:rPr>
          <w:rFonts w:ascii="Times New Roman" w:hAnsi="Times New Roman" w:eastAsia="微软雅黑"/>
        </w:rPr>
        <w:t xml:space="preserve">:Python 临时目录、缓存均已强制重定向至 D 盘(见 </w:t>
      </w:r>
      <w:r>
        <w:rPr>
          <w:rFonts w:ascii="Consolas" w:hAnsi="Consolas"/>
          <w:color w:val="A03030"/>
          <w:sz w:val="19"/>
        </w:rPr>
        <w:t>scripts/02_dp_recon.py</w:t>
      </w:r>
      <w:r>
        <w:rPr>
          <w:rFonts w:ascii="Times New Roman" w:hAnsi="Times New Roman" w:eastAsia="微软雅黑"/>
        </w:rPr>
        <w:t xml:space="preserve"> 中的 </w:t>
      </w:r>
      <w:r>
        <w:rPr>
          <w:rFonts w:ascii="Consolas" w:hAnsi="Consolas"/>
          <w:color w:val="A03030"/>
          <w:sz w:val="19"/>
        </w:rPr>
        <w:t>tempfile.tempdir</w:t>
      </w:r>
      <w:r>
        <w:rPr>
          <w:rFonts w:ascii="Times New Roman" w:hAnsi="Times New Roman" w:eastAsia="微软雅黑"/>
        </w:rPr>
        <w:t xml:space="preserve"> 硬约束与 assert 校验)</w:t>
      </w:r>
    </w:p>
    <w:p w14:paraId="4F55041C">
      <w:pPr>
        <w:pStyle w:val="16"/>
        <w:spacing w:after="40"/>
      </w:pPr>
      <w:r>
        <w:rPr>
          <w:rFonts w:ascii="Times New Roman" w:hAnsi="Times New Roman" w:eastAsia="微软雅黑"/>
          <w:b/>
        </w:rPr>
        <w:t>下载量控制</w:t>
      </w:r>
      <w:r>
        <w:rPr>
          <w:rFonts w:ascii="Times New Roman" w:hAnsi="Times New Roman" w:eastAsia="微软雅黑"/>
        </w:rPr>
        <w:t>:仅下载分析必需的</w:t>
      </w:r>
      <w:r>
        <w:rPr>
          <w:rFonts w:ascii="Times New Roman" w:hAnsi="Times New Roman" w:eastAsia="微软雅黑"/>
          <w:b/>
        </w:rPr>
        <w:t>已发表表达矩阵</w:t>
      </w:r>
      <w:r>
        <w:rPr>
          <w:rFonts w:ascii="Times New Roman" w:hAnsi="Times New Roman" w:eastAsia="微软雅黑"/>
        </w:rPr>
        <w:t>(</w:t>
      </w:r>
      <w:r>
        <w:rPr>
          <w:rFonts w:ascii="Consolas" w:hAnsi="Consolas"/>
          <w:color w:val="A03030"/>
          <w:sz w:val="19"/>
        </w:rPr>
        <w:t>Series Matrix File</w:t>
      </w:r>
      <w:r>
        <w:rPr>
          <w:rFonts w:ascii="Times New Roman" w:hAnsi="Times New Roman" w:eastAsia="微软雅黑"/>
        </w:rPr>
        <w:t>,单个通常 &lt;50 MB),</w:t>
      </w:r>
      <w:r>
        <w:rPr>
          <w:rFonts w:ascii="Times New Roman" w:hAnsi="Times New Roman" w:eastAsia="微软雅黑"/>
          <w:b/>
        </w:rPr>
        <w:t>不下载原始 FASTQ 文件</w:t>
      </w:r>
      <w:r>
        <w:rPr>
          <w:rFonts w:ascii="Times New Roman" w:hAnsi="Times New Roman" w:eastAsia="微软雅黑"/>
        </w:rPr>
        <w:t>(每个通常 5–20 GB),</w:t>
      </w:r>
      <w:r>
        <w:rPr>
          <w:rFonts w:ascii="Times New Roman" w:hAnsi="Times New Roman" w:eastAsia="微软雅黑"/>
          <w:b/>
        </w:rPr>
        <w:t>预计总占用 &lt; 500 MB</w:t>
      </w:r>
    </w:p>
    <w:p w14:paraId="0FCF83C2">
      <w:pPr>
        <w:pStyle w:val="16"/>
        <w:spacing w:after="40"/>
      </w:pPr>
      <w:r>
        <w:rPr>
          <w:rFonts w:ascii="Times New Roman" w:hAnsi="Times New Roman" w:eastAsia="微软雅黑"/>
          <w:b/>
        </w:rPr>
        <w:t>计算环境</w:t>
      </w:r>
      <w:r>
        <w:rPr>
          <w:rFonts w:ascii="Times New Roman" w:hAnsi="Times New Roman" w:eastAsia="微软雅黑"/>
        </w:rPr>
        <w:t>:</w:t>
      </w:r>
      <w:r>
        <w:rPr>
          <w:rFonts w:ascii="Consolas" w:hAnsi="Consolas"/>
          <w:color w:val="A03030"/>
          <w:sz w:val="19"/>
        </w:rPr>
        <w:t>D:\python\python.exe</w:t>
      </w:r>
      <w:r>
        <w:rPr>
          <w:rFonts w:ascii="Times New Roman" w:hAnsi="Times New Roman" w:eastAsia="微软雅黑"/>
        </w:rPr>
        <w:t>(Python 3.12.7),已具备 numpy / pandas / scipy / matplotlib / scikit-learn / networkx</w:t>
      </w:r>
    </w:p>
    <w:p w14:paraId="506D4A9E">
      <w:pPr>
        <w:pStyle w:val="3"/>
      </w:pPr>
      <w:r>
        <w:t>五、Data Analysis Strategy(数据分析策略)</w:t>
      </w:r>
    </w:p>
    <w:p w14:paraId="33C24D46">
      <w:pPr>
        <w:pStyle w:val="4"/>
      </w:pPr>
      <w:r>
        <w:t>5.1 总体分析流程</w:t>
      </w:r>
    </w:p>
    <w:p w14:paraId="180DC8EF">
      <w:r>
        <w:rPr>
          <w:rFonts w:ascii="Consolas" w:hAnsi="Consolas"/>
          <w:color w:val="A03030"/>
          <w:sz w:val="19"/>
        </w:rPr>
        <w:t>`</w:t>
      </w:r>
    </w:p>
    <w:p w14:paraId="3CA1156A">
      <w:r>
        <w:rPr>
          <w:rFonts w:ascii="Times New Roman" w:hAnsi="Times New Roman" w:eastAsia="微软雅黑"/>
        </w:rPr>
        <w:t>阶段一:数据获取与质控</w:t>
      </w:r>
    </w:p>
    <w:p w14:paraId="27110858">
      <w:r>
        <w:rPr>
          <w:rFonts w:ascii="Times New Roman" w:hAnsi="Times New Roman" w:eastAsia="微软雅黑"/>
        </w:rPr>
        <w:t>GSE15185 / GSE115649 / GSE155837 下载 → 样本注释核对 → 质控</w:t>
      </w:r>
    </w:p>
    <w:p w14:paraId="471723C4">
      <w:r>
        <w:rPr>
          <w:rFonts w:ascii="Times New Roman" w:hAnsi="Times New Roman" w:eastAsia="微软雅黑"/>
        </w:rPr>
        <w:t>↓</w:t>
      </w:r>
    </w:p>
    <w:p w14:paraId="071D79CD">
      <w:r>
        <w:rPr>
          <w:rFonts w:ascii="Times New Roman" w:hAnsi="Times New Roman" w:eastAsia="微软雅黑"/>
        </w:rPr>
        <w:t>阶段二:毛周期转换差异表达分析</w:t>
      </w:r>
    </w:p>
    <w:p w14:paraId="10DE7FF6">
      <w:r>
        <w:rPr>
          <w:rFonts w:ascii="Times New Roman" w:hAnsi="Times New Roman" w:eastAsia="微软雅黑"/>
        </w:rPr>
        <w:t>GSE15185:休止期 vs 生长期 → 差异基因(经验贝叶斯 + BH-FDR)</w:t>
      </w:r>
    </w:p>
    <w:p w14:paraId="73006AD0">
      <w:r>
        <w:rPr>
          <w:rFonts w:ascii="Times New Roman" w:hAnsi="Times New Roman" w:eastAsia="微软雅黑"/>
        </w:rPr>
        <w:t>↓</w:t>
      </w:r>
    </w:p>
    <w:p w14:paraId="7B35EEBC">
      <w:r>
        <w:rPr>
          <w:rFonts w:ascii="Times New Roman" w:hAnsi="Times New Roman" w:eastAsia="微软雅黑"/>
        </w:rPr>
        <w:t>阶段三:miRNA 靶基因预测(双源验证)</w:t>
      </w:r>
    </w:p>
    <w:p w14:paraId="1888140A">
      <w:r>
        <w:rPr>
          <w:rFonts w:ascii="Times New Roman" w:hAnsi="Times New Roman" w:eastAsia="微软雅黑"/>
        </w:rPr>
        <w:t>TargetScan + miRDB → 取交集 → 构建 miRNA→靶基因 二部图</w:t>
      </w:r>
    </w:p>
    <w:p w14:paraId="7E3563D5">
      <w:r>
        <w:rPr>
          <w:rFonts w:ascii="Times New Roman" w:hAnsi="Times New Roman" w:eastAsia="微软雅黑"/>
        </w:rPr>
        <w:t>↓</w:t>
      </w:r>
    </w:p>
    <w:p w14:paraId="374A6B6B">
      <w:r>
        <w:rPr>
          <w:rFonts w:ascii="Times New Roman" w:hAnsi="Times New Roman" w:eastAsia="微软雅黑"/>
        </w:rPr>
        <w:t>阶段四:⭐ 核心分析——双层重叠网络量化</w:t>
      </w:r>
    </w:p>
    <w:p w14:paraId="07524D7A">
      <w:r>
        <w:rPr>
          <w:rFonts w:ascii="Times New Roman" w:hAnsi="Times New Roman" w:eastAsia="微软雅黑"/>
        </w:rPr>
        <w:t>计算每个 miRNA 的靶基因与差异基因的重叠度</w:t>
      </w:r>
    </w:p>
    <w:p w14:paraId="277A94CF">
      <w:r>
        <w:rPr>
          <w:rFonts w:ascii="Times New Roman" w:hAnsi="Times New Roman" w:eastAsia="微软雅黑"/>
        </w:rPr>
        <w:t>→ 置换检验(10,000 次)构建零分布</w:t>
      </w:r>
    </w:p>
    <w:p w14:paraId="767220A0">
      <w:r>
        <w:rPr>
          <w:rFonts w:ascii="Times New Roman" w:hAnsi="Times New Roman" w:eastAsia="微软雅黑"/>
        </w:rPr>
        <w:t>→ 计算富集显著性(Fisher 精确检验)</w:t>
      </w:r>
    </w:p>
    <w:p w14:paraId="68946990">
      <w:r>
        <w:rPr>
          <w:rFonts w:ascii="Times New Roman" w:hAnsi="Times New Roman" w:eastAsia="微软雅黑"/>
        </w:rPr>
        <w:t>↓</w:t>
      </w:r>
    </w:p>
    <w:p w14:paraId="3C0C8844">
      <w:r>
        <w:rPr>
          <w:rFonts w:ascii="Times New Roman" w:hAnsi="Times New Roman" w:eastAsia="微软雅黑"/>
        </w:rPr>
        <w:t>阶段五:Wnt 通路富集分析</w:t>
      </w:r>
    </w:p>
    <w:p w14:paraId="7B6BA8C0">
      <w:r>
        <w:rPr>
          <w:rFonts w:ascii="Times New Roman" w:hAnsi="Times New Roman" w:eastAsia="微软雅黑"/>
        </w:rPr>
        <w:t>RSM 靶标得分:哪些 miRNA 的靶基因覆盖 Wnt 核心节点最多?</w:t>
      </w:r>
    </w:p>
    <w:p w14:paraId="521C05BB">
      <w:r>
        <w:rPr>
          <w:rFonts w:ascii="Times New Roman" w:hAnsi="Times New Roman" w:eastAsia="微软雅黑"/>
        </w:rPr>
        <w:t>↓</w:t>
      </w:r>
    </w:p>
    <w:p w14:paraId="165E645A">
      <w:r>
        <w:rPr>
          <w:rFonts w:ascii="Times New Roman" w:hAnsi="Times New Roman" w:eastAsia="微软雅黑"/>
        </w:rPr>
        <w:t>阶段六:DP 表达定位(H2)</w:t>
      </w:r>
    </w:p>
    <w:p w14:paraId="06A55E3E">
      <w:r>
        <w:rPr>
          <w:rFonts w:ascii="Times New Roman" w:hAnsi="Times New Roman" w:eastAsia="微软雅黑"/>
        </w:rPr>
        <w:t>GSE115649/GSE155837 → 候选靶基因在 DP 中的表达</w:t>
      </w:r>
    </w:p>
    <w:p w14:paraId="091D464B">
      <w:r>
        <w:rPr>
          <w:rFonts w:ascii="Times New Roman" w:hAnsi="Times New Roman" w:eastAsia="微软雅黑"/>
        </w:rPr>
        <w:t>单细胞数据仅作辅助细胞类型定位(不作统计推断)</w:t>
      </w:r>
    </w:p>
    <w:p w14:paraId="2211CEA4">
      <w:r>
        <w:rPr>
          <w:rFonts w:ascii="Times New Roman" w:hAnsi="Times New Roman" w:eastAsia="微软雅黑"/>
        </w:rPr>
        <w:t>↓</w:t>
      </w:r>
    </w:p>
    <w:p w14:paraId="4D4E54A8">
      <w:r>
        <w:rPr>
          <w:rFonts w:ascii="Times New Roman" w:hAnsi="Times New Roman" w:eastAsia="微软雅黑"/>
        </w:rPr>
        <w:t>阶段七:网络构建与假说生成</w:t>
      </w:r>
    </w:p>
    <w:p w14:paraId="0E2B5ED1">
      <w:r>
        <w:rPr>
          <w:rFonts w:ascii="Times New Roman" w:hAnsi="Times New Roman" w:eastAsia="微软雅黑"/>
        </w:rPr>
        <w:t>miRNA → 靶基因 → 通路 三层网络 → 提出可检验机制假说</w:t>
      </w:r>
    </w:p>
    <w:p w14:paraId="6874E412">
      <w:r>
        <w:rPr>
          <w:rFonts w:ascii="Consolas" w:hAnsi="Consolas"/>
          <w:color w:val="A03030"/>
          <w:sz w:val="19"/>
        </w:rPr>
        <w:t>`</w:t>
      </w:r>
    </w:p>
    <w:p w14:paraId="0008EDAD">
      <w:pPr>
        <w:pStyle w:val="4"/>
      </w:pPr>
      <w:r>
        <w:t>5.2 关键分析方法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2379"/>
        <w:gridCol w:w="2379"/>
        <w:gridCol w:w="2379"/>
      </w:tblGrid>
      <w:tr w14:paraId="0A7C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shd w:val="clear" w:color="auto" w:fill="DCE6F1"/>
          </w:tcPr>
          <w:p w14:paraId="78DB6E83">
            <w:pPr>
              <w:spacing w:after="40"/>
            </w:pPr>
            <w:r>
              <w:rPr>
                <w:rFonts w:ascii="Times New Roman" w:hAnsi="Times New Roman" w:eastAsia="微软雅黑"/>
                <w:b/>
                <w:sz w:val="19"/>
              </w:rPr>
              <w:t>步骤</w:t>
            </w:r>
          </w:p>
        </w:tc>
        <w:tc>
          <w:tcPr>
            <w:tcW w:w="2379" w:type="dxa"/>
            <w:shd w:val="clear" w:color="auto" w:fill="DCE6F1"/>
          </w:tcPr>
          <w:p w14:paraId="2D6EE323">
            <w:pPr>
              <w:spacing w:after="40"/>
            </w:pPr>
            <w:r>
              <w:rPr>
                <w:rFonts w:ascii="Times New Roman" w:hAnsi="Times New Roman" w:eastAsia="微软雅黑"/>
                <w:b/>
                <w:sz w:val="19"/>
              </w:rPr>
              <w:t>方法</w:t>
            </w:r>
          </w:p>
        </w:tc>
        <w:tc>
          <w:tcPr>
            <w:tcW w:w="2379" w:type="dxa"/>
            <w:shd w:val="clear" w:color="auto" w:fill="DCE6F1"/>
          </w:tcPr>
          <w:p w14:paraId="79B7E1FF">
            <w:pPr>
              <w:spacing w:after="40"/>
            </w:pPr>
            <w:r>
              <w:rPr>
                <w:rFonts w:ascii="Times New Roman" w:hAnsi="Times New Roman" w:eastAsia="微软雅黑"/>
                <w:b/>
                <w:sz w:val="19"/>
              </w:rPr>
              <w:t>软件/实现</w:t>
            </w:r>
          </w:p>
        </w:tc>
        <w:tc>
          <w:tcPr>
            <w:tcW w:w="2379" w:type="dxa"/>
            <w:shd w:val="clear" w:color="auto" w:fill="DCE6F1"/>
          </w:tcPr>
          <w:p w14:paraId="59F388A5">
            <w:pPr>
              <w:spacing w:after="40"/>
            </w:pPr>
            <w:r>
              <w:rPr>
                <w:rFonts w:ascii="Times New Roman" w:hAnsi="Times New Roman" w:eastAsia="微软雅黑"/>
                <w:b/>
                <w:sz w:val="19"/>
              </w:rPr>
              <w:t>说明</w:t>
            </w:r>
          </w:p>
        </w:tc>
      </w:tr>
      <w:tr w14:paraId="5A91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505D3CAE">
            <w:pPr>
              <w:spacing w:after="40"/>
            </w:pPr>
            <w:r>
              <w:rPr>
                <w:rFonts w:ascii="Times New Roman" w:hAnsi="Times New Roman" w:eastAsia="微软雅黑"/>
                <w:sz w:val="19"/>
              </w:rPr>
              <w:t>差异表达</w:t>
            </w:r>
          </w:p>
        </w:tc>
        <w:tc>
          <w:tcPr>
            <w:tcW w:w="2379" w:type="dxa"/>
          </w:tcPr>
          <w:p w14:paraId="3025B5CD">
            <w:pPr>
              <w:spacing w:after="40"/>
            </w:pPr>
            <w:r>
              <w:rPr>
                <w:rFonts w:ascii="Times New Roman" w:hAnsi="Times New Roman" w:eastAsia="微软雅黑"/>
                <w:sz w:val="19"/>
              </w:rPr>
              <w:t>线性模型 + BH-FDR 校正</w:t>
            </w:r>
          </w:p>
        </w:tc>
        <w:tc>
          <w:tcPr>
            <w:tcW w:w="2379" w:type="dxa"/>
          </w:tcPr>
          <w:p w14:paraId="699A7BCC">
            <w:pPr>
              <w:spacing w:after="40"/>
            </w:pPr>
            <w:r>
              <w:rPr>
                <w:rFonts w:ascii="Times New Roman" w:hAnsi="Times New Roman" w:eastAsia="微软雅黑"/>
                <w:sz w:val="19"/>
              </w:rPr>
              <w:t xml:space="preserve">R </w:t>
            </w:r>
            <w:r>
              <w:rPr>
                <w:rFonts w:ascii="Times New Roman" w:hAnsi="Times New Roman" w:eastAsia="微软雅黑"/>
                <w:color w:val="A03030"/>
                <w:sz w:val="19"/>
              </w:rPr>
              <w:t>limma</w:t>
            </w:r>
            <w:r>
              <w:rPr>
                <w:rFonts w:ascii="Times New Roman" w:hAnsi="Times New Roman" w:eastAsia="微软雅黑"/>
                <w:sz w:val="19"/>
              </w:rPr>
              <w:t xml:space="preserve">(拟用)/ Python </w:t>
            </w:r>
            <w:r>
              <w:rPr>
                <w:rFonts w:ascii="Times New Roman" w:hAnsi="Times New Roman" w:eastAsia="微软雅黑"/>
                <w:color w:val="A03030"/>
                <w:sz w:val="19"/>
              </w:rPr>
              <w:t>scipy</w:t>
            </w:r>
            <w:r>
              <w:rPr>
                <w:rFonts w:ascii="Times New Roman" w:hAnsi="Times New Roman" w:eastAsia="微软雅黑"/>
                <w:sz w:val="19"/>
              </w:rPr>
              <w:t xml:space="preserve"> + 自写 BH</w:t>
            </w:r>
          </w:p>
        </w:tc>
        <w:tc>
          <w:tcPr>
            <w:tcW w:w="2379" w:type="dxa"/>
          </w:tcPr>
          <w:p w14:paraId="6FCD6711">
            <w:pPr>
              <w:spacing w:after="40"/>
            </w:pPr>
            <w:r>
              <w:rPr>
                <w:rFonts w:ascii="Times New Roman" w:hAnsi="Times New Roman" w:eastAsia="微软雅黑"/>
                <w:sz w:val="19"/>
              </w:rPr>
              <w:t>阈值 FDR &lt; 0.05,\</w:t>
            </w:r>
          </w:p>
        </w:tc>
      </w:tr>
      <w:tr w14:paraId="19FF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52330959">
            <w:pPr>
              <w:spacing w:after="40"/>
            </w:pPr>
            <w:r>
              <w:rPr>
                <w:rFonts w:ascii="Times New Roman" w:hAnsi="Times New Roman" w:eastAsia="微软雅黑"/>
                <w:sz w:val="19"/>
              </w:rPr>
              <w:t>多重检验校正</w:t>
            </w:r>
          </w:p>
        </w:tc>
        <w:tc>
          <w:tcPr>
            <w:tcW w:w="2379" w:type="dxa"/>
          </w:tcPr>
          <w:p w14:paraId="4930C1B9">
            <w:pPr>
              <w:spacing w:after="40"/>
            </w:pPr>
            <w:r>
              <w:rPr>
                <w:rFonts w:ascii="Times New Roman" w:hAnsi="Times New Roman" w:eastAsia="微软雅黑"/>
                <w:sz w:val="19"/>
              </w:rPr>
              <w:t>Benjamini–Hochberg</w:t>
            </w:r>
          </w:p>
        </w:tc>
        <w:tc>
          <w:tcPr>
            <w:tcW w:w="2379" w:type="dxa"/>
          </w:tcPr>
          <w:p w14:paraId="2913C5CF">
            <w:pPr>
              <w:spacing w:after="40"/>
            </w:pPr>
            <w:r>
              <w:rPr>
                <w:rFonts w:ascii="Times New Roman" w:hAnsi="Times New Roman" w:eastAsia="微软雅黑"/>
                <w:b/>
                <w:sz w:val="19"/>
              </w:rPr>
              <w:t>自写实现</w:t>
            </w:r>
            <w:r>
              <w:rPr>
                <w:rFonts w:ascii="Times New Roman" w:hAnsi="Times New Roman" w:eastAsia="微软雅黑"/>
                <w:sz w:val="19"/>
              </w:rPr>
              <w:t>(环境无 statsmodels)</w:t>
            </w:r>
          </w:p>
        </w:tc>
        <w:tc>
          <w:tcPr>
            <w:tcW w:w="2379" w:type="dxa"/>
          </w:tcPr>
          <w:p w14:paraId="11B30540">
            <w:pPr>
              <w:spacing w:after="40"/>
            </w:pPr>
            <w:r>
              <w:rPr>
                <w:rFonts w:ascii="Times New Roman" w:hAnsi="Times New Roman" w:eastAsia="微软雅黑"/>
                <w:sz w:val="19"/>
              </w:rPr>
              <w:t>记录校正方法以保证可复现</w:t>
            </w:r>
          </w:p>
        </w:tc>
      </w:tr>
      <w:tr w14:paraId="3C610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189DF644">
            <w:pPr>
              <w:spacing w:after="40"/>
            </w:pPr>
            <w:r>
              <w:rPr>
                <w:rFonts w:ascii="Times New Roman" w:hAnsi="Times New Roman" w:eastAsia="微软雅黑"/>
                <w:sz w:val="19"/>
              </w:rPr>
              <w:t>靶基因预测</w:t>
            </w:r>
          </w:p>
        </w:tc>
        <w:tc>
          <w:tcPr>
            <w:tcW w:w="2379" w:type="dxa"/>
          </w:tcPr>
          <w:p w14:paraId="655D81D4">
            <w:pPr>
              <w:spacing w:after="40"/>
            </w:pPr>
            <w:r>
              <w:rPr>
                <w:rFonts w:ascii="Times New Roman" w:hAnsi="Times New Roman" w:eastAsia="微软雅黑"/>
                <w:sz w:val="19"/>
              </w:rPr>
              <w:t>双数据库交集</w:t>
            </w:r>
          </w:p>
        </w:tc>
        <w:tc>
          <w:tcPr>
            <w:tcW w:w="2379" w:type="dxa"/>
          </w:tcPr>
          <w:p w14:paraId="266CDDD2">
            <w:pPr>
              <w:spacing w:after="40"/>
            </w:pPr>
            <w:r>
              <w:rPr>
                <w:rFonts w:ascii="Times New Roman" w:hAnsi="Times New Roman" w:eastAsia="微软雅黑"/>
                <w:sz w:val="19"/>
              </w:rPr>
              <w:t>TargetScan + miRDB(官方 API/下载)</w:t>
            </w:r>
          </w:p>
        </w:tc>
        <w:tc>
          <w:tcPr>
            <w:tcW w:w="2379" w:type="dxa"/>
          </w:tcPr>
          <w:p w14:paraId="676FC8BA">
            <w:pPr>
              <w:spacing w:after="40"/>
            </w:pPr>
            <w:r>
              <w:rPr>
                <w:rFonts w:ascii="Times New Roman" w:hAnsi="Times New Roman" w:eastAsia="微软雅黑"/>
                <w:sz w:val="19"/>
              </w:rPr>
              <w:t>提高特异性,降低假阳性</w:t>
            </w:r>
          </w:p>
        </w:tc>
      </w:tr>
      <w:tr w14:paraId="63EC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29E56D3E">
            <w:pPr>
              <w:spacing w:after="40"/>
            </w:pPr>
            <w:r>
              <w:rPr>
                <w:rFonts w:ascii="Times New Roman" w:hAnsi="Times New Roman" w:eastAsia="微软雅黑"/>
                <w:b/>
                <w:sz w:val="19"/>
              </w:rPr>
              <w:t>重叠富集</w:t>
            </w:r>
          </w:p>
        </w:tc>
        <w:tc>
          <w:tcPr>
            <w:tcW w:w="2379" w:type="dxa"/>
          </w:tcPr>
          <w:p w14:paraId="1774D3B0">
            <w:pPr>
              <w:spacing w:after="40"/>
            </w:pPr>
            <w:r>
              <w:rPr>
                <w:rFonts w:ascii="Times New Roman" w:hAnsi="Times New Roman" w:eastAsia="微软雅黑"/>
                <w:b/>
                <w:sz w:val="19"/>
              </w:rPr>
              <w:t>超几何检验 + 置换检验</w:t>
            </w:r>
          </w:p>
        </w:tc>
        <w:tc>
          <w:tcPr>
            <w:tcW w:w="2379" w:type="dxa"/>
          </w:tcPr>
          <w:p w14:paraId="381F73CE">
            <w:pPr>
              <w:spacing w:after="40"/>
            </w:pPr>
            <w:r>
              <w:rPr>
                <w:rFonts w:ascii="Times New Roman" w:hAnsi="Times New Roman" w:eastAsia="微软雅黑"/>
                <w:color w:val="A03030"/>
                <w:sz w:val="19"/>
              </w:rPr>
              <w:t>scipy.stats</w:t>
            </w:r>
          </w:p>
        </w:tc>
        <w:tc>
          <w:tcPr>
            <w:tcW w:w="2379" w:type="dxa"/>
          </w:tcPr>
          <w:p w14:paraId="0DB6B5E9">
            <w:pPr>
              <w:spacing w:after="40"/>
            </w:pPr>
            <w:r>
              <w:rPr>
                <w:rFonts w:ascii="Times New Roman" w:hAnsi="Times New Roman" w:eastAsia="微软雅黑"/>
                <w:b/>
                <w:sz w:val="19"/>
              </w:rPr>
              <w:t>本研究核心</w:t>
            </w:r>
            <w:r>
              <w:rPr>
                <w:rFonts w:ascii="Times New Roman" w:hAnsi="Times New Roman" w:eastAsia="微软雅黑"/>
                <w:sz w:val="19"/>
              </w:rPr>
              <w:t>,10,000 次置换</w:t>
            </w:r>
          </w:p>
        </w:tc>
      </w:tr>
      <w:tr w14:paraId="6FEA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45CF0983">
            <w:pPr>
              <w:spacing w:after="40"/>
            </w:pPr>
            <w:r>
              <w:rPr>
                <w:rFonts w:ascii="Times New Roman" w:hAnsi="Times New Roman" w:eastAsia="微软雅黑"/>
                <w:sz w:val="19"/>
              </w:rPr>
              <w:t>通路富集</w:t>
            </w:r>
          </w:p>
        </w:tc>
        <w:tc>
          <w:tcPr>
            <w:tcW w:w="2379" w:type="dxa"/>
          </w:tcPr>
          <w:p w14:paraId="2A87F8FA">
            <w:pPr>
              <w:spacing w:after="40"/>
            </w:pPr>
            <w:r>
              <w:rPr>
                <w:rFonts w:ascii="Times New Roman" w:hAnsi="Times New Roman" w:eastAsia="微软雅黑"/>
                <w:sz w:val="19"/>
              </w:rPr>
              <w:t>GO / KEGG / Reactome</w:t>
            </w:r>
          </w:p>
        </w:tc>
        <w:tc>
          <w:tcPr>
            <w:tcW w:w="2379" w:type="dxa"/>
          </w:tcPr>
          <w:p w14:paraId="1E295FE1">
            <w:pPr>
              <w:spacing w:after="40"/>
            </w:pPr>
            <w:r>
              <w:rPr>
                <w:rFonts w:ascii="Times New Roman" w:hAnsi="Times New Roman" w:eastAsia="微软雅黑"/>
                <w:sz w:val="19"/>
              </w:rPr>
              <w:t>官方 API + 本地基因集文件</w:t>
            </w:r>
          </w:p>
        </w:tc>
        <w:tc>
          <w:tcPr>
            <w:tcW w:w="2379" w:type="dxa"/>
          </w:tcPr>
          <w:p w14:paraId="686E2750">
            <w:pPr>
              <w:spacing w:after="40"/>
            </w:pPr>
            <w:r>
              <w:rPr>
                <w:rFonts w:ascii="Times New Roman" w:hAnsi="Times New Roman" w:eastAsia="微软雅黑"/>
                <w:sz w:val="19"/>
              </w:rPr>
              <w:t>多重检验校正</w:t>
            </w:r>
          </w:p>
        </w:tc>
      </w:tr>
      <w:tr w14:paraId="2AD8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564C6691">
            <w:pPr>
              <w:spacing w:after="40"/>
            </w:pPr>
            <w:r>
              <w:rPr>
                <w:rFonts w:ascii="Times New Roman" w:hAnsi="Times New Roman" w:eastAsia="微软雅黑"/>
                <w:sz w:val="19"/>
              </w:rPr>
              <w:t>网络构建</w:t>
            </w:r>
          </w:p>
        </w:tc>
        <w:tc>
          <w:tcPr>
            <w:tcW w:w="2379" w:type="dxa"/>
          </w:tcPr>
          <w:p w14:paraId="5BEF68F2">
            <w:pPr>
              <w:spacing w:after="40"/>
            </w:pPr>
            <w:r>
              <w:rPr>
                <w:rFonts w:ascii="Times New Roman" w:hAnsi="Times New Roman" w:eastAsia="微软雅黑"/>
                <w:sz w:val="19"/>
              </w:rPr>
              <w:t>miRNA–靶基因–通路三层图</w:t>
            </w:r>
          </w:p>
        </w:tc>
        <w:tc>
          <w:tcPr>
            <w:tcW w:w="2379" w:type="dxa"/>
          </w:tcPr>
          <w:p w14:paraId="2179031E">
            <w:pPr>
              <w:spacing w:after="40"/>
            </w:pPr>
            <w:r>
              <w:rPr>
                <w:rFonts w:ascii="Times New Roman" w:hAnsi="Times New Roman" w:eastAsia="微软雅黑"/>
                <w:color w:val="A03030"/>
                <w:sz w:val="19"/>
              </w:rPr>
              <w:t>networkx</w:t>
            </w:r>
            <w:r>
              <w:rPr>
                <w:rFonts w:ascii="Times New Roman" w:hAnsi="Times New Roman" w:eastAsia="微软雅黑"/>
                <w:sz w:val="19"/>
              </w:rPr>
              <w:t xml:space="preserve"> + matplotlib</w:t>
            </w:r>
          </w:p>
        </w:tc>
        <w:tc>
          <w:tcPr>
            <w:tcW w:w="2379" w:type="dxa"/>
          </w:tcPr>
          <w:p w14:paraId="0D8AEC7F">
            <w:pPr>
              <w:spacing w:after="40"/>
            </w:pPr>
            <w:r>
              <w:rPr>
                <w:rFonts w:ascii="Times New Roman" w:hAnsi="Times New Roman" w:eastAsia="微软雅黑"/>
                <w:sz w:val="19"/>
              </w:rPr>
              <w:t>用于结果图 3/4</w:t>
            </w:r>
          </w:p>
        </w:tc>
      </w:tr>
      <w:tr w14:paraId="5610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337C75EA">
            <w:pPr>
              <w:spacing w:after="40"/>
            </w:pPr>
            <w:r>
              <w:rPr>
                <w:rFonts w:ascii="Times New Roman" w:hAnsi="Times New Roman" w:eastAsia="微软雅黑"/>
                <w:sz w:val="19"/>
              </w:rPr>
              <w:t>单细胞定位</w:t>
            </w:r>
          </w:p>
        </w:tc>
        <w:tc>
          <w:tcPr>
            <w:tcW w:w="2379" w:type="dxa"/>
          </w:tcPr>
          <w:p w14:paraId="28A7D274">
            <w:pPr>
              <w:spacing w:after="40"/>
            </w:pPr>
            <w:r>
              <w:rPr>
                <w:rFonts w:ascii="Times New Roman" w:hAnsi="Times New Roman" w:eastAsia="微软雅黑"/>
                <w:sz w:val="19"/>
              </w:rPr>
              <w:t>细胞类型标记打分</w:t>
            </w:r>
          </w:p>
        </w:tc>
        <w:tc>
          <w:tcPr>
            <w:tcW w:w="2379" w:type="dxa"/>
          </w:tcPr>
          <w:p w14:paraId="0476B631">
            <w:pPr>
              <w:spacing w:after="40"/>
            </w:pPr>
            <w:r>
              <w:rPr>
                <w:rFonts w:ascii="Times New Roman" w:hAnsi="Times New Roman" w:eastAsia="微软雅黑"/>
                <w:sz w:val="19"/>
              </w:rPr>
              <w:t>仅辅助,需 scanpy 环境时再装</w:t>
            </w:r>
          </w:p>
        </w:tc>
        <w:tc>
          <w:tcPr>
            <w:tcW w:w="2379" w:type="dxa"/>
          </w:tcPr>
          <w:p w14:paraId="7C059C72">
            <w:pPr>
              <w:spacing w:after="40"/>
            </w:pPr>
            <w:r>
              <w:rPr>
                <w:rFonts w:ascii="Times New Roman" w:hAnsi="Times New Roman" w:eastAsia="微软雅黑"/>
                <w:b/>
                <w:sz w:val="19"/>
              </w:rPr>
              <w:t>样本量小,不作统计推断</w:t>
            </w:r>
          </w:p>
        </w:tc>
      </w:tr>
    </w:tbl>
    <w:p w14:paraId="6CC1B11C"/>
    <w:p w14:paraId="779B244C">
      <w:pPr>
        <w:pStyle w:val="4"/>
      </w:pPr>
      <w:r>
        <w:t>5.3 统计严谨性保障</w:t>
      </w:r>
    </w:p>
    <w:p w14:paraId="6DB2A2C5">
      <w:pPr>
        <w:pStyle w:val="14"/>
        <w:spacing w:after="40"/>
      </w:pPr>
      <w:r>
        <w:rPr>
          <w:rFonts w:ascii="Times New Roman" w:hAnsi="Times New Roman" w:eastAsia="微软雅黑"/>
          <w:b/>
        </w:rPr>
        <w:t>多重检验</w:t>
      </w:r>
      <w:r>
        <w:rPr>
          <w:rFonts w:ascii="Times New Roman" w:hAnsi="Times New Roman" w:eastAsia="微软雅黑"/>
        </w:rPr>
        <w:t>:所有组比较均施加 BH-FDR 校正</w:t>
      </w:r>
    </w:p>
    <w:p w14:paraId="0468DD65">
      <w:pPr>
        <w:pStyle w:val="14"/>
        <w:spacing w:after="40"/>
      </w:pPr>
      <w:r>
        <w:rPr>
          <w:rFonts w:ascii="Times New Roman" w:hAnsi="Times New Roman" w:eastAsia="微软雅黑"/>
          <w:b/>
        </w:rPr>
        <w:t>随机性控制</w:t>
      </w:r>
      <w:r>
        <w:rPr>
          <w:rFonts w:ascii="Times New Roman" w:hAnsi="Times New Roman" w:eastAsia="微软雅黑"/>
        </w:rPr>
        <w:t>:置换检验固定随机种子(</w:t>
      </w:r>
      <w:r>
        <w:rPr>
          <w:rFonts w:ascii="Consolas" w:hAnsi="Consolas"/>
          <w:color w:val="A03030"/>
          <w:sz w:val="19"/>
        </w:rPr>
        <w:t>random_state=42</w:t>
      </w:r>
      <w:r>
        <w:rPr>
          <w:rFonts w:ascii="Times New Roman" w:hAnsi="Times New Roman" w:eastAsia="微软雅黑"/>
        </w:rPr>
        <w:t>),确保结果可复现</w:t>
      </w:r>
    </w:p>
    <w:p w14:paraId="7ECD5F41">
      <w:pPr>
        <w:pStyle w:val="14"/>
        <w:spacing w:after="40"/>
      </w:pPr>
      <w:r>
        <w:rPr>
          <w:rFonts w:ascii="Times New Roman" w:hAnsi="Times New Roman" w:eastAsia="微软雅黑"/>
          <w:b/>
        </w:rPr>
        <w:t>效应量优先</w:t>
      </w:r>
      <w:r>
        <w:rPr>
          <w:rFonts w:ascii="Times New Roman" w:hAnsi="Times New Roman" w:eastAsia="微软雅黑"/>
        </w:rPr>
        <w:t>:报告 log2FC 而非仅 p 值</w:t>
      </w:r>
    </w:p>
    <w:p w14:paraId="5FC47AB0">
      <w:pPr>
        <w:pStyle w:val="14"/>
        <w:spacing w:after="40"/>
      </w:pPr>
      <w:r>
        <w:rPr>
          <w:rFonts w:ascii="Times New Roman" w:hAnsi="Times New Roman" w:eastAsia="微软雅黑"/>
          <w:b/>
        </w:rPr>
        <w:t>不夸大结论</w:t>
      </w:r>
      <w:r>
        <w:rPr>
          <w:rFonts w:ascii="Times New Roman" w:hAnsi="Times New Roman" w:eastAsia="微软雅黑"/>
        </w:rPr>
        <w:t>:报告中明确区分「实验数据支持的结论」与「计算推断的假说」</w:t>
      </w:r>
    </w:p>
    <w:p w14:paraId="40149A8D">
      <w:pPr>
        <w:pStyle w:val="4"/>
      </w:pPr>
      <w:r>
        <w:t>5.4 预期产出图表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1CA3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CE6F1"/>
          </w:tcPr>
          <w:p w14:paraId="2AA872B3">
            <w:pPr>
              <w:spacing w:after="40"/>
            </w:pPr>
            <w:r>
              <w:rPr>
                <w:rFonts w:ascii="Times New Roman" w:hAnsi="Times New Roman" w:eastAsia="微软雅黑"/>
                <w:b/>
                <w:sz w:val="19"/>
              </w:rPr>
              <w:t>图号</w:t>
            </w:r>
          </w:p>
        </w:tc>
        <w:tc>
          <w:tcPr>
            <w:tcW w:w="3173" w:type="dxa"/>
            <w:shd w:val="clear" w:color="auto" w:fill="DCE6F1"/>
          </w:tcPr>
          <w:p w14:paraId="2034EC1D">
            <w:pPr>
              <w:spacing w:after="40"/>
            </w:pPr>
            <w:r>
              <w:rPr>
                <w:rFonts w:ascii="Times New Roman" w:hAnsi="Times New Roman" w:eastAsia="微软雅黑"/>
                <w:b/>
                <w:sz w:val="19"/>
              </w:rPr>
              <w:t>内容</w:t>
            </w:r>
          </w:p>
        </w:tc>
        <w:tc>
          <w:tcPr>
            <w:tcW w:w="3173" w:type="dxa"/>
            <w:shd w:val="clear" w:color="auto" w:fill="DCE6F1"/>
          </w:tcPr>
          <w:p w14:paraId="07651F31">
            <w:pPr>
              <w:spacing w:after="40"/>
            </w:pPr>
            <w:r>
              <w:rPr>
                <w:rFonts w:ascii="Times New Roman" w:hAnsi="Times New Roman" w:eastAsia="微软雅黑"/>
                <w:b/>
                <w:sz w:val="19"/>
              </w:rPr>
              <w:t>对应假设</w:t>
            </w:r>
          </w:p>
        </w:tc>
      </w:tr>
      <w:tr w14:paraId="3C7C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D6D71D4">
            <w:pPr>
              <w:spacing w:after="40"/>
            </w:pPr>
            <w:r>
              <w:rPr>
                <w:rFonts w:ascii="Times New Roman" w:hAnsi="Times New Roman" w:eastAsia="微软雅黑"/>
                <w:sz w:val="19"/>
              </w:rPr>
              <w:t>Figure 1</w:t>
            </w:r>
          </w:p>
        </w:tc>
        <w:tc>
          <w:tcPr>
            <w:tcW w:w="3173" w:type="dxa"/>
          </w:tcPr>
          <w:p w14:paraId="24EA521D">
            <w:pPr>
              <w:spacing w:after="40"/>
            </w:pPr>
            <w:r>
              <w:rPr>
                <w:rFonts w:ascii="Times New Roman" w:hAnsi="Times New Roman" w:eastAsia="微软雅黑"/>
                <w:sz w:val="19"/>
              </w:rPr>
              <w:t>GSE15185 数据质控与样本分布 PCA</w:t>
            </w:r>
          </w:p>
        </w:tc>
        <w:tc>
          <w:tcPr>
            <w:tcW w:w="3173" w:type="dxa"/>
          </w:tcPr>
          <w:p w14:paraId="08700AA8">
            <w:pPr>
              <w:spacing w:after="40"/>
            </w:pPr>
            <w:r>
              <w:rPr>
                <w:rFonts w:ascii="Times New Roman" w:hAnsi="Times New Roman" w:eastAsia="微软雅黑"/>
                <w:sz w:val="19"/>
              </w:rPr>
              <w:t>—</w:t>
            </w:r>
          </w:p>
        </w:tc>
      </w:tr>
      <w:tr w14:paraId="14B6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FF0C191">
            <w:pPr>
              <w:spacing w:after="40"/>
            </w:pPr>
            <w:r>
              <w:rPr>
                <w:rFonts w:ascii="Times New Roman" w:hAnsi="Times New Roman" w:eastAsia="微软雅黑"/>
                <w:sz w:val="19"/>
              </w:rPr>
              <w:t>Figure 2</w:t>
            </w:r>
          </w:p>
        </w:tc>
        <w:tc>
          <w:tcPr>
            <w:tcW w:w="3173" w:type="dxa"/>
          </w:tcPr>
          <w:p w14:paraId="54D712B8">
            <w:pPr>
              <w:spacing w:after="40"/>
            </w:pPr>
            <w:r>
              <w:rPr>
                <w:rFonts w:ascii="Times New Roman" w:hAnsi="Times New Roman" w:eastAsia="微软雅黑"/>
                <w:sz w:val="19"/>
              </w:rPr>
              <w:t>休止期 vs 生长期差异表达:火山图 + 热图 + GO 富集</w:t>
            </w:r>
          </w:p>
        </w:tc>
        <w:tc>
          <w:tcPr>
            <w:tcW w:w="3173" w:type="dxa"/>
          </w:tcPr>
          <w:p w14:paraId="13852B8E">
            <w:pPr>
              <w:spacing w:after="40"/>
            </w:pPr>
            <w:r>
              <w:rPr>
                <w:rFonts w:ascii="Times New Roman" w:hAnsi="Times New Roman" w:eastAsia="微软雅黑"/>
                <w:sz w:val="19"/>
              </w:rPr>
              <w:t>阶段二</w:t>
            </w:r>
          </w:p>
        </w:tc>
      </w:tr>
      <w:tr w14:paraId="4919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38E61765">
            <w:pPr>
              <w:spacing w:after="40"/>
            </w:pPr>
            <w:r>
              <w:rPr>
                <w:rFonts w:ascii="Times New Roman" w:hAnsi="Times New Roman" w:eastAsia="微软雅黑"/>
                <w:sz w:val="19"/>
              </w:rPr>
              <w:t>Figure 3</w:t>
            </w:r>
          </w:p>
        </w:tc>
        <w:tc>
          <w:tcPr>
            <w:tcW w:w="3173" w:type="dxa"/>
          </w:tcPr>
          <w:p w14:paraId="3EE661AE">
            <w:pPr>
              <w:spacing w:after="40"/>
            </w:pPr>
            <w:r>
              <w:rPr>
                <w:rFonts w:ascii="Times New Roman" w:hAnsi="Times New Roman" w:eastAsia="微软雅黑"/>
                <w:sz w:val="19"/>
              </w:rPr>
              <w:t xml:space="preserve">⭐ </w:t>
            </w:r>
            <w:r>
              <w:rPr>
                <w:rFonts w:ascii="Times New Roman" w:hAnsi="Times New Roman" w:eastAsia="微软雅黑"/>
                <w:b/>
                <w:sz w:val="19"/>
              </w:rPr>
              <w:t>miRNA 靶基因谱重叠网络</w:t>
            </w:r>
            <w:r>
              <w:rPr>
                <w:rFonts w:ascii="Times New Roman" w:hAnsi="Times New Roman" w:eastAsia="微软雅黑"/>
                <w:sz w:val="19"/>
              </w:rPr>
              <w:t>(核心图):置换检验零分布 + 富集显著性排名</w:t>
            </w:r>
          </w:p>
        </w:tc>
        <w:tc>
          <w:tcPr>
            <w:tcW w:w="3173" w:type="dxa"/>
          </w:tcPr>
          <w:p w14:paraId="240C3CAA">
            <w:pPr>
              <w:spacing w:after="40"/>
            </w:pPr>
            <w:r>
              <w:rPr>
                <w:rFonts w:ascii="Times New Roman" w:hAnsi="Times New Roman" w:eastAsia="微软雅黑"/>
                <w:b/>
                <w:sz w:val="19"/>
              </w:rPr>
              <w:t>H1</w:t>
            </w:r>
          </w:p>
        </w:tc>
      </w:tr>
      <w:tr w14:paraId="5292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C1990C8">
            <w:pPr>
              <w:spacing w:after="40"/>
            </w:pPr>
            <w:r>
              <w:rPr>
                <w:rFonts w:ascii="Times New Roman" w:hAnsi="Times New Roman" w:eastAsia="微软雅黑"/>
                <w:sz w:val="19"/>
              </w:rPr>
              <w:t>Figure 4</w:t>
            </w:r>
          </w:p>
        </w:tc>
        <w:tc>
          <w:tcPr>
            <w:tcW w:w="3173" w:type="dxa"/>
          </w:tcPr>
          <w:p w14:paraId="3A742D08">
            <w:pPr>
              <w:spacing w:after="40"/>
            </w:pPr>
            <w:r>
              <w:rPr>
                <w:rFonts w:ascii="Times New Roman" w:hAnsi="Times New Roman" w:eastAsia="微软雅黑"/>
                <w:sz w:val="19"/>
              </w:rPr>
              <w:t>Wnt 通路核心节点的 miRNA 靶向覆盖(RSM 得分)</w:t>
            </w:r>
          </w:p>
        </w:tc>
        <w:tc>
          <w:tcPr>
            <w:tcW w:w="3173" w:type="dxa"/>
          </w:tcPr>
          <w:p w14:paraId="15751586">
            <w:pPr>
              <w:spacing w:after="40"/>
            </w:pPr>
            <w:r>
              <w:rPr>
                <w:rFonts w:ascii="Times New Roman" w:hAnsi="Times New Roman" w:eastAsia="微软雅黑"/>
                <w:sz w:val="19"/>
              </w:rPr>
              <w:t>H1</w:t>
            </w:r>
          </w:p>
        </w:tc>
      </w:tr>
      <w:tr w14:paraId="27A5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DA7A079">
            <w:pPr>
              <w:spacing w:after="40"/>
            </w:pPr>
            <w:r>
              <w:rPr>
                <w:rFonts w:ascii="Times New Roman" w:hAnsi="Times New Roman" w:eastAsia="微软雅黑"/>
                <w:sz w:val="19"/>
              </w:rPr>
              <w:t>Figure 5</w:t>
            </w:r>
          </w:p>
        </w:tc>
        <w:tc>
          <w:tcPr>
            <w:tcW w:w="3173" w:type="dxa"/>
          </w:tcPr>
          <w:p w14:paraId="121125A5">
            <w:pPr>
              <w:spacing w:after="40"/>
            </w:pPr>
            <w:r>
              <w:rPr>
                <w:rFonts w:ascii="Times New Roman" w:hAnsi="Times New Roman" w:eastAsia="微软雅黑"/>
                <w:sz w:val="19"/>
              </w:rPr>
              <w:t>候选靶基因在毛乳头细胞(DP)中的表达验证</w:t>
            </w:r>
          </w:p>
        </w:tc>
        <w:tc>
          <w:tcPr>
            <w:tcW w:w="3173" w:type="dxa"/>
          </w:tcPr>
          <w:p w14:paraId="43E6A1F8">
            <w:pPr>
              <w:spacing w:after="40"/>
            </w:pPr>
            <w:r>
              <w:rPr>
                <w:rFonts w:ascii="Times New Roman" w:hAnsi="Times New Roman" w:eastAsia="微软雅黑"/>
                <w:sz w:val="19"/>
              </w:rPr>
              <w:t>H2</w:t>
            </w:r>
          </w:p>
        </w:tc>
      </w:tr>
      <w:tr w14:paraId="7533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8CC8934">
            <w:pPr>
              <w:spacing w:after="40"/>
            </w:pPr>
            <w:r>
              <w:rPr>
                <w:rFonts w:ascii="Times New Roman" w:hAnsi="Times New Roman" w:eastAsia="微软雅黑"/>
                <w:sz w:val="19"/>
              </w:rPr>
              <w:t>Figure 6</w:t>
            </w:r>
          </w:p>
        </w:tc>
        <w:tc>
          <w:tcPr>
            <w:tcW w:w="3173" w:type="dxa"/>
          </w:tcPr>
          <w:p w14:paraId="36F1E06E">
            <w:pPr>
              <w:spacing w:after="40"/>
            </w:pPr>
            <w:r>
              <w:rPr>
                <w:rFonts w:ascii="Times New Roman" w:hAnsi="Times New Roman" w:eastAsia="微软雅黑"/>
                <w:sz w:val="19"/>
              </w:rPr>
              <w:t>miRNA → 靶基因 → 通路 三层调控网络示意</w:t>
            </w:r>
          </w:p>
        </w:tc>
        <w:tc>
          <w:tcPr>
            <w:tcW w:w="3173" w:type="dxa"/>
          </w:tcPr>
          <w:p w14:paraId="16400A1C">
            <w:pPr>
              <w:spacing w:after="40"/>
            </w:pPr>
            <w:r>
              <w:rPr>
                <w:rFonts w:ascii="Times New Roman" w:hAnsi="Times New Roman" w:eastAsia="微软雅黑"/>
                <w:sz w:val="19"/>
              </w:rPr>
              <w:t>H1/H3</w:t>
            </w:r>
          </w:p>
        </w:tc>
      </w:tr>
    </w:tbl>
    <w:p w14:paraId="2ECE0C3C"/>
    <w:p w14:paraId="0707EE03">
      <w:pPr>
        <w:pStyle w:val="3"/>
      </w:pPr>
      <w:r>
        <w:t>六、分工安排(4 人小组)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2379"/>
        <w:gridCol w:w="2379"/>
        <w:gridCol w:w="2379"/>
      </w:tblGrid>
      <w:tr w14:paraId="6267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shd w:val="clear" w:color="auto" w:fill="DCE6F1"/>
          </w:tcPr>
          <w:p w14:paraId="646879E9">
            <w:pPr>
              <w:spacing w:after="40"/>
            </w:pPr>
            <w:r>
              <w:rPr>
                <w:rFonts w:ascii="Times New Roman" w:hAnsi="Times New Roman" w:eastAsia="微软雅黑"/>
                <w:b/>
                <w:sz w:val="19"/>
              </w:rPr>
              <w:t>角色</w:t>
            </w:r>
          </w:p>
        </w:tc>
        <w:tc>
          <w:tcPr>
            <w:tcW w:w="2379" w:type="dxa"/>
            <w:shd w:val="clear" w:color="auto" w:fill="DCE6F1"/>
          </w:tcPr>
          <w:p w14:paraId="24395247">
            <w:pPr>
              <w:spacing w:after="40"/>
            </w:pPr>
            <w:r>
              <w:rPr>
                <w:rFonts w:ascii="Times New Roman" w:hAnsi="Times New Roman" w:eastAsia="微软雅黑"/>
                <w:b/>
                <w:sz w:val="19"/>
              </w:rPr>
              <w:t>成员</w:t>
            </w:r>
          </w:p>
        </w:tc>
        <w:tc>
          <w:tcPr>
            <w:tcW w:w="2379" w:type="dxa"/>
            <w:shd w:val="clear" w:color="auto" w:fill="DCE6F1"/>
          </w:tcPr>
          <w:p w14:paraId="4360166B">
            <w:pPr>
              <w:spacing w:after="40"/>
            </w:pPr>
            <w:r>
              <w:rPr>
                <w:rFonts w:ascii="Times New Roman" w:hAnsi="Times New Roman" w:eastAsia="微软雅黑"/>
                <w:b/>
                <w:sz w:val="19"/>
              </w:rPr>
              <w:t>职责</w:t>
            </w:r>
          </w:p>
        </w:tc>
        <w:tc>
          <w:tcPr>
            <w:tcW w:w="2379" w:type="dxa"/>
            <w:shd w:val="clear" w:color="auto" w:fill="DCE6F1"/>
          </w:tcPr>
          <w:p w14:paraId="7D2828BE">
            <w:pPr>
              <w:spacing w:after="40"/>
            </w:pPr>
            <w:r>
              <w:rPr>
                <w:rFonts w:ascii="Times New Roman" w:hAnsi="Times New Roman" w:eastAsia="微软雅黑"/>
                <w:b/>
                <w:sz w:val="19"/>
              </w:rPr>
              <w:t>交付物</w:t>
            </w:r>
          </w:p>
        </w:tc>
      </w:tr>
      <w:tr w14:paraId="1689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2F782FDF">
            <w:pPr>
              <w:spacing w:after="40"/>
            </w:pPr>
            <w:r>
              <w:rPr>
                <w:rFonts w:ascii="Times New Roman" w:hAnsi="Times New Roman" w:eastAsia="微软雅黑"/>
                <w:b/>
                <w:sz w:val="19"/>
              </w:rPr>
              <w:t>组长</w:t>
            </w:r>
          </w:p>
        </w:tc>
        <w:tc>
          <w:tcPr>
            <w:tcW w:w="2379" w:type="dxa"/>
          </w:tcPr>
          <w:p w14:paraId="21B07D46">
            <w:pPr>
              <w:spacing w:after="40"/>
            </w:pPr>
            <w:r>
              <w:rPr>
                <w:rFonts w:ascii="Times New Roman" w:hAnsi="Times New Roman" w:eastAsia="微软雅黑"/>
                <w:sz w:val="19"/>
              </w:rPr>
              <w:t>组长(本人)</w:t>
            </w:r>
          </w:p>
        </w:tc>
        <w:tc>
          <w:tcPr>
            <w:tcW w:w="2379" w:type="dxa"/>
          </w:tcPr>
          <w:p w14:paraId="49102186">
            <w:pPr>
              <w:spacing w:after="40"/>
            </w:pPr>
            <w:r>
              <w:rPr>
                <w:rFonts w:ascii="Times New Roman" w:hAnsi="Times New Roman" w:eastAsia="微软雅黑"/>
                <w:sz w:val="19"/>
              </w:rPr>
              <w:t>统筹进度、假说设计、核心分析、报告整合撰写</w:t>
            </w:r>
          </w:p>
        </w:tc>
        <w:tc>
          <w:tcPr>
            <w:tcW w:w="2379" w:type="dxa"/>
          </w:tcPr>
          <w:p w14:paraId="0F212951">
            <w:pPr>
              <w:spacing w:after="40"/>
            </w:pPr>
            <w:r>
              <w:rPr>
                <w:rFonts w:ascii="Times New Roman" w:hAnsi="Times New Roman" w:eastAsia="微软雅黑"/>
                <w:sz w:val="19"/>
              </w:rPr>
              <w:t>假说文档、核心网络分析、最终报告</w:t>
            </w:r>
          </w:p>
        </w:tc>
      </w:tr>
      <w:tr w14:paraId="290E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72AF7F52">
            <w:pPr>
              <w:spacing w:after="40"/>
            </w:pPr>
            <w:r>
              <w:rPr>
                <w:rFonts w:ascii="Times New Roman" w:hAnsi="Times New Roman" w:eastAsia="微软雅黑"/>
                <w:sz w:val="19"/>
              </w:rPr>
              <w:t>成员 A</w:t>
            </w:r>
          </w:p>
        </w:tc>
        <w:tc>
          <w:tcPr>
            <w:tcW w:w="2379" w:type="dxa"/>
          </w:tcPr>
          <w:p w14:paraId="5ABE7ED9">
            <w:pPr>
              <w:spacing w:after="40"/>
            </w:pPr>
            <w:r>
              <w:rPr>
                <w:rFonts w:ascii="Times New Roman" w:hAnsi="Times New Roman" w:eastAsia="微软雅黑"/>
                <w:sz w:val="19"/>
              </w:rPr>
              <w:t>—</w:t>
            </w:r>
          </w:p>
        </w:tc>
        <w:tc>
          <w:tcPr>
            <w:tcW w:w="2379" w:type="dxa"/>
          </w:tcPr>
          <w:p w14:paraId="07218F88">
            <w:pPr>
              <w:spacing w:after="40"/>
            </w:pPr>
            <w:r>
              <w:rPr>
                <w:rFonts w:ascii="Times New Roman" w:hAnsi="Times New Roman" w:eastAsia="微软雅黑"/>
                <w:sz w:val="19"/>
              </w:rPr>
              <w:t>文献精读与整理(§3),建立证据表格</w:t>
            </w:r>
          </w:p>
        </w:tc>
        <w:tc>
          <w:tcPr>
            <w:tcW w:w="2379" w:type="dxa"/>
          </w:tcPr>
          <w:p w14:paraId="2F087CAD">
            <w:pPr>
              <w:spacing w:after="40"/>
            </w:pPr>
            <w:r>
              <w:rPr>
                <w:rFonts w:ascii="Times New Roman" w:hAnsi="Times New Roman" w:eastAsia="微软雅黑"/>
                <w:sz w:val="19"/>
              </w:rPr>
              <w:t>文献综述文档</w:t>
            </w:r>
          </w:p>
        </w:tc>
      </w:tr>
      <w:tr w14:paraId="150C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5FDCBC58">
            <w:pPr>
              <w:spacing w:after="40"/>
            </w:pPr>
            <w:r>
              <w:rPr>
                <w:rFonts w:ascii="Times New Roman" w:hAnsi="Times New Roman" w:eastAsia="微软雅黑"/>
                <w:sz w:val="19"/>
              </w:rPr>
              <w:t>成员 B</w:t>
            </w:r>
          </w:p>
        </w:tc>
        <w:tc>
          <w:tcPr>
            <w:tcW w:w="2379" w:type="dxa"/>
          </w:tcPr>
          <w:p w14:paraId="2F9CC308">
            <w:pPr>
              <w:spacing w:after="40"/>
            </w:pPr>
            <w:r>
              <w:rPr>
                <w:rFonts w:ascii="Times New Roman" w:hAnsi="Times New Roman" w:eastAsia="微软雅黑"/>
                <w:sz w:val="19"/>
              </w:rPr>
              <w:t>—</w:t>
            </w:r>
          </w:p>
        </w:tc>
        <w:tc>
          <w:tcPr>
            <w:tcW w:w="2379" w:type="dxa"/>
          </w:tcPr>
          <w:p w14:paraId="51B7C776">
            <w:pPr>
              <w:spacing w:after="40"/>
            </w:pPr>
            <w:r>
              <w:rPr>
                <w:rFonts w:ascii="Times New Roman" w:hAnsi="Times New Roman" w:eastAsia="微软雅黑"/>
                <w:sz w:val="19"/>
              </w:rPr>
              <w:t>数据获取与质控(§4–5.1 阶段一)</w:t>
            </w:r>
          </w:p>
        </w:tc>
        <w:tc>
          <w:tcPr>
            <w:tcW w:w="2379" w:type="dxa"/>
          </w:tcPr>
          <w:p w14:paraId="6AEB36B0">
            <w:pPr>
              <w:spacing w:after="40"/>
            </w:pPr>
            <w:r>
              <w:rPr>
                <w:rFonts w:ascii="Times New Roman" w:hAnsi="Times New Roman" w:eastAsia="微软雅黑"/>
                <w:sz w:val="19"/>
              </w:rPr>
              <w:t>数据集说明与质控报告</w:t>
            </w:r>
          </w:p>
        </w:tc>
      </w:tr>
      <w:tr w14:paraId="505D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7300DB98">
            <w:pPr>
              <w:spacing w:after="40"/>
            </w:pPr>
            <w:r>
              <w:rPr>
                <w:rFonts w:ascii="Times New Roman" w:hAnsi="Times New Roman" w:eastAsia="微软雅黑"/>
                <w:sz w:val="19"/>
              </w:rPr>
              <w:t>成员 C</w:t>
            </w:r>
          </w:p>
        </w:tc>
        <w:tc>
          <w:tcPr>
            <w:tcW w:w="2379" w:type="dxa"/>
          </w:tcPr>
          <w:p w14:paraId="2E05E26B">
            <w:pPr>
              <w:spacing w:after="40"/>
            </w:pPr>
            <w:r>
              <w:rPr>
                <w:rFonts w:ascii="Times New Roman" w:hAnsi="Times New Roman" w:eastAsia="微软雅黑"/>
                <w:sz w:val="19"/>
              </w:rPr>
              <w:t>—</w:t>
            </w:r>
          </w:p>
        </w:tc>
        <w:tc>
          <w:tcPr>
            <w:tcW w:w="2379" w:type="dxa"/>
          </w:tcPr>
          <w:p w14:paraId="6A3F2D66">
            <w:pPr>
              <w:spacing w:after="40"/>
            </w:pPr>
            <w:r>
              <w:rPr>
                <w:rFonts w:ascii="Times New Roman" w:hAnsi="Times New Roman" w:eastAsia="微软雅黑"/>
                <w:sz w:val="19"/>
              </w:rPr>
              <w:t>通路富集与网络可视化(§5.1 阶段五–七)</w:t>
            </w:r>
          </w:p>
        </w:tc>
        <w:tc>
          <w:tcPr>
            <w:tcW w:w="2379" w:type="dxa"/>
          </w:tcPr>
          <w:p w14:paraId="0D88AAA8">
            <w:pPr>
              <w:spacing w:after="40"/>
            </w:pPr>
            <w:r>
              <w:rPr>
                <w:rFonts w:ascii="Times New Roman" w:hAnsi="Times New Roman" w:eastAsia="微软雅黑"/>
                <w:sz w:val="19"/>
              </w:rPr>
              <w:t>富集分析结果、Figure 3–6</w:t>
            </w:r>
          </w:p>
        </w:tc>
      </w:tr>
    </w:tbl>
    <w:p w14:paraId="78E83F70"/>
    <w:p w14:paraId="758DEA29">
      <w:pPr>
        <w:ind w:left="340"/>
      </w:pPr>
      <w:r>
        <w:rPr>
          <w:rFonts w:ascii="Times New Roman" w:hAnsi="Times New Roman" w:eastAsia="微软雅黑"/>
          <w:i/>
          <w:sz w:val="19"/>
        </w:rPr>
        <w:t>详细任务清单与排期另行制定,每周同步进度。</w:t>
      </w:r>
    </w:p>
    <w:p w14:paraId="71C6817B">
      <w:pPr>
        <w:pStyle w:val="3"/>
      </w:pPr>
      <w:r>
        <w:t>七、当前进度与里程碑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6A70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CE6F1"/>
          </w:tcPr>
          <w:p w14:paraId="7EA680B2">
            <w:pPr>
              <w:spacing w:after="40"/>
            </w:pPr>
            <w:r>
              <w:rPr>
                <w:rFonts w:ascii="Times New Roman" w:hAnsi="Times New Roman" w:eastAsia="微软雅黑"/>
                <w:b/>
                <w:sz w:val="19"/>
              </w:rPr>
              <w:t>阶段</w:t>
            </w:r>
          </w:p>
        </w:tc>
        <w:tc>
          <w:tcPr>
            <w:tcW w:w="3173" w:type="dxa"/>
            <w:shd w:val="clear" w:color="auto" w:fill="DCE6F1"/>
          </w:tcPr>
          <w:p w14:paraId="4132F563">
            <w:pPr>
              <w:spacing w:after="40"/>
            </w:pPr>
            <w:r>
              <w:rPr>
                <w:rFonts w:ascii="Times New Roman" w:hAnsi="Times New Roman" w:eastAsia="微软雅黑"/>
                <w:b/>
                <w:sz w:val="19"/>
              </w:rPr>
              <w:t>状态</w:t>
            </w:r>
          </w:p>
        </w:tc>
        <w:tc>
          <w:tcPr>
            <w:tcW w:w="3173" w:type="dxa"/>
            <w:shd w:val="clear" w:color="auto" w:fill="DCE6F1"/>
          </w:tcPr>
          <w:p w14:paraId="559AEB85">
            <w:pPr>
              <w:spacing w:after="40"/>
            </w:pPr>
            <w:r>
              <w:rPr>
                <w:rFonts w:ascii="Times New Roman" w:hAnsi="Times New Roman" w:eastAsia="微软雅黑"/>
                <w:b/>
                <w:sz w:val="19"/>
              </w:rPr>
              <w:t>说明</w:t>
            </w:r>
          </w:p>
        </w:tc>
      </w:tr>
      <w:tr w14:paraId="73A5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4396081">
            <w:pPr>
              <w:spacing w:after="40"/>
            </w:pPr>
            <w:r>
              <w:rPr>
                <w:rFonts w:ascii="Times New Roman" w:hAnsi="Times New Roman" w:eastAsia="微软雅黑"/>
                <w:sz w:val="19"/>
              </w:rPr>
              <w:t>课题确定</w:t>
            </w:r>
          </w:p>
        </w:tc>
        <w:tc>
          <w:tcPr>
            <w:tcW w:w="3173" w:type="dxa"/>
          </w:tcPr>
          <w:p w14:paraId="32F73034">
            <w:pPr>
              <w:spacing w:after="40"/>
            </w:pPr>
            <w:r>
              <w:rPr>
                <w:rFonts w:ascii="Times New Roman" w:hAnsi="Times New Roman" w:eastAsia="微软雅黑"/>
                <w:sz w:val="19"/>
              </w:rPr>
              <w:t>✅ 已完成</w:t>
            </w:r>
          </w:p>
        </w:tc>
        <w:tc>
          <w:tcPr>
            <w:tcW w:w="3173" w:type="dxa"/>
          </w:tcPr>
          <w:p w14:paraId="02F1F507">
            <w:pPr>
              <w:spacing w:after="40"/>
            </w:pPr>
            <w:r>
              <w:rPr>
                <w:rFonts w:ascii="Times New Roman" w:hAnsi="Times New Roman" w:eastAsia="微软雅黑"/>
                <w:sz w:val="19"/>
              </w:rPr>
              <w:t>选定 H1 假设框架</w:t>
            </w:r>
          </w:p>
        </w:tc>
      </w:tr>
      <w:tr w14:paraId="46ED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7955E4C">
            <w:pPr>
              <w:spacing w:after="40"/>
            </w:pPr>
            <w:r>
              <w:rPr>
                <w:rFonts w:ascii="Times New Roman" w:hAnsi="Times New Roman" w:eastAsia="微软雅黑"/>
                <w:sz w:val="19"/>
              </w:rPr>
              <w:t>文献调研</w:t>
            </w:r>
          </w:p>
        </w:tc>
        <w:tc>
          <w:tcPr>
            <w:tcW w:w="3173" w:type="dxa"/>
          </w:tcPr>
          <w:p w14:paraId="25DE2EBD">
            <w:pPr>
              <w:spacing w:after="40"/>
            </w:pPr>
            <w:r>
              <w:rPr>
                <w:rFonts w:ascii="Times New Roman" w:hAnsi="Times New Roman" w:eastAsia="微软雅黑"/>
                <w:sz w:val="19"/>
              </w:rPr>
              <w:t>✅ 已完成</w:t>
            </w:r>
          </w:p>
        </w:tc>
        <w:tc>
          <w:tcPr>
            <w:tcW w:w="3173" w:type="dxa"/>
          </w:tcPr>
          <w:p w14:paraId="2EF15480">
            <w:pPr>
              <w:spacing w:after="40"/>
            </w:pPr>
            <w:r>
              <w:rPr>
                <w:rFonts w:ascii="Times New Roman" w:hAnsi="Times New Roman" w:eastAsia="微软雅黑"/>
                <w:sz w:val="19"/>
              </w:rPr>
              <w:t>12 篇核心文献已核验溯源</w:t>
            </w:r>
          </w:p>
        </w:tc>
      </w:tr>
      <w:tr w14:paraId="5C4C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079D3CA">
            <w:pPr>
              <w:spacing w:after="40"/>
            </w:pPr>
            <w:r>
              <w:rPr>
                <w:rFonts w:ascii="Times New Roman" w:hAnsi="Times New Roman" w:eastAsia="微软雅黑"/>
                <w:sz w:val="19"/>
              </w:rPr>
              <w:t>数据侦察</w:t>
            </w:r>
          </w:p>
        </w:tc>
        <w:tc>
          <w:tcPr>
            <w:tcW w:w="3173" w:type="dxa"/>
          </w:tcPr>
          <w:p w14:paraId="03508DE1">
            <w:pPr>
              <w:spacing w:after="40"/>
            </w:pPr>
            <w:r>
              <w:rPr>
                <w:rFonts w:ascii="Times New Roman" w:hAnsi="Times New Roman" w:eastAsia="微软雅黑"/>
                <w:sz w:val="19"/>
              </w:rPr>
              <w:t>✅ 已完成</w:t>
            </w:r>
          </w:p>
        </w:tc>
        <w:tc>
          <w:tcPr>
            <w:tcW w:w="3173" w:type="dxa"/>
          </w:tcPr>
          <w:p w14:paraId="2101FD0D">
            <w:pPr>
              <w:spacing w:after="40"/>
            </w:pPr>
            <w:r>
              <w:rPr>
                <w:rFonts w:ascii="Times New Roman" w:hAnsi="Times New Roman" w:eastAsia="微软雅黑"/>
                <w:sz w:val="19"/>
              </w:rPr>
              <w:t>已确认 5 个可用数据集及其样本量</w:t>
            </w:r>
          </w:p>
        </w:tc>
      </w:tr>
      <w:tr w14:paraId="2DF1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C258ACA">
            <w:pPr>
              <w:spacing w:after="40"/>
            </w:pPr>
            <w:r>
              <w:rPr>
                <w:rFonts w:ascii="Times New Roman" w:hAnsi="Times New Roman" w:eastAsia="微软雅黑"/>
                <w:b/>
                <w:sz w:val="19"/>
              </w:rPr>
              <w:t>数据下载与质控</w:t>
            </w:r>
          </w:p>
        </w:tc>
        <w:tc>
          <w:tcPr>
            <w:tcW w:w="3173" w:type="dxa"/>
          </w:tcPr>
          <w:p w14:paraId="5A2114F0">
            <w:pPr>
              <w:spacing w:after="40"/>
            </w:pPr>
            <w:r>
              <w:rPr>
                <w:rFonts w:ascii="Times New Roman" w:hAnsi="Times New Roman" w:eastAsia="微软雅黑"/>
                <w:sz w:val="19"/>
              </w:rPr>
              <w:t xml:space="preserve">🔄 </w:t>
            </w:r>
            <w:r>
              <w:rPr>
                <w:rFonts w:ascii="Times New Roman" w:hAnsi="Times New Roman" w:eastAsia="微软雅黑"/>
                <w:b/>
                <w:sz w:val="19"/>
              </w:rPr>
              <w:t>进行中(下一步)</w:t>
            </w:r>
          </w:p>
        </w:tc>
        <w:tc>
          <w:tcPr>
            <w:tcW w:w="3173" w:type="dxa"/>
          </w:tcPr>
          <w:p w14:paraId="6C97FCC4">
            <w:pPr>
              <w:spacing w:after="40"/>
            </w:pPr>
            <w:r>
              <w:rPr>
                <w:rFonts w:ascii="Times New Roman" w:hAnsi="Times New Roman" w:eastAsia="微软雅黑"/>
                <w:sz w:val="19"/>
              </w:rPr>
              <w:t>先下载 GSE15185 验证数据成色</w:t>
            </w:r>
          </w:p>
        </w:tc>
      </w:tr>
      <w:tr w14:paraId="2209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ECCD10F">
            <w:pPr>
              <w:spacing w:after="40"/>
            </w:pPr>
            <w:r>
              <w:rPr>
                <w:rFonts w:ascii="Times New Roman" w:hAnsi="Times New Roman" w:eastAsia="微软雅黑"/>
                <w:sz w:val="19"/>
              </w:rPr>
              <w:t>差异表达分析</w:t>
            </w:r>
          </w:p>
        </w:tc>
        <w:tc>
          <w:tcPr>
            <w:tcW w:w="3173" w:type="dxa"/>
          </w:tcPr>
          <w:p w14:paraId="21C20E84">
            <w:pPr>
              <w:spacing w:after="40"/>
            </w:pPr>
            <w:r>
              <w:rPr>
                <w:rFonts w:ascii="Times New Roman" w:hAnsi="Times New Roman" w:eastAsia="微软雅黑"/>
                <w:sz w:val="19"/>
              </w:rPr>
              <w:t>⏳ 待启动</w:t>
            </w:r>
          </w:p>
        </w:tc>
        <w:tc>
          <w:tcPr>
            <w:tcW w:w="3173" w:type="dxa"/>
          </w:tcPr>
          <w:p w14:paraId="06FCF30A">
            <w:pPr>
              <w:spacing w:after="40"/>
            </w:pPr>
            <w:r>
              <w:rPr>
                <w:rFonts w:ascii="Times New Roman" w:hAnsi="Times New Roman" w:eastAsia="微软雅黑"/>
                <w:sz w:val="19"/>
              </w:rPr>
              <w:t>—</w:t>
            </w:r>
          </w:p>
        </w:tc>
      </w:tr>
      <w:tr w14:paraId="5785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1D0C259">
            <w:pPr>
              <w:spacing w:after="40"/>
            </w:pPr>
            <w:r>
              <w:rPr>
                <w:rFonts w:ascii="Times New Roman" w:hAnsi="Times New Roman" w:eastAsia="微软雅黑"/>
                <w:sz w:val="19"/>
              </w:rPr>
              <w:t>核心网络分析</w:t>
            </w:r>
          </w:p>
        </w:tc>
        <w:tc>
          <w:tcPr>
            <w:tcW w:w="3173" w:type="dxa"/>
          </w:tcPr>
          <w:p w14:paraId="70062DB7">
            <w:pPr>
              <w:spacing w:after="40"/>
            </w:pPr>
            <w:r>
              <w:rPr>
                <w:rFonts w:ascii="Times New Roman" w:hAnsi="Times New Roman" w:eastAsia="微软雅黑"/>
                <w:sz w:val="19"/>
              </w:rPr>
              <w:t>⏳ 待启动</w:t>
            </w:r>
          </w:p>
        </w:tc>
        <w:tc>
          <w:tcPr>
            <w:tcW w:w="3173" w:type="dxa"/>
          </w:tcPr>
          <w:p w14:paraId="24F3AABC">
            <w:pPr>
              <w:spacing w:after="40"/>
            </w:pPr>
            <w:r>
              <w:rPr>
                <w:rFonts w:ascii="Times New Roman" w:hAnsi="Times New Roman" w:eastAsia="微软雅黑"/>
                <w:sz w:val="19"/>
              </w:rPr>
              <w:t>—</w:t>
            </w:r>
          </w:p>
        </w:tc>
      </w:tr>
      <w:tr w14:paraId="2187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3919A37">
            <w:pPr>
              <w:spacing w:after="40"/>
            </w:pPr>
            <w:r>
              <w:rPr>
                <w:rFonts w:ascii="Times New Roman" w:hAnsi="Times New Roman" w:eastAsia="微软雅黑"/>
                <w:sz w:val="19"/>
              </w:rPr>
              <w:t>图表与论文撰写</w:t>
            </w:r>
          </w:p>
        </w:tc>
        <w:tc>
          <w:tcPr>
            <w:tcW w:w="3173" w:type="dxa"/>
          </w:tcPr>
          <w:p w14:paraId="2DFDEF29">
            <w:pPr>
              <w:spacing w:after="40"/>
            </w:pPr>
            <w:r>
              <w:rPr>
                <w:rFonts w:ascii="Times New Roman" w:hAnsi="Times New Roman" w:eastAsia="微软雅黑"/>
                <w:sz w:val="19"/>
              </w:rPr>
              <w:t>⏳ 待启动</w:t>
            </w:r>
          </w:p>
        </w:tc>
        <w:tc>
          <w:tcPr>
            <w:tcW w:w="3173" w:type="dxa"/>
          </w:tcPr>
          <w:p w14:paraId="1F098A3A">
            <w:pPr>
              <w:spacing w:after="40"/>
            </w:pPr>
            <w:r>
              <w:rPr>
                <w:rFonts w:ascii="Times New Roman" w:hAnsi="Times New Roman" w:eastAsia="微软雅黑"/>
                <w:sz w:val="19"/>
              </w:rPr>
              <w:t>目标 12 月底完成</w:t>
            </w:r>
          </w:p>
        </w:tc>
      </w:tr>
    </w:tbl>
    <w:p w14:paraId="126ADFCC"/>
    <w:p w14:paraId="742000C9">
      <w:pPr>
        <w:pStyle w:val="4"/>
      </w:pPr>
      <w:r>
        <w:t>里程碑时间表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14CA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CE6F1"/>
          </w:tcPr>
          <w:p w14:paraId="5A442061">
            <w:pPr>
              <w:spacing w:after="40"/>
            </w:pPr>
            <w:r>
              <w:rPr>
                <w:rFonts w:ascii="Times New Roman" w:hAnsi="Times New Roman" w:eastAsia="微软雅黑"/>
                <w:b/>
                <w:sz w:val="19"/>
              </w:rPr>
              <w:t>时间</w:t>
            </w:r>
          </w:p>
        </w:tc>
        <w:tc>
          <w:tcPr>
            <w:tcW w:w="4759" w:type="dxa"/>
            <w:shd w:val="clear" w:color="auto" w:fill="DCE6F1"/>
          </w:tcPr>
          <w:p w14:paraId="63A76E8A">
            <w:pPr>
              <w:spacing w:after="40"/>
            </w:pPr>
            <w:r>
              <w:rPr>
                <w:rFonts w:ascii="Times New Roman" w:hAnsi="Times New Roman" w:eastAsia="微软雅黑"/>
                <w:b/>
                <w:sz w:val="19"/>
              </w:rPr>
              <w:t>里程碑</w:t>
            </w:r>
          </w:p>
        </w:tc>
      </w:tr>
      <w:tr w14:paraId="6463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1D4CD0F">
            <w:pPr>
              <w:spacing w:after="40"/>
            </w:pPr>
            <w:r>
              <w:rPr>
                <w:rFonts w:ascii="Times New Roman" w:hAnsi="Times New Roman" w:eastAsia="微软雅黑"/>
                <w:sz w:val="19"/>
              </w:rPr>
              <w:t>10 月 11 日</w:t>
            </w:r>
          </w:p>
        </w:tc>
        <w:tc>
          <w:tcPr>
            <w:tcW w:w="4759" w:type="dxa"/>
          </w:tcPr>
          <w:p w14:paraId="4E8CC4CA">
            <w:pPr>
              <w:spacing w:after="40"/>
            </w:pPr>
            <w:r>
              <w:rPr>
                <w:rFonts w:ascii="Times New Roman" w:hAnsi="Times New Roman" w:eastAsia="微软雅黑"/>
                <w:sz w:val="19"/>
              </w:rPr>
              <w:t>✅ 进展报告(本文件)</w:t>
            </w:r>
          </w:p>
        </w:tc>
      </w:tr>
      <w:tr w14:paraId="1694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08A11EB1">
            <w:pPr>
              <w:spacing w:after="40"/>
            </w:pPr>
            <w:r>
              <w:rPr>
                <w:rFonts w:ascii="Times New Roman" w:hAnsi="Times New Roman" w:eastAsia="微软雅黑"/>
                <w:sz w:val="19"/>
              </w:rPr>
              <w:t>10 月底</w:t>
            </w:r>
          </w:p>
        </w:tc>
        <w:tc>
          <w:tcPr>
            <w:tcW w:w="4759" w:type="dxa"/>
          </w:tcPr>
          <w:p w14:paraId="52A43752">
            <w:pPr>
              <w:spacing w:after="40"/>
            </w:pPr>
            <w:r>
              <w:rPr>
                <w:rFonts w:ascii="Times New Roman" w:hAnsi="Times New Roman" w:eastAsia="微软雅黑"/>
                <w:sz w:val="19"/>
              </w:rPr>
              <w:t>数据获取与质控完成;差异表达分析完成</w:t>
            </w:r>
          </w:p>
        </w:tc>
      </w:tr>
      <w:tr w14:paraId="590D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4A8D6FD3">
            <w:pPr>
              <w:spacing w:after="40"/>
            </w:pPr>
            <w:r>
              <w:rPr>
                <w:rFonts w:ascii="Times New Roman" w:hAnsi="Times New Roman" w:eastAsia="微软雅黑"/>
                <w:sz w:val="19"/>
              </w:rPr>
              <w:t>11 月中旬</w:t>
            </w:r>
          </w:p>
        </w:tc>
        <w:tc>
          <w:tcPr>
            <w:tcW w:w="4759" w:type="dxa"/>
          </w:tcPr>
          <w:p w14:paraId="5C38E0FE">
            <w:pPr>
              <w:spacing w:after="40"/>
            </w:pPr>
            <w:r>
              <w:rPr>
                <w:rFonts w:ascii="Times New Roman" w:hAnsi="Times New Roman" w:eastAsia="微软雅黑"/>
                <w:sz w:val="19"/>
              </w:rPr>
              <w:t>miRNA 靶基因预测与核心重叠网络分析完成</w:t>
            </w:r>
          </w:p>
        </w:tc>
      </w:tr>
      <w:tr w14:paraId="56FEB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0BDFD3A7">
            <w:pPr>
              <w:spacing w:after="40"/>
            </w:pPr>
            <w:r>
              <w:rPr>
                <w:rFonts w:ascii="Times New Roman" w:hAnsi="Times New Roman" w:eastAsia="微软雅黑"/>
                <w:sz w:val="19"/>
              </w:rPr>
              <w:t>11 月底</w:t>
            </w:r>
          </w:p>
        </w:tc>
        <w:tc>
          <w:tcPr>
            <w:tcW w:w="4759" w:type="dxa"/>
          </w:tcPr>
          <w:p w14:paraId="6BB6C0A4">
            <w:pPr>
              <w:spacing w:after="40"/>
            </w:pPr>
            <w:r>
              <w:rPr>
                <w:rFonts w:ascii="Times New Roman" w:hAnsi="Times New Roman" w:eastAsia="微软雅黑"/>
                <w:sz w:val="19"/>
              </w:rPr>
              <w:t>全部图表定稿;分析结果冻结</w:t>
            </w:r>
          </w:p>
        </w:tc>
      </w:tr>
      <w:tr w14:paraId="1B81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1193E886">
            <w:pPr>
              <w:spacing w:after="40"/>
            </w:pPr>
            <w:r>
              <w:rPr>
                <w:rFonts w:ascii="Times New Roman" w:hAnsi="Times New Roman" w:eastAsia="微软雅黑"/>
                <w:sz w:val="19"/>
              </w:rPr>
              <w:t>12 月上旬</w:t>
            </w:r>
          </w:p>
        </w:tc>
        <w:tc>
          <w:tcPr>
            <w:tcW w:w="4759" w:type="dxa"/>
          </w:tcPr>
          <w:p w14:paraId="2E6F4C72">
            <w:pPr>
              <w:spacing w:after="40"/>
            </w:pPr>
            <w:r>
              <w:rPr>
                <w:rFonts w:ascii="Times New Roman" w:hAnsi="Times New Roman" w:eastAsia="微软雅黑"/>
                <w:sz w:val="19"/>
              </w:rPr>
              <w:t>论文初稿完成</w:t>
            </w:r>
          </w:p>
        </w:tc>
      </w:tr>
      <w:tr w14:paraId="068E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7BBEACE">
            <w:pPr>
              <w:spacing w:after="40"/>
            </w:pPr>
            <w:r>
              <w:rPr>
                <w:rFonts w:ascii="Times New Roman" w:hAnsi="Times New Roman" w:eastAsia="微软雅黑"/>
                <w:sz w:val="19"/>
              </w:rPr>
              <w:t>12 月下旬</w:t>
            </w:r>
          </w:p>
        </w:tc>
        <w:tc>
          <w:tcPr>
            <w:tcW w:w="4759" w:type="dxa"/>
          </w:tcPr>
          <w:p w14:paraId="62359A17">
            <w:pPr>
              <w:spacing w:after="40"/>
            </w:pPr>
            <w:r>
              <w:rPr>
                <w:rFonts w:ascii="Times New Roman" w:hAnsi="Times New Roman" w:eastAsia="微软雅黑"/>
                <w:sz w:val="19"/>
              </w:rPr>
              <w:t>修改润色,投稿准备</w:t>
            </w:r>
          </w:p>
        </w:tc>
      </w:tr>
    </w:tbl>
    <w:p w14:paraId="08CE5CF4"/>
    <w:p w14:paraId="4FF7ABC3">
      <w:pPr>
        <w:pStyle w:val="3"/>
      </w:pPr>
      <w:r>
        <w:t>八、风险与应对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47F4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shd w:val="clear" w:color="auto" w:fill="DCE6F1"/>
          </w:tcPr>
          <w:p w14:paraId="034E514B">
            <w:pPr>
              <w:spacing w:after="40"/>
            </w:pPr>
            <w:r>
              <w:rPr>
                <w:rFonts w:ascii="Times New Roman" w:hAnsi="Times New Roman" w:eastAsia="微软雅黑"/>
                <w:b/>
                <w:sz w:val="19"/>
              </w:rPr>
              <w:t>风险</w:t>
            </w:r>
          </w:p>
        </w:tc>
        <w:tc>
          <w:tcPr>
            <w:tcW w:w="3173" w:type="dxa"/>
            <w:shd w:val="clear" w:color="auto" w:fill="DCE6F1"/>
          </w:tcPr>
          <w:p w14:paraId="4E6A7A25">
            <w:pPr>
              <w:spacing w:after="40"/>
            </w:pPr>
            <w:r>
              <w:rPr>
                <w:rFonts w:ascii="Times New Roman" w:hAnsi="Times New Roman" w:eastAsia="微软雅黑"/>
                <w:b/>
                <w:sz w:val="19"/>
              </w:rPr>
              <w:t>概率</w:t>
            </w:r>
          </w:p>
        </w:tc>
        <w:tc>
          <w:tcPr>
            <w:tcW w:w="3173" w:type="dxa"/>
            <w:shd w:val="clear" w:color="auto" w:fill="DCE6F1"/>
          </w:tcPr>
          <w:p w14:paraId="061DD1A7">
            <w:pPr>
              <w:spacing w:after="40"/>
            </w:pPr>
            <w:r>
              <w:rPr>
                <w:rFonts w:ascii="Times New Roman" w:hAnsi="Times New Roman" w:eastAsia="微软雅黑"/>
                <w:b/>
                <w:sz w:val="19"/>
              </w:rPr>
              <w:t>应对措施</w:t>
            </w:r>
          </w:p>
        </w:tc>
      </w:tr>
      <w:tr w14:paraId="25EF2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3B31B473">
            <w:pPr>
              <w:spacing w:after="40"/>
            </w:pPr>
            <w:r>
              <w:rPr>
                <w:rFonts w:ascii="Times New Roman" w:hAnsi="Times New Roman" w:eastAsia="微软雅黑"/>
                <w:sz w:val="19"/>
              </w:rPr>
              <w:t>GSE15185 表达矩阵数据质量不佳</w:t>
            </w:r>
          </w:p>
        </w:tc>
        <w:tc>
          <w:tcPr>
            <w:tcW w:w="3173" w:type="dxa"/>
          </w:tcPr>
          <w:p w14:paraId="1B45D934">
            <w:pPr>
              <w:spacing w:after="40"/>
            </w:pPr>
            <w:r>
              <w:rPr>
                <w:rFonts w:ascii="Times New Roman" w:hAnsi="Times New Roman" w:eastAsia="微软雅黑"/>
                <w:sz w:val="19"/>
              </w:rPr>
              <w:t>中</w:t>
            </w:r>
          </w:p>
        </w:tc>
        <w:tc>
          <w:tcPr>
            <w:tcW w:w="3173" w:type="dxa"/>
          </w:tcPr>
          <w:p w14:paraId="3915F8AD">
            <w:pPr>
              <w:spacing w:after="40"/>
            </w:pPr>
            <w:r>
              <w:rPr>
                <w:rFonts w:ascii="Times New Roman" w:hAnsi="Times New Roman" w:eastAsia="微软雅黑"/>
                <w:sz w:val="19"/>
              </w:rPr>
              <w:t>先小规模验证;若不可用,备选 GSE223884 / GSE261821</w:t>
            </w:r>
          </w:p>
        </w:tc>
      </w:tr>
      <w:tr w14:paraId="2246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7D5D4EB">
            <w:pPr>
              <w:spacing w:after="40"/>
            </w:pPr>
            <w:r>
              <w:rPr>
                <w:rFonts w:ascii="Times New Roman" w:hAnsi="Times New Roman" w:eastAsia="微软雅黑"/>
                <w:sz w:val="19"/>
              </w:rPr>
              <w:t>重叠分析无显著结果(H1 被推翻)</w:t>
            </w:r>
          </w:p>
        </w:tc>
        <w:tc>
          <w:tcPr>
            <w:tcW w:w="3173" w:type="dxa"/>
          </w:tcPr>
          <w:p w14:paraId="5B7575F9">
            <w:pPr>
              <w:spacing w:after="40"/>
            </w:pPr>
            <w:r>
              <w:rPr>
                <w:rFonts w:ascii="Times New Roman" w:hAnsi="Times New Roman" w:eastAsia="微软雅黑"/>
                <w:sz w:val="19"/>
              </w:rPr>
              <w:t>中</w:t>
            </w:r>
          </w:p>
        </w:tc>
        <w:tc>
          <w:tcPr>
            <w:tcW w:w="3173" w:type="dxa"/>
          </w:tcPr>
          <w:p w14:paraId="73D44C05">
            <w:pPr>
              <w:spacing w:after="40"/>
            </w:pPr>
            <w:r>
              <w:rPr>
                <w:rFonts w:ascii="Times New Roman" w:hAnsi="Times New Roman" w:eastAsia="微软雅黑"/>
                <w:b/>
                <w:sz w:val="19"/>
              </w:rPr>
              <w:t>如实报告零结果</w:t>
            </w:r>
            <w:r>
              <w:rPr>
                <w:rFonts w:ascii="Times New Roman" w:hAnsi="Times New Roman" w:eastAsia="微软雅黑"/>
                <w:sz w:val="19"/>
              </w:rPr>
              <w:t>,转为方法学阴性报告;改用 RSM 得分或 DP 数据延伸假说</w:t>
            </w:r>
          </w:p>
        </w:tc>
      </w:tr>
      <w:tr w14:paraId="2278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6B5FBE07">
            <w:pPr>
              <w:spacing w:after="40"/>
            </w:pPr>
            <w:r>
              <w:rPr>
                <w:rFonts w:ascii="Times New Roman" w:hAnsi="Times New Roman" w:eastAsia="微软雅黑"/>
                <w:sz w:val="19"/>
              </w:rPr>
              <w:t>TargetScan/miRDB 无小鼠版本</w:t>
            </w:r>
          </w:p>
        </w:tc>
        <w:tc>
          <w:tcPr>
            <w:tcW w:w="3173" w:type="dxa"/>
          </w:tcPr>
          <w:p w14:paraId="5C91A1E6">
            <w:pPr>
              <w:spacing w:after="40"/>
            </w:pPr>
            <w:r>
              <w:rPr>
                <w:rFonts w:ascii="Times New Roman" w:hAnsi="Times New Roman" w:eastAsia="微软雅黑"/>
                <w:sz w:val="19"/>
              </w:rPr>
              <w:t>中</w:t>
            </w:r>
          </w:p>
        </w:tc>
        <w:tc>
          <w:tcPr>
            <w:tcW w:w="3173" w:type="dxa"/>
          </w:tcPr>
          <w:p w14:paraId="245BDBB2">
            <w:pPr>
              <w:spacing w:after="40"/>
            </w:pPr>
            <w:r>
              <w:rPr>
                <w:rFonts w:ascii="Times New Roman" w:hAnsi="Times New Roman" w:eastAsia="微软雅黑"/>
                <w:sz w:val="19"/>
              </w:rPr>
              <w:t>TargetScan 提供小鼠预测(需确认);miRDB 现已覆盖小鼠基因组</w:t>
            </w:r>
          </w:p>
        </w:tc>
      </w:tr>
      <w:tr w14:paraId="341C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DBA7FDE">
            <w:pPr>
              <w:spacing w:after="40"/>
            </w:pPr>
            <w:r>
              <w:rPr>
                <w:rFonts w:ascii="Times New Roman" w:hAnsi="Times New Roman" w:eastAsia="微软雅黑"/>
                <w:sz w:val="19"/>
              </w:rPr>
              <w:t>单细胞数据样本量不足</w:t>
            </w:r>
          </w:p>
        </w:tc>
        <w:tc>
          <w:tcPr>
            <w:tcW w:w="3173" w:type="dxa"/>
          </w:tcPr>
          <w:p w14:paraId="170E863C">
            <w:pPr>
              <w:spacing w:after="40"/>
            </w:pPr>
            <w:r>
              <w:rPr>
                <w:rFonts w:ascii="Times New Roman" w:hAnsi="Times New Roman" w:eastAsia="微软雅黑"/>
                <w:sz w:val="19"/>
              </w:rPr>
              <w:t>高</w:t>
            </w:r>
          </w:p>
        </w:tc>
        <w:tc>
          <w:tcPr>
            <w:tcW w:w="3173" w:type="dxa"/>
          </w:tcPr>
          <w:p w14:paraId="51ECFEF3">
            <w:pPr>
              <w:spacing w:after="40"/>
            </w:pPr>
            <w:r>
              <w:rPr>
                <w:rFonts w:ascii="Times New Roman" w:hAnsi="Times New Roman" w:eastAsia="微软雅黑"/>
                <w:sz w:val="19"/>
              </w:rPr>
              <w:t>已确认仅作辅助定位,</w:t>
            </w:r>
            <w:r>
              <w:rPr>
                <w:rFonts w:ascii="Times New Roman" w:hAnsi="Times New Roman" w:eastAsia="微软雅黑"/>
                <w:b/>
                <w:sz w:val="19"/>
              </w:rPr>
              <w:t>不作统计推断</w:t>
            </w:r>
          </w:p>
        </w:tc>
      </w:tr>
      <w:tr w14:paraId="2031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20137A0">
            <w:pPr>
              <w:spacing w:after="40"/>
            </w:pPr>
            <w:r>
              <w:rPr>
                <w:rFonts w:ascii="Times New Roman" w:hAnsi="Times New Roman" w:eastAsia="微软雅黑"/>
                <w:sz w:val="19"/>
              </w:rPr>
              <w:t>时间进度滞后</w:t>
            </w:r>
          </w:p>
        </w:tc>
        <w:tc>
          <w:tcPr>
            <w:tcW w:w="3173" w:type="dxa"/>
          </w:tcPr>
          <w:p w14:paraId="15C2C23B">
            <w:pPr>
              <w:spacing w:after="40"/>
            </w:pPr>
            <w:r>
              <w:rPr>
                <w:rFonts w:ascii="Times New Roman" w:hAnsi="Times New Roman" w:eastAsia="微软雅黑"/>
                <w:sz w:val="19"/>
              </w:rPr>
              <w:t>中</w:t>
            </w:r>
          </w:p>
        </w:tc>
        <w:tc>
          <w:tcPr>
            <w:tcW w:w="3173" w:type="dxa"/>
          </w:tcPr>
          <w:p w14:paraId="788CC05A">
            <w:pPr>
              <w:spacing w:after="40"/>
            </w:pPr>
            <w:r>
              <w:rPr>
                <w:rFonts w:ascii="Times New Roman" w:hAnsi="Times New Roman" w:eastAsia="微软雅黑"/>
                <w:sz w:val="19"/>
              </w:rPr>
              <w:t>阶段二完成后设置</w:t>
            </w:r>
            <w:r>
              <w:rPr>
                <w:rFonts w:ascii="Times New Roman" w:hAnsi="Times New Roman" w:eastAsia="微软雅黑"/>
                <w:b/>
                <w:sz w:val="19"/>
              </w:rPr>
              <w:t>决策点</w:t>
            </w:r>
            <w:r>
              <w:rPr>
                <w:rFonts w:ascii="Times New Roman" w:hAnsi="Times New Roman" w:eastAsia="微软雅黑"/>
                <w:sz w:val="19"/>
              </w:rPr>
              <w:t>:评估是否继续或收敛范围</w:t>
            </w:r>
          </w:p>
        </w:tc>
      </w:tr>
    </w:tbl>
    <w:p w14:paraId="122F6D88"/>
    <w:p w14:paraId="543F04D4">
      <w:pPr>
        <w:pStyle w:val="3"/>
      </w:pPr>
      <w:r>
        <w:t>九、学术诚信声明</w:t>
      </w:r>
    </w:p>
    <w:p w14:paraId="05234090">
      <w:pPr>
        <w:pStyle w:val="14"/>
        <w:spacing w:after="40"/>
      </w:pPr>
      <w:r>
        <w:rPr>
          <w:rFonts w:ascii="Times New Roman" w:hAnsi="Times New Roman" w:eastAsia="微软雅黑"/>
        </w:rPr>
        <w:t>本研究为</w:t>
      </w:r>
      <w:r>
        <w:rPr>
          <w:rFonts w:ascii="Times New Roman" w:hAnsi="Times New Roman" w:eastAsia="微软雅黑"/>
          <w:b/>
        </w:rPr>
        <w:t>纯干实验(dry-lab)研究</w:t>
      </w:r>
      <w:r>
        <w:rPr>
          <w:rFonts w:ascii="Times New Roman" w:hAnsi="Times New Roman" w:eastAsia="微软雅黑"/>
        </w:rPr>
        <w:t>,不涉及任何湿实验操作。</w:t>
      </w:r>
    </w:p>
    <w:p w14:paraId="4C71FCF5">
      <w:pPr>
        <w:pStyle w:val="14"/>
        <w:spacing w:after="40"/>
      </w:pPr>
      <w:r>
        <w:rPr>
          <w:rFonts w:ascii="Times New Roman" w:hAnsi="Times New Roman" w:eastAsia="微软雅黑"/>
        </w:rPr>
        <w:t>所有数据集均为</w:t>
      </w:r>
      <w:r>
        <w:rPr>
          <w:rFonts w:ascii="Times New Roman" w:hAnsi="Times New Roman" w:eastAsia="微软雅黑"/>
          <w:b/>
        </w:rPr>
        <w:t>已公开发表的第三方数据</w:t>
      </w:r>
      <w:r>
        <w:rPr>
          <w:rFonts w:ascii="Times New Roman" w:hAnsi="Times New Roman" w:eastAsia="微软雅黑"/>
        </w:rPr>
        <w:t>,来源为 NCBI GEO 官方数据库。</w:t>
      </w:r>
    </w:p>
    <w:p w14:paraId="32AB66E9">
      <w:pPr>
        <w:pStyle w:val="14"/>
        <w:spacing w:after="40"/>
      </w:pPr>
      <w:r>
        <w:rPr>
          <w:rFonts w:ascii="Times New Roman" w:hAnsi="Times New Roman" w:eastAsia="微软雅黑"/>
        </w:rPr>
        <w:t xml:space="preserve">所有文献均来自 </w:t>
      </w:r>
      <w:r>
        <w:rPr>
          <w:rFonts w:ascii="Times New Roman" w:hAnsi="Times New Roman" w:eastAsia="微软雅黑"/>
          <w:b/>
        </w:rPr>
        <w:t>NCBI PubMed 官方数据库</w:t>
      </w:r>
      <w:r>
        <w:rPr>
          <w:rFonts w:ascii="Times New Roman" w:hAnsi="Times New Roman" w:eastAsia="微软雅黑"/>
        </w:rPr>
        <w:t>,元信息经 API 程序化核验,未使用未经核实的引用。</w:t>
      </w:r>
    </w:p>
    <w:p w14:paraId="4173EDB6">
      <w:pPr>
        <w:pStyle w:val="14"/>
        <w:spacing w:after="40"/>
      </w:pPr>
      <w:r>
        <w:rPr>
          <w:rFonts w:ascii="Times New Roman" w:hAnsi="Times New Roman" w:eastAsia="微软雅黑"/>
        </w:rPr>
        <w:t>研究产出为</w:t>
      </w:r>
      <w:r>
        <w:rPr>
          <w:rFonts w:ascii="Times New Roman" w:hAnsi="Times New Roman" w:eastAsia="微软雅黑"/>
          <w:b/>
        </w:rPr>
        <w:t>计算推断的机制假说</w:t>
      </w:r>
      <w:r>
        <w:rPr>
          <w:rFonts w:ascii="Times New Roman" w:hAnsi="Times New Roman" w:eastAsia="微软雅黑"/>
        </w:rPr>
        <w:t>,</w:t>
      </w:r>
      <w:r>
        <w:rPr>
          <w:rFonts w:ascii="Times New Roman" w:hAnsi="Times New Roman" w:eastAsia="微软雅黑"/>
          <w:b/>
        </w:rPr>
        <w:t>不构成实验验证的因果结论</w:t>
      </w:r>
      <w:r>
        <w:rPr>
          <w:rFonts w:ascii="Times New Roman" w:hAnsi="Times New Roman" w:eastAsia="微软雅黑"/>
        </w:rPr>
        <w:t>,论文中将严格区分「实验数据支持」与「计算预测」。</w:t>
      </w:r>
    </w:p>
    <w:p w14:paraId="76F05549">
      <w:pPr>
        <w:pStyle w:val="14"/>
        <w:spacing w:after="40"/>
      </w:pPr>
      <w:r>
        <w:rPr>
          <w:rFonts w:ascii="Times New Roman" w:hAnsi="Times New Roman" w:eastAsia="微软雅黑"/>
        </w:rPr>
        <w:t>本报告所列检索命中数与数据集元信息,均可通过官方数据库链接独立复核。</w:t>
      </w:r>
    </w:p>
    <w:p w14:paraId="248ACD0A">
      <w:r>
        <w:rPr>
          <w:rFonts w:ascii="Times New Roman" w:hAnsi="Times New Roman" w:eastAsia="微软雅黑"/>
          <w:b/>
        </w:rPr>
        <w:t>附录:可复现性文件清单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0D18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CE6F1"/>
          </w:tcPr>
          <w:p w14:paraId="49508FE6">
            <w:pPr>
              <w:spacing w:after="40"/>
            </w:pPr>
            <w:r>
              <w:rPr>
                <w:rFonts w:ascii="Times New Roman" w:hAnsi="Times New Roman" w:eastAsia="微软雅黑"/>
                <w:b/>
                <w:sz w:val="19"/>
              </w:rPr>
              <w:t>文件</w:t>
            </w:r>
          </w:p>
        </w:tc>
        <w:tc>
          <w:tcPr>
            <w:tcW w:w="4759" w:type="dxa"/>
            <w:shd w:val="clear" w:color="auto" w:fill="DCE6F1"/>
          </w:tcPr>
          <w:p w14:paraId="6B24BA59">
            <w:pPr>
              <w:spacing w:after="40"/>
            </w:pPr>
            <w:r>
              <w:rPr>
                <w:rFonts w:ascii="Times New Roman" w:hAnsi="Times New Roman" w:eastAsia="微软雅黑"/>
                <w:b/>
                <w:sz w:val="19"/>
              </w:rPr>
              <w:t>功能</w:t>
            </w:r>
          </w:p>
        </w:tc>
      </w:tr>
      <w:tr w14:paraId="3D3B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27EF9E7">
            <w:pPr>
              <w:spacing w:after="40"/>
            </w:pPr>
            <w:r>
              <w:rPr>
                <w:rFonts w:ascii="Times New Roman" w:hAnsi="Times New Roman" w:eastAsia="微软雅黑"/>
                <w:color w:val="A03030"/>
                <w:sz w:val="19"/>
              </w:rPr>
              <w:t>scripts/01_geo_recon.py</w:t>
            </w:r>
          </w:p>
        </w:tc>
        <w:tc>
          <w:tcPr>
            <w:tcW w:w="4759" w:type="dxa"/>
          </w:tcPr>
          <w:p w14:paraId="25A808DD">
            <w:pPr>
              <w:spacing w:after="40"/>
            </w:pPr>
            <w:r>
              <w:rPr>
                <w:rFonts w:ascii="Times New Roman" w:hAnsi="Times New Roman" w:eastAsia="微软雅黑"/>
                <w:sz w:val="19"/>
              </w:rPr>
              <w:t>GEO 数据集系统性侦察</w:t>
            </w:r>
          </w:p>
        </w:tc>
      </w:tr>
      <w:tr w14:paraId="4089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F510541">
            <w:pPr>
              <w:spacing w:after="40"/>
            </w:pPr>
            <w:r>
              <w:rPr>
                <w:rFonts w:ascii="Times New Roman" w:hAnsi="Times New Roman" w:eastAsia="微软雅黑"/>
                <w:color w:val="A03030"/>
                <w:sz w:val="19"/>
              </w:rPr>
              <w:t>scripts/02_dp_recon.py</w:t>
            </w:r>
          </w:p>
        </w:tc>
        <w:tc>
          <w:tcPr>
            <w:tcW w:w="4759" w:type="dxa"/>
          </w:tcPr>
          <w:p w14:paraId="6B699638">
            <w:pPr>
              <w:spacing w:after="40"/>
            </w:pPr>
            <w:r>
              <w:rPr>
                <w:rFonts w:ascii="Times New Roman" w:hAnsi="Times New Roman" w:eastAsia="微软雅黑"/>
                <w:sz w:val="19"/>
              </w:rPr>
              <w:t>毛乳头细胞与毛周期数据定向侦察(含 D 盘硬约束)</w:t>
            </w:r>
          </w:p>
        </w:tc>
      </w:tr>
      <w:tr w14:paraId="4C1B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275C9937">
            <w:pPr>
              <w:spacing w:after="40"/>
            </w:pPr>
            <w:r>
              <w:rPr>
                <w:rFonts w:ascii="Times New Roman" w:hAnsi="Times New Roman" w:eastAsia="微软雅黑"/>
                <w:color w:val="A03030"/>
                <w:sz w:val="19"/>
              </w:rPr>
              <w:t>scripts/03_citations.py</w:t>
            </w:r>
          </w:p>
        </w:tc>
        <w:tc>
          <w:tcPr>
            <w:tcW w:w="4759" w:type="dxa"/>
          </w:tcPr>
          <w:p w14:paraId="3FBED74D">
            <w:pPr>
              <w:spacing w:after="40"/>
            </w:pPr>
            <w:r>
              <w:rPr>
                <w:rFonts w:ascii="Times New Roman" w:hAnsi="Times New Roman" w:eastAsia="微软雅黑"/>
                <w:sz w:val="19"/>
              </w:rPr>
              <w:t>文献元数据核验(NCBI E-utilities)</w:t>
            </w:r>
          </w:p>
        </w:tc>
      </w:tr>
      <w:tr w14:paraId="4440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0ADE47F9">
            <w:pPr>
              <w:spacing w:after="40"/>
            </w:pPr>
            <w:r>
              <w:rPr>
                <w:rFonts w:ascii="Times New Roman" w:hAnsi="Times New Roman" w:eastAsia="微软雅黑"/>
                <w:color w:val="A03030"/>
                <w:sz w:val="19"/>
              </w:rPr>
              <w:t>results/tables/citations.json</w:t>
            </w:r>
          </w:p>
        </w:tc>
        <w:tc>
          <w:tcPr>
            <w:tcW w:w="4759" w:type="dxa"/>
          </w:tcPr>
          <w:p w14:paraId="78C8E1B1">
            <w:pPr>
              <w:spacing w:after="40"/>
            </w:pPr>
            <w:r>
              <w:rPr>
                <w:rFonts w:ascii="Times New Roman" w:hAnsi="Times New Roman" w:eastAsia="微软雅黑"/>
                <w:sz w:val="19"/>
              </w:rPr>
              <w:t>全部文献与数据集的可核验溯源记录</w:t>
            </w:r>
          </w:p>
        </w:tc>
      </w:tr>
      <w:tr w14:paraId="3CDE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5B0E9B0B">
            <w:pPr>
              <w:spacing w:after="40"/>
            </w:pPr>
            <w:r>
              <w:rPr>
                <w:rFonts w:ascii="Times New Roman" w:hAnsi="Times New Roman" w:eastAsia="微软雅黑"/>
                <w:color w:val="A03030"/>
                <w:sz w:val="19"/>
              </w:rPr>
              <w:t>results/tables/q1_hf_singlecell.tsv</w:t>
            </w:r>
          </w:p>
        </w:tc>
        <w:tc>
          <w:tcPr>
            <w:tcW w:w="4759" w:type="dxa"/>
          </w:tcPr>
          <w:p w14:paraId="7D42154D">
            <w:pPr>
              <w:spacing w:after="40"/>
            </w:pPr>
            <w:r>
              <w:rPr>
                <w:rFonts w:ascii="Times New Roman" w:hAnsi="Times New Roman" w:eastAsia="微软雅黑"/>
                <w:sz w:val="19"/>
              </w:rPr>
              <w:t>毛囊单细胞数据集清单</w:t>
            </w:r>
          </w:p>
        </w:tc>
      </w:tr>
      <w:tr w14:paraId="295E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tcPr>
          <w:p w14:paraId="4163E4E9">
            <w:pPr>
              <w:spacing w:after="40"/>
            </w:pPr>
            <w:r>
              <w:rPr>
                <w:rFonts w:ascii="Times New Roman" w:hAnsi="Times New Roman" w:eastAsia="微软雅黑"/>
                <w:color w:val="A03030"/>
                <w:sz w:val="19"/>
              </w:rPr>
              <w:t>results/tables/q2_dermal_papilla.tsv</w:t>
            </w:r>
          </w:p>
        </w:tc>
        <w:tc>
          <w:tcPr>
            <w:tcW w:w="4759" w:type="dxa"/>
          </w:tcPr>
          <w:p w14:paraId="0EFE1693">
            <w:pPr>
              <w:spacing w:after="40"/>
            </w:pPr>
            <w:r>
              <w:rPr>
                <w:rFonts w:ascii="Times New Roman" w:hAnsi="Times New Roman" w:eastAsia="微软雅黑"/>
                <w:sz w:val="19"/>
              </w:rPr>
              <w:t>毛乳头细胞数据集清单</w:t>
            </w:r>
          </w:p>
        </w:tc>
      </w:tr>
    </w:tbl>
    <w:p w14:paraId="38263C18">
      <w:bookmarkStart w:id="0" w:name="_GoBack"/>
      <w:bookmarkEnd w:id="0"/>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6C26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微软雅黑" w:cstheme="minorBidi"/>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736</Words>
  <Characters>976</Characters>
  <Lines>0</Lines>
  <Paragraphs>0</Paragraphs>
  <TotalTime>1</TotalTime>
  <ScaleCrop>false</ScaleCrop>
  <LinksUpToDate>false</LinksUpToDate>
  <CharactersWithSpaces>1040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抽踢紫</cp:lastModifiedBy>
  <dcterms:modified xsi:type="dcterms:W3CDTF">2026-10-11T15:48:43Z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eyJoZGlkIjoiMmRmNjYwNWIyMDFjY2QzNDI1NTM5NmJjNWRiOWVmY2YiLCJ1c2VySWQiOiIxNjE1MDY0OTY4In0=</vt:lpwstr>
  </property>
  <property fmtid="{D5CDD505-2E9C-101B-9397-08002B2CF9AE}" pid="3" name="KSOProductBuildVer">
    <vt:lpwstr>2052-12.1.0.19770</vt:lpwstr>
  </property>
  <property fmtid="{D5CDD505-2E9C-101B-9397-08002B2CF9AE}" pid="4" name="ICV">
    <vt:lpwstr>2D00F552C3C74F7C9223727CB378ECE2_12</vt:lpwstr>
  </property>
</Properties>
</file>