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B8DB" w14:textId="67FA02E7" w:rsidR="002C0738" w:rsidRDefault="00A00C01">
      <w:r w:rsidRPr="00193109">
        <w:rPr>
          <w:noProof/>
        </w:rPr>
        <w:drawing>
          <wp:anchor distT="0" distB="0" distL="114300" distR="114300" simplePos="0" relativeHeight="251658240" behindDoc="0" locked="0" layoutInCell="1" allowOverlap="1" wp14:anchorId="7D4E55B8" wp14:editId="2F9E3F4C">
            <wp:simplePos x="0" y="0"/>
            <wp:positionH relativeFrom="column">
              <wp:posOffset>3420745</wp:posOffset>
            </wp:positionH>
            <wp:positionV relativeFrom="paragraph">
              <wp:posOffset>-628650</wp:posOffset>
            </wp:positionV>
            <wp:extent cx="2598420" cy="11811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9335" cy="1181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D3466" w14:textId="2A271DC3" w:rsidR="00DD3696" w:rsidRDefault="00DD3696"/>
    <w:p w14:paraId="39AD832E" w14:textId="4F28C0E8" w:rsidR="00DD3696" w:rsidRDefault="00DD3696"/>
    <w:p w14:paraId="7BF3FC3E" w14:textId="5A20C3B1" w:rsidR="00DD3696" w:rsidRDefault="00DD3696"/>
    <w:p w14:paraId="66B7F2BE" w14:textId="39E83F69" w:rsidR="00DD3696" w:rsidRPr="00DD3696" w:rsidRDefault="00DD3696" w:rsidP="00DD3696">
      <w:pPr>
        <w:rPr>
          <w:rFonts w:ascii="Arial Rounded MT Bold" w:hAnsi="Arial Rounded MT Bold"/>
          <w:sz w:val="44"/>
          <w:szCs w:val="44"/>
        </w:rPr>
      </w:pPr>
    </w:p>
    <w:p w14:paraId="5D8CBACF" w14:textId="37A1F102" w:rsidR="00DD3696" w:rsidRPr="00DD3696" w:rsidRDefault="009D5C7C" w:rsidP="00DD3696">
      <w:pPr>
        <w:jc w:val="center"/>
        <w:rPr>
          <w:rFonts w:ascii="Arial Rounded MT Bold" w:hAnsi="Arial Rounded MT Bold" w:cs="Arial"/>
          <w:b/>
          <w:bCs/>
          <w:sz w:val="44"/>
          <w:szCs w:val="44"/>
        </w:rPr>
      </w:pPr>
      <w:r>
        <w:rPr>
          <w:rFonts w:ascii="Arial Rounded MT Bold" w:hAnsi="Arial Rounded MT Bold" w:cs="Arial"/>
          <w:b/>
          <w:bCs/>
          <w:sz w:val="44"/>
          <w:szCs w:val="44"/>
        </w:rPr>
        <w:t>Offerte</w:t>
      </w:r>
    </w:p>
    <w:p w14:paraId="4556A646" w14:textId="28359EFA" w:rsidR="00DD3696" w:rsidRDefault="00DD3696" w:rsidP="00DD3696">
      <w:pPr>
        <w:jc w:val="center"/>
        <w:rPr>
          <w:rFonts w:ascii="Arial Rounded MT Bold" w:hAnsi="Arial Rounded MT Bold" w:cs="Arial"/>
          <w:sz w:val="44"/>
          <w:szCs w:val="44"/>
        </w:rPr>
      </w:pPr>
    </w:p>
    <w:p w14:paraId="2C20A49A" w14:textId="1DFB3D52" w:rsidR="00DD3696" w:rsidRDefault="00DD3696" w:rsidP="00DD3696">
      <w:pPr>
        <w:jc w:val="center"/>
        <w:rPr>
          <w:rFonts w:ascii="Arial Rounded MT Bold" w:hAnsi="Arial Rounded MT Bold" w:cs="Arial"/>
          <w:sz w:val="36"/>
          <w:szCs w:val="36"/>
        </w:rPr>
      </w:pPr>
      <w:r w:rsidRPr="00DD3696">
        <w:rPr>
          <w:rFonts w:ascii="Arial Rounded MT Bold" w:hAnsi="Arial Rounded MT Bold" w:cs="Arial"/>
          <w:sz w:val="36"/>
          <w:szCs w:val="36"/>
        </w:rPr>
        <w:t xml:space="preserve">Offensive Spezialkulturen </w:t>
      </w:r>
      <w:r>
        <w:rPr>
          <w:rFonts w:ascii="Arial Rounded MT Bold" w:hAnsi="Arial Rounded MT Bold" w:cs="Arial"/>
          <w:sz w:val="36"/>
          <w:szCs w:val="36"/>
        </w:rPr>
        <w:t>–</w:t>
      </w:r>
      <w:r w:rsidRPr="00DD3696">
        <w:rPr>
          <w:rFonts w:ascii="Arial Rounded MT Bold" w:hAnsi="Arial Rounded MT Bold" w:cs="Arial"/>
          <w:sz w:val="36"/>
          <w:szCs w:val="36"/>
        </w:rPr>
        <w:t xml:space="preserve"> Standortanalyse</w:t>
      </w:r>
      <w:r w:rsidR="00955AF5">
        <w:rPr>
          <w:rFonts w:ascii="Arial Rounded MT Bold" w:hAnsi="Arial Rounded MT Bold" w:cs="Arial"/>
          <w:sz w:val="36"/>
          <w:szCs w:val="36"/>
        </w:rPr>
        <w:t xml:space="preserve"> Piwi</w:t>
      </w:r>
    </w:p>
    <w:p w14:paraId="14840E7C" w14:textId="155417AB" w:rsidR="00DD3696" w:rsidRDefault="00DD3696" w:rsidP="00DD3696">
      <w:pPr>
        <w:jc w:val="center"/>
        <w:rPr>
          <w:rFonts w:ascii="Arial Rounded MT Bold" w:hAnsi="Arial Rounded MT Bold" w:cs="Arial"/>
          <w:sz w:val="36"/>
          <w:szCs w:val="36"/>
        </w:rPr>
      </w:pPr>
    </w:p>
    <w:p w14:paraId="561CBE2E" w14:textId="06E214DF" w:rsidR="00EB0DDA" w:rsidRDefault="00955AF5" w:rsidP="00DD3696">
      <w:pPr>
        <w:jc w:val="center"/>
        <w:rPr>
          <w:rFonts w:ascii="Arial Rounded MT Bold" w:hAnsi="Arial Rounded MT Bold" w:cs="Arial"/>
          <w:sz w:val="36"/>
          <w:szCs w:val="36"/>
        </w:rPr>
      </w:pPr>
      <w:r>
        <w:rPr>
          <w:noProof/>
        </w:rPr>
        <w:drawing>
          <wp:inline distT="0" distB="0" distL="0" distR="0" wp14:anchorId="3818A0A9" wp14:editId="0C7F027C">
            <wp:extent cx="5760720" cy="2618740"/>
            <wp:effectExtent l="0" t="0" r="0" b="0"/>
            <wp:docPr id="4" name="Grafik 4" descr="5 Fakten über PiWi - Fal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Fakten über PiWi - Falsta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18740"/>
                    </a:xfrm>
                    <a:prstGeom prst="rect">
                      <a:avLst/>
                    </a:prstGeom>
                    <a:noFill/>
                    <a:ln>
                      <a:noFill/>
                    </a:ln>
                  </pic:spPr>
                </pic:pic>
              </a:graphicData>
            </a:graphic>
          </wp:inline>
        </w:drawing>
      </w:r>
    </w:p>
    <w:p w14:paraId="4C2642FE" w14:textId="77777777" w:rsidR="00DD3696" w:rsidRDefault="00DD3696" w:rsidP="00DD3696">
      <w:pPr>
        <w:rPr>
          <w:rFonts w:ascii="Arial" w:hAnsi="Arial" w:cs="Arial"/>
          <w:i/>
          <w:iCs/>
        </w:rPr>
      </w:pPr>
    </w:p>
    <w:p w14:paraId="4027E237" w14:textId="77777777" w:rsidR="00A00C01" w:rsidRDefault="00A00C01" w:rsidP="00DD3696">
      <w:pPr>
        <w:rPr>
          <w:rFonts w:ascii="Arial" w:hAnsi="Arial" w:cs="Arial"/>
          <w:i/>
          <w:iCs/>
        </w:rPr>
      </w:pPr>
    </w:p>
    <w:p w14:paraId="2658D4D1" w14:textId="4E45EA21" w:rsidR="00DD3696" w:rsidRDefault="009B4B56" w:rsidP="00DD3696">
      <w:pPr>
        <w:rPr>
          <w:rFonts w:ascii="Arial" w:hAnsi="Arial" w:cs="Arial"/>
          <w:i/>
          <w:iCs/>
        </w:rPr>
      </w:pPr>
      <w:r>
        <w:rPr>
          <w:rFonts w:ascii="Arial" w:hAnsi="Arial" w:cs="Arial"/>
          <w:i/>
          <w:iCs/>
        </w:rPr>
        <w:t>01.03</w:t>
      </w:r>
      <w:r w:rsidR="00DD3696" w:rsidRPr="00DD3696">
        <w:rPr>
          <w:rFonts w:ascii="Arial" w:hAnsi="Arial" w:cs="Arial"/>
          <w:i/>
          <w:iCs/>
        </w:rPr>
        <w:t>.202</w:t>
      </w:r>
      <w:r w:rsidR="00955AF5">
        <w:rPr>
          <w:rFonts w:ascii="Arial" w:hAnsi="Arial" w:cs="Arial"/>
          <w:i/>
          <w:iCs/>
        </w:rPr>
        <w:t>2</w:t>
      </w:r>
    </w:p>
    <w:p w14:paraId="015BE31F" w14:textId="77777777" w:rsidR="00A00C01" w:rsidRPr="00DD3696" w:rsidRDefault="00A00C01" w:rsidP="00DD3696">
      <w:pPr>
        <w:rPr>
          <w:rFonts w:ascii="Arial" w:hAnsi="Arial" w:cs="Arial"/>
          <w:i/>
          <w:iCs/>
        </w:rPr>
      </w:pPr>
    </w:p>
    <w:p w14:paraId="0B1C28D4" w14:textId="0038ACF8" w:rsidR="00DD3696" w:rsidRPr="00DD3696" w:rsidRDefault="00DD3696" w:rsidP="00DD3696">
      <w:pPr>
        <w:rPr>
          <w:rFonts w:ascii="Arial" w:hAnsi="Arial" w:cs="Arial"/>
          <w:b/>
          <w:bCs/>
        </w:rPr>
      </w:pPr>
      <w:r w:rsidRPr="00DD3696">
        <w:rPr>
          <w:rFonts w:ascii="Arial" w:hAnsi="Arial" w:cs="Arial"/>
          <w:b/>
          <w:bCs/>
        </w:rPr>
        <w:t>Dr. Roman Grüte</w:t>
      </w:r>
      <w:r w:rsidR="0001583E">
        <w:rPr>
          <w:rFonts w:ascii="Arial" w:hAnsi="Arial" w:cs="Arial"/>
          <w:b/>
          <w:bCs/>
        </w:rPr>
        <w:t xml:space="preserve">r, </w:t>
      </w:r>
      <w:r w:rsidRPr="00DD3696">
        <w:rPr>
          <w:rFonts w:ascii="Arial" w:hAnsi="Arial" w:cs="Arial"/>
          <w:b/>
          <w:bCs/>
        </w:rPr>
        <w:t>Isabel Jaisli</w:t>
      </w:r>
      <w:r w:rsidR="0001583E">
        <w:rPr>
          <w:rFonts w:ascii="Arial" w:hAnsi="Arial" w:cs="Arial"/>
          <w:b/>
          <w:bCs/>
        </w:rPr>
        <w:t xml:space="preserve"> &amp; Hanno Rahn</w:t>
      </w:r>
    </w:p>
    <w:p w14:paraId="63768E2C" w14:textId="4794E097" w:rsidR="00DD3696" w:rsidRDefault="00DD3696" w:rsidP="00DD3696">
      <w:pPr>
        <w:rPr>
          <w:rFonts w:ascii="Arial" w:hAnsi="Arial" w:cs="Arial"/>
        </w:rPr>
      </w:pPr>
      <w:r>
        <w:rPr>
          <w:rFonts w:ascii="Arial" w:hAnsi="Arial" w:cs="Arial"/>
        </w:rPr>
        <w:t xml:space="preserve">Zürcher Hochschule für </w:t>
      </w:r>
      <w:r w:rsidR="007F3204">
        <w:rPr>
          <w:rFonts w:ascii="Arial" w:hAnsi="Arial" w:cs="Arial"/>
        </w:rPr>
        <w:t>A</w:t>
      </w:r>
      <w:r>
        <w:rPr>
          <w:rFonts w:ascii="Arial" w:hAnsi="Arial" w:cs="Arial"/>
        </w:rPr>
        <w:t>ngewandte Wissenschaften ZHAW</w:t>
      </w:r>
    </w:p>
    <w:p w14:paraId="1731F580" w14:textId="2FF3E679" w:rsidR="00DD3696" w:rsidRDefault="00DD3696" w:rsidP="00DD3696">
      <w:pPr>
        <w:rPr>
          <w:rFonts w:ascii="Arial" w:hAnsi="Arial" w:cs="Arial"/>
        </w:rPr>
      </w:pPr>
      <w:r>
        <w:rPr>
          <w:rFonts w:ascii="Arial" w:hAnsi="Arial" w:cs="Arial"/>
        </w:rPr>
        <w:t xml:space="preserve">Institut für Umwelt und </w:t>
      </w:r>
      <w:r w:rsidR="007F3204">
        <w:rPr>
          <w:rFonts w:ascii="Arial" w:hAnsi="Arial" w:cs="Arial"/>
        </w:rPr>
        <w:t>N</w:t>
      </w:r>
      <w:r>
        <w:rPr>
          <w:rFonts w:ascii="Arial" w:hAnsi="Arial" w:cs="Arial"/>
        </w:rPr>
        <w:t xml:space="preserve">atürliche </w:t>
      </w:r>
      <w:r w:rsidR="00A00C01">
        <w:rPr>
          <w:rFonts w:ascii="Arial" w:hAnsi="Arial" w:cs="Arial"/>
        </w:rPr>
        <w:t>R</w:t>
      </w:r>
      <w:r>
        <w:rPr>
          <w:rFonts w:ascii="Arial" w:hAnsi="Arial" w:cs="Arial"/>
        </w:rPr>
        <w:t>es</w:t>
      </w:r>
      <w:r w:rsidR="00A00C01">
        <w:rPr>
          <w:rFonts w:ascii="Arial" w:hAnsi="Arial" w:cs="Arial"/>
        </w:rPr>
        <w:t>s</w:t>
      </w:r>
      <w:r>
        <w:rPr>
          <w:rFonts w:ascii="Arial" w:hAnsi="Arial" w:cs="Arial"/>
        </w:rPr>
        <w:t>ourcen</w:t>
      </w:r>
    </w:p>
    <w:p w14:paraId="44103D20" w14:textId="2BB3779F" w:rsidR="00DD3696" w:rsidRDefault="00DD3696" w:rsidP="00DD3696">
      <w:pPr>
        <w:rPr>
          <w:rFonts w:ascii="Arial" w:hAnsi="Arial" w:cs="Arial"/>
        </w:rPr>
      </w:pPr>
      <w:r>
        <w:rPr>
          <w:rFonts w:ascii="Arial" w:hAnsi="Arial" w:cs="Arial"/>
        </w:rPr>
        <w:t>Campus Grüental</w:t>
      </w:r>
    </w:p>
    <w:p w14:paraId="48C0D1A5" w14:textId="1E942559" w:rsidR="00A00C01" w:rsidRDefault="00DD3696">
      <w:pPr>
        <w:rPr>
          <w:rFonts w:ascii="Arial" w:eastAsia="Times New Roman" w:hAnsi="Arial" w:cs="Arial"/>
          <w:b/>
          <w:spacing w:val="4"/>
          <w:sz w:val="20"/>
          <w:szCs w:val="20"/>
          <w:lang w:eastAsia="de-DE"/>
        </w:rPr>
      </w:pPr>
      <w:r>
        <w:rPr>
          <w:rFonts w:ascii="Arial" w:hAnsi="Arial" w:cs="Arial"/>
        </w:rPr>
        <w:t xml:space="preserve">8820 </w:t>
      </w:r>
      <w:r w:rsidR="00A00C01">
        <w:rPr>
          <w:rFonts w:ascii="Arial" w:hAnsi="Arial" w:cs="Arial"/>
        </w:rPr>
        <w:t>W</w:t>
      </w:r>
      <w:r>
        <w:rPr>
          <w:rFonts w:ascii="Arial" w:hAnsi="Arial" w:cs="Arial"/>
        </w:rPr>
        <w:t>ädenswil</w:t>
      </w:r>
      <w:bookmarkStart w:id="0" w:name="_Toc289863776"/>
      <w:r w:rsidR="00A00C01">
        <w:br w:type="page"/>
      </w:r>
    </w:p>
    <w:p w14:paraId="1989DB01" w14:textId="34F1CE79" w:rsidR="00A00C01" w:rsidRPr="000F612D" w:rsidRDefault="00A00C01" w:rsidP="005B7281">
      <w:pPr>
        <w:pStyle w:val="Titel"/>
      </w:pPr>
      <w:r w:rsidRPr="000F612D">
        <w:lastRenderedPageBreak/>
        <w:t>Ausgangslage</w:t>
      </w:r>
      <w:bookmarkEnd w:id="0"/>
    </w:p>
    <w:p w14:paraId="321B675D" w14:textId="6B36BAA9" w:rsidR="00955AF5" w:rsidRDefault="00955AF5" w:rsidP="005B7281">
      <w:r>
        <w:t>Im Rahmen des Projekts «Offensive Spezialkulturen» des Kantons Luzern führt die ZHAW momentan eine Standortanalyse von 12 Spezialkulturen und Spezialitäten im Ackerbau durch. Diese Untersuchung basiert auf den Ergebnissen einer vorangehenden Marktanalyse. Piwi-Rebsorten sind eine der ausgewählten Spezialkulturen für die Standortanalyse. Im Austausch mit Beat Felder (Spezialkulturen, Kanton LU) und Prof. Peter Schumacher (Weinbau, ZHAW) stellte sich heraus, dass für die Beurteilung der Standorteignung von Piwi-Rebsorten</w:t>
      </w:r>
      <w:r w:rsidR="00022620">
        <w:t xml:space="preserve"> </w:t>
      </w:r>
      <w:r>
        <w:t xml:space="preserve">der Einbezug eines für den Weinbau spezifischen </w:t>
      </w:r>
      <w:r w:rsidR="006A44DA">
        <w:t xml:space="preserve">bioklimatischen </w:t>
      </w:r>
      <w:r>
        <w:t>Wärmeindex (Huglin-Index) zentral ist, um den Piwi-Weinbau im Kanton Luzern weiter zu fördern</w:t>
      </w:r>
      <w:r w:rsidR="00A52DBA">
        <w:t xml:space="preserve"> (Holzkämper et al. 2013, Jüstrich &amp; Rufener 2016)</w:t>
      </w:r>
      <w:r>
        <w:t xml:space="preserve">. Deshalb beschreibt diese Projektskizze das Vorgehen </w:t>
      </w:r>
      <w:r w:rsidR="006A44DA">
        <w:t xml:space="preserve">und den Aufwand </w:t>
      </w:r>
      <w:r>
        <w:t>der Piwi-Standortanalyse als Ergänzung zur oben erwähnten Standortanalyse von 12 weiteren Kulturen.</w:t>
      </w:r>
    </w:p>
    <w:p w14:paraId="7BCA2B8F" w14:textId="600D8C18" w:rsidR="00A52DBA" w:rsidRPr="009D5C7C" w:rsidRDefault="00A52DBA" w:rsidP="009D5C7C">
      <w:pPr>
        <w:ind w:left="426" w:hanging="426"/>
        <w:rPr>
          <w:i/>
          <w:iCs/>
        </w:rPr>
      </w:pPr>
      <w:r w:rsidRPr="009D5C7C">
        <w:rPr>
          <w:i/>
          <w:iCs/>
        </w:rPr>
        <w:t>Holzkämper, A., Fuhrer, J., Frei, C. (2013) Temperaturtrends und Rebbau in der Schweiz. Schweizer Zeitschrift für Obst- und Weinbau, 149, 1/13, 6-9.</w:t>
      </w:r>
    </w:p>
    <w:p w14:paraId="02C46BDC" w14:textId="61B980EB" w:rsidR="00A52DBA" w:rsidRPr="009D5C7C" w:rsidRDefault="00A52DBA" w:rsidP="009D5C7C">
      <w:pPr>
        <w:ind w:left="426" w:hanging="426"/>
        <w:rPr>
          <w:i/>
          <w:iCs/>
        </w:rPr>
      </w:pPr>
      <w:r w:rsidRPr="009D5C7C">
        <w:rPr>
          <w:i/>
          <w:iCs/>
        </w:rPr>
        <w:t>Jüstrich, H., Rufener, H. P. (2016) Der Huglin-Index – Möglichkeiten und Grenzen. Schweizer Zeitschrift für Obst- und Weinbau, 20/16, 4-8.</w:t>
      </w:r>
    </w:p>
    <w:p w14:paraId="59E9B082" w14:textId="1868D3B7" w:rsidR="00A00C01" w:rsidRPr="000F612D" w:rsidRDefault="00A00C01" w:rsidP="00A00C01">
      <w:pPr>
        <w:pStyle w:val="Titel"/>
      </w:pPr>
      <w:bookmarkStart w:id="1" w:name="_Toc289863777"/>
      <w:r w:rsidRPr="000F612D">
        <w:t>Zielsetzung</w:t>
      </w:r>
      <w:bookmarkEnd w:id="1"/>
    </w:p>
    <w:p w14:paraId="076F4BA0" w14:textId="27E41E3F" w:rsidR="00B90A5B" w:rsidRDefault="00371610" w:rsidP="00A00C01">
      <w:r>
        <w:t xml:space="preserve">Mit der </w:t>
      </w:r>
      <w:r w:rsidR="006A44DA">
        <w:t>Piwi-</w:t>
      </w:r>
      <w:r w:rsidR="00B10E58">
        <w:t>Standortanalyse soll</w:t>
      </w:r>
      <w:r w:rsidR="006A44DA">
        <w:t xml:space="preserve"> die </w:t>
      </w:r>
      <w:r w:rsidR="00A52DBA">
        <w:t>bioklimatische</w:t>
      </w:r>
      <w:r w:rsidR="00B10E58">
        <w:t xml:space="preserve"> </w:t>
      </w:r>
      <w:r>
        <w:t>Standorteignung für den Kanton Luzern</w:t>
      </w:r>
      <w:r w:rsidR="00A52DBA">
        <w:t xml:space="preserve"> anhand des Huglin-Index</w:t>
      </w:r>
      <w:r>
        <w:t xml:space="preserve"> </w:t>
      </w:r>
      <w:r w:rsidR="00B10E58">
        <w:t>evaluiert</w:t>
      </w:r>
      <w:r>
        <w:t xml:space="preserve"> werden.</w:t>
      </w:r>
      <w:r w:rsidR="009C7E1E">
        <w:t xml:space="preserve"> Hierzu wird der Index für sowohl für die vergangenen 10 Jahre (2012-2021), als auch für künftige Bedingungen (2031-2040) anhand verschiedener Klimaszenarien berechnet. Die Analyse erfolgt mittels GIS und liefert somit räumlich aufgelöste Ergebnisse (Eignungskarten).</w:t>
      </w:r>
    </w:p>
    <w:p w14:paraId="76D458A9" w14:textId="20EDAC6B" w:rsidR="00A00C01" w:rsidRPr="000F612D" w:rsidRDefault="00A00C01" w:rsidP="00A00C01">
      <w:pPr>
        <w:pStyle w:val="Titel"/>
      </w:pPr>
      <w:bookmarkStart w:id="2" w:name="_Toc289863778"/>
      <w:r w:rsidRPr="000F612D">
        <w:t>Projektinhalt und Vorgehen</w:t>
      </w:r>
      <w:bookmarkEnd w:id="2"/>
    </w:p>
    <w:p w14:paraId="31AFF881" w14:textId="3DE1F745" w:rsidR="008F61B8" w:rsidRDefault="00A00C01" w:rsidP="005B7281">
      <w:pPr>
        <w:pStyle w:val="Untertitel"/>
      </w:pPr>
      <w:r w:rsidRPr="000F612D">
        <w:t>Leistungsumfang</w:t>
      </w:r>
    </w:p>
    <w:p w14:paraId="60FC568C" w14:textId="712B265B" w:rsidR="00A00C01" w:rsidRDefault="008F61B8" w:rsidP="00A00C01">
      <w:r>
        <w:t xml:space="preserve">Die </w:t>
      </w:r>
      <w:r w:rsidR="0078721C">
        <w:t>Piwi-</w:t>
      </w:r>
      <w:r>
        <w:t xml:space="preserve">Standortanalyse beinhaltet folgende </w:t>
      </w:r>
      <w:r w:rsidR="0078721C">
        <w:t>Schritte</w:t>
      </w:r>
      <w:r>
        <w:t>:</w:t>
      </w:r>
    </w:p>
    <w:p w14:paraId="68CD0CED" w14:textId="468D55A9" w:rsidR="0078721C" w:rsidRPr="00E707FF" w:rsidRDefault="0078721C" w:rsidP="0078721C">
      <w:pPr>
        <w:rPr>
          <w:i/>
          <w:iCs/>
        </w:rPr>
      </w:pPr>
      <w:r w:rsidRPr="00E707FF">
        <w:rPr>
          <w:i/>
          <w:iCs/>
        </w:rPr>
        <w:t>1. Berechnung des Huglin-Wärmesummenindex für den Kanton Luzern in 2 km Auflösung</w:t>
      </w:r>
    </w:p>
    <w:p w14:paraId="3743950A" w14:textId="20772D48" w:rsidR="009C7E1E" w:rsidRPr="0078721C" w:rsidRDefault="0078721C" w:rsidP="008F61B8">
      <w:pPr>
        <w:pStyle w:val="Listenabsatz"/>
        <w:numPr>
          <w:ilvl w:val="0"/>
          <w:numId w:val="8"/>
        </w:numPr>
        <w:rPr>
          <w:b/>
          <w:bCs/>
        </w:rPr>
      </w:pPr>
      <w:r w:rsidRPr="0078721C">
        <w:rPr>
          <w:b/>
          <w:bCs/>
        </w:rPr>
        <w:t>Berechnungsformel Huglin-Index:</w:t>
      </w:r>
    </w:p>
    <w:p w14:paraId="17175915" w14:textId="65C89136" w:rsidR="009C7E1E" w:rsidRDefault="009C7E1E" w:rsidP="009C7E1E">
      <w:pPr>
        <w:pStyle w:val="Listenabsatz"/>
      </w:pPr>
      <w:r w:rsidRPr="009C7E1E">
        <w:rPr>
          <w:noProof/>
        </w:rPr>
        <w:drawing>
          <wp:inline distT="0" distB="0" distL="0" distR="0" wp14:anchorId="0D8295F0" wp14:editId="65BEDA46">
            <wp:extent cx="2638793" cy="93358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933580"/>
                    </a:xfrm>
                    <a:prstGeom prst="rect">
                      <a:avLst/>
                    </a:prstGeom>
                  </pic:spPr>
                </pic:pic>
              </a:graphicData>
            </a:graphic>
          </wp:inline>
        </w:drawing>
      </w:r>
    </w:p>
    <w:p w14:paraId="5A77A007" w14:textId="0DD0D15F" w:rsidR="009C7E1E" w:rsidRDefault="009C7E1E" w:rsidP="009C7E1E">
      <w:pPr>
        <w:pStyle w:val="Listenabsatz"/>
        <w:numPr>
          <w:ilvl w:val="1"/>
          <w:numId w:val="8"/>
        </w:numPr>
      </w:pPr>
      <w:r>
        <w:t>d = Tageslängenkoeffizient (für die CH: 1.045)</w:t>
      </w:r>
    </w:p>
    <w:p w14:paraId="1EFCF112" w14:textId="0EE8C900" w:rsidR="009C7E1E" w:rsidRDefault="009C7E1E" w:rsidP="009C7E1E">
      <w:pPr>
        <w:pStyle w:val="Listenabsatz"/>
        <w:numPr>
          <w:ilvl w:val="1"/>
          <w:numId w:val="8"/>
        </w:numPr>
      </w:pPr>
      <w:r>
        <w:t>T = mittlere tägliche Lufttemperatur</w:t>
      </w:r>
    </w:p>
    <w:p w14:paraId="1373B901" w14:textId="11C557B0" w:rsidR="009C7E1E" w:rsidRDefault="009C7E1E" w:rsidP="009C7E1E">
      <w:pPr>
        <w:pStyle w:val="Listenabsatz"/>
        <w:numPr>
          <w:ilvl w:val="1"/>
          <w:numId w:val="8"/>
        </w:numPr>
      </w:pPr>
      <w:r>
        <w:t>Tx = maximale tägliche Lufttemperatur</w:t>
      </w:r>
    </w:p>
    <w:p w14:paraId="35617099" w14:textId="39FFF57C" w:rsidR="009C7E1E" w:rsidRDefault="0078721C" w:rsidP="0078721C">
      <w:pPr>
        <w:pStyle w:val="Listenabsatz"/>
        <w:numPr>
          <w:ilvl w:val="0"/>
          <w:numId w:val="8"/>
        </w:numPr>
      </w:pPr>
      <w:r w:rsidRPr="0078721C">
        <w:rPr>
          <w:b/>
          <w:bCs/>
        </w:rPr>
        <w:t>Zeitliche und Räumliche Auflösung:</w:t>
      </w:r>
      <w:r>
        <w:t xml:space="preserve"> Der Huglin-Index wird für die </w:t>
      </w:r>
      <w:r w:rsidR="009C7E1E">
        <w:t>Zeiträume 2012-2021 (anhand von täglichen Beobachtungsdaten)</w:t>
      </w:r>
      <w:r>
        <w:t xml:space="preserve"> und </w:t>
      </w:r>
      <w:r w:rsidR="009C7E1E">
        <w:t>2031-2040 (anhand der Klimaszenarien RCP 2.6 und 4.5</w:t>
      </w:r>
      <w:r>
        <w:t>) berechnet. Da die Klimaszenarien auf 2 Klimaszenarien (RCP 2.6 und 4.5) und 3 Klimamodellen basieren, werden insgesamt 6 Modellketten gerechnet. Dabei wird der Hug</w:t>
      </w:r>
      <w:r w:rsidR="009C7E1E">
        <w:t xml:space="preserve">lin-Index für jedes Jahr einzeln berechnet und dann </w:t>
      </w:r>
      <w:r>
        <w:t xml:space="preserve">jeweils </w:t>
      </w:r>
      <w:r w:rsidR="009C7E1E">
        <w:t>über 10 Jahre aggregiert</w:t>
      </w:r>
      <w:r>
        <w:t>. Die räumliche Auflösung der Klimadaten ist 2 km. Diese werden von MeteoSchweiz bezogen.</w:t>
      </w:r>
    </w:p>
    <w:p w14:paraId="2B795956" w14:textId="1E9CBE86" w:rsidR="0078721C" w:rsidRDefault="0078721C" w:rsidP="0078721C">
      <w:pPr>
        <w:pStyle w:val="Listenabsatz"/>
        <w:numPr>
          <w:ilvl w:val="0"/>
          <w:numId w:val="8"/>
        </w:numPr>
      </w:pPr>
      <w:r>
        <w:rPr>
          <w:b/>
          <w:bCs/>
        </w:rPr>
        <w:t>Output:</w:t>
      </w:r>
      <w:r>
        <w:t xml:space="preserve"> Räumlich aufgelöste Karte</w:t>
      </w:r>
      <w:r w:rsidR="00E707FF">
        <w:t xml:space="preserve"> (2 km)</w:t>
      </w:r>
      <w:r>
        <w:t xml:space="preserve"> des Huglin-Wär</w:t>
      </w:r>
      <w:r w:rsidR="00E707FF">
        <w:t>me</w:t>
      </w:r>
      <w:r>
        <w:t xml:space="preserve">summenindex </w:t>
      </w:r>
      <w:r w:rsidR="00E707FF">
        <w:t xml:space="preserve">für den Kanton Luzern </w:t>
      </w:r>
      <w:r>
        <w:t xml:space="preserve">für die </w:t>
      </w:r>
      <w:r w:rsidR="00E707FF">
        <w:t>letzten 10 Jahre und für 2031-2040</w:t>
      </w:r>
    </w:p>
    <w:p w14:paraId="465BD9D6" w14:textId="133AF56D" w:rsidR="0078721C" w:rsidRPr="00E707FF" w:rsidRDefault="00E707FF" w:rsidP="0078721C">
      <w:pPr>
        <w:rPr>
          <w:i/>
          <w:iCs/>
        </w:rPr>
      </w:pPr>
      <w:r w:rsidRPr="00E707FF">
        <w:rPr>
          <w:i/>
          <w:iCs/>
        </w:rPr>
        <w:lastRenderedPageBreak/>
        <w:t>2. Runterskalierung der Resultate auf 2 m anhand topographischer Daten und Expertenmeinungen</w:t>
      </w:r>
    </w:p>
    <w:p w14:paraId="2DE5797A" w14:textId="1EFB944E" w:rsidR="00E707FF" w:rsidRDefault="00E707FF" w:rsidP="00E707FF">
      <w:pPr>
        <w:pStyle w:val="Listenabsatz"/>
        <w:numPr>
          <w:ilvl w:val="0"/>
          <w:numId w:val="14"/>
        </w:numPr>
      </w:pPr>
      <w:r w:rsidRPr="00E707FF">
        <w:rPr>
          <w:b/>
          <w:bCs/>
        </w:rPr>
        <w:t>Downscaling</w:t>
      </w:r>
      <w:r>
        <w:t>: Mit Zusatzinformationen zur Höhenlage und Exposition (in 2 m Auflösung) und Expert*inneninformationen (insbesondere durch Beat Felder und Peter Schumacher) wird der Hugelin-Index auf eine 2 m Auflösung runtergebrochen</w:t>
      </w:r>
    </w:p>
    <w:p w14:paraId="0CAB006B" w14:textId="5C2DF275" w:rsidR="00E707FF" w:rsidRDefault="00E707FF" w:rsidP="00E707FF">
      <w:pPr>
        <w:pStyle w:val="Listenabsatz"/>
        <w:numPr>
          <w:ilvl w:val="0"/>
          <w:numId w:val="14"/>
        </w:numPr>
      </w:pPr>
      <w:r w:rsidRPr="00E707FF">
        <w:rPr>
          <w:b/>
          <w:bCs/>
        </w:rPr>
        <w:t>Einteilung in Reifegrade:</w:t>
      </w:r>
      <w:r>
        <w:t xml:space="preserve"> Die Resultate werden anhand der Wärmeansprüche verschiedener Rebsorten in früh-, mittel- und spätreife Rebsorten eingeteilt.</w:t>
      </w:r>
    </w:p>
    <w:p w14:paraId="57427ADB" w14:textId="522A3F82" w:rsidR="00E707FF" w:rsidRDefault="00E707FF" w:rsidP="00E707FF">
      <w:pPr>
        <w:pStyle w:val="Listenabsatz"/>
        <w:numPr>
          <w:ilvl w:val="0"/>
          <w:numId w:val="14"/>
        </w:numPr>
      </w:pPr>
      <w:r w:rsidRPr="00CD0426">
        <w:rPr>
          <w:b/>
          <w:bCs/>
        </w:rPr>
        <w:t>Output:</w:t>
      </w:r>
      <w:r>
        <w:t xml:space="preserve"> Räumlich aufgelöste Karte (2 m) des Huglin-Index und entsprechender Reifegrade für den Kanton </w:t>
      </w:r>
    </w:p>
    <w:p w14:paraId="39D32CAD" w14:textId="76EE1064" w:rsidR="00CD0426" w:rsidRDefault="00CD0426" w:rsidP="00E707FF">
      <w:pPr>
        <w:pStyle w:val="Listenabsatz"/>
        <w:numPr>
          <w:ilvl w:val="0"/>
          <w:numId w:val="14"/>
        </w:numPr>
      </w:pPr>
      <w:r w:rsidRPr="00CD0426">
        <w:rPr>
          <w:b/>
          <w:bCs/>
        </w:rPr>
        <w:t>Validierung:</w:t>
      </w:r>
      <w:r>
        <w:t xml:space="preserve"> Die Resultate werden mit Informationen zum Anbau einer ausgewählten Region (ca. 10 Rebberge aus dem Kanton Luzern) validiert und das Modell gegebenenfalls angepasst.</w:t>
      </w:r>
    </w:p>
    <w:p w14:paraId="2C391F33" w14:textId="1979EF01" w:rsidR="000058D0" w:rsidRDefault="00A00C01" w:rsidP="00A00C01">
      <w:pPr>
        <w:pStyle w:val="Untertitel"/>
      </w:pPr>
      <w:r w:rsidRPr="000F612D">
        <w:t>Lieferumfang</w:t>
      </w:r>
    </w:p>
    <w:p w14:paraId="050D9F21" w14:textId="769E5594" w:rsidR="00EA4AF5" w:rsidRDefault="00EA4AF5" w:rsidP="009B20FC">
      <w:pPr>
        <w:pStyle w:val="Listenabsatz"/>
        <w:numPr>
          <w:ilvl w:val="0"/>
          <w:numId w:val="12"/>
        </w:numPr>
      </w:pPr>
      <w:r>
        <w:t>Rebsorten-Eignungskarten für die definierten Zeiträume und Klimaszenarien</w:t>
      </w:r>
    </w:p>
    <w:p w14:paraId="33460F7E" w14:textId="1C5E1151" w:rsidR="00EA4AF5" w:rsidRDefault="00EA4AF5" w:rsidP="00EA4AF5">
      <w:pPr>
        <w:pStyle w:val="Listenabsatz"/>
        <w:numPr>
          <w:ilvl w:val="1"/>
          <w:numId w:val="12"/>
        </w:numPr>
      </w:pPr>
      <w:r>
        <w:t>Huglin-Wärmesummenindex in 2 km Auflösung</w:t>
      </w:r>
    </w:p>
    <w:p w14:paraId="4A564E46" w14:textId="74978A6A" w:rsidR="00EA4AF5" w:rsidRDefault="00EA4AF5" w:rsidP="00EA4AF5">
      <w:pPr>
        <w:pStyle w:val="Listenabsatz"/>
        <w:numPr>
          <w:ilvl w:val="1"/>
          <w:numId w:val="12"/>
        </w:numPr>
      </w:pPr>
      <w:r>
        <w:t>Huglin-Wärmesummenindex in 2 m Auflösung (unter Berücksichtigung von Experteninformationen)</w:t>
      </w:r>
    </w:p>
    <w:p w14:paraId="1243A130" w14:textId="2571EC72" w:rsidR="009B20FC" w:rsidRPr="009B20FC" w:rsidRDefault="00A00C01" w:rsidP="009B20FC">
      <w:pPr>
        <w:pStyle w:val="Titel"/>
      </w:pPr>
      <w:r w:rsidRPr="000F612D">
        <w:t>Dokumentation</w:t>
      </w:r>
    </w:p>
    <w:p w14:paraId="40F17B16" w14:textId="0120BA88" w:rsidR="00A00C01" w:rsidRPr="000F612D" w:rsidRDefault="00996DB6" w:rsidP="00A00C01">
      <w:r>
        <w:t xml:space="preserve">Die Ergebnisse der Studie werden für den Auftraggeber </w:t>
      </w:r>
      <w:r w:rsidR="00EA4AF5">
        <w:t>in einem Bericht aufbereitet.</w:t>
      </w:r>
      <w:r>
        <w:t xml:space="preserve"> </w:t>
      </w:r>
    </w:p>
    <w:p w14:paraId="5E21F5DF" w14:textId="17E79447" w:rsidR="00A00C01" w:rsidRPr="009B20FC" w:rsidRDefault="00A00C01" w:rsidP="00A00C01">
      <w:pPr>
        <w:pStyle w:val="Titel"/>
      </w:pPr>
      <w:r w:rsidRPr="000F612D">
        <w:rPr>
          <w:lang w:val="en-US"/>
        </w:rPr>
        <w:t>Projektplan und Kosten</w:t>
      </w:r>
    </w:p>
    <w:tbl>
      <w:tblPr>
        <w:tblW w:w="0" w:type="auto"/>
        <w:tblCellMar>
          <w:right w:w="227" w:type="dxa"/>
        </w:tblCellMar>
        <w:tblLook w:val="04A0" w:firstRow="1" w:lastRow="0" w:firstColumn="1" w:lastColumn="0" w:noHBand="0" w:noVBand="1"/>
      </w:tblPr>
      <w:tblGrid>
        <w:gridCol w:w="4253"/>
        <w:gridCol w:w="2410"/>
        <w:gridCol w:w="1834"/>
      </w:tblGrid>
      <w:tr w:rsidR="00A00C01" w:rsidRPr="000F612D" w14:paraId="3997512F" w14:textId="77777777" w:rsidTr="00CA0E0C">
        <w:trPr>
          <w:trHeight w:val="397"/>
        </w:trPr>
        <w:tc>
          <w:tcPr>
            <w:tcW w:w="6663" w:type="dxa"/>
            <w:gridSpan w:val="2"/>
            <w:shd w:val="clear" w:color="auto" w:fill="auto"/>
            <w:vAlign w:val="center"/>
          </w:tcPr>
          <w:p w14:paraId="57E250B7" w14:textId="2770E970" w:rsidR="00A00C01" w:rsidRPr="000F612D" w:rsidRDefault="009D5C7C" w:rsidP="009E5A96">
            <w:pPr>
              <w:rPr>
                <w:lang w:val="en-US"/>
              </w:rPr>
            </w:pPr>
            <w:r>
              <w:rPr>
                <w:lang w:val="en-US"/>
              </w:rPr>
              <w:t>Standortanalyse Piwi</w:t>
            </w:r>
          </w:p>
        </w:tc>
        <w:tc>
          <w:tcPr>
            <w:tcW w:w="1834" w:type="dxa"/>
            <w:shd w:val="clear" w:color="auto" w:fill="auto"/>
            <w:vAlign w:val="center"/>
          </w:tcPr>
          <w:p w14:paraId="203F5B1E" w14:textId="77777777" w:rsidR="00A00C01" w:rsidRPr="000F612D" w:rsidRDefault="00A00C01" w:rsidP="009E5A96">
            <w:pPr>
              <w:rPr>
                <w:lang w:val="en-US"/>
              </w:rPr>
            </w:pPr>
            <w:r w:rsidRPr="000F612D">
              <w:rPr>
                <w:lang w:val="en-US"/>
              </w:rPr>
              <w:t xml:space="preserve">CHF </w:t>
            </w:r>
            <w:r>
              <w:rPr>
                <w:lang w:val="en-US"/>
              </w:rPr>
              <w:br/>
            </w:r>
            <w:r w:rsidRPr="000F612D">
              <w:rPr>
                <w:lang w:val="en-US"/>
              </w:rPr>
              <w:t xml:space="preserve">(exkl. </w:t>
            </w:r>
            <w:r>
              <w:rPr>
                <w:lang w:val="en-US"/>
              </w:rPr>
              <w:t>M</w:t>
            </w:r>
            <w:r w:rsidRPr="000F612D">
              <w:rPr>
                <w:lang w:val="en-US"/>
              </w:rPr>
              <w:t>WS</w:t>
            </w:r>
            <w:r>
              <w:rPr>
                <w:lang w:val="en-US"/>
              </w:rPr>
              <w:t>t)</w:t>
            </w:r>
          </w:p>
        </w:tc>
      </w:tr>
      <w:tr w:rsidR="00A00C01" w:rsidRPr="000F612D" w14:paraId="3B3A9D42" w14:textId="77777777" w:rsidTr="00CA0E0C">
        <w:trPr>
          <w:trHeight w:val="397"/>
        </w:trPr>
        <w:tc>
          <w:tcPr>
            <w:tcW w:w="6663" w:type="dxa"/>
            <w:gridSpan w:val="2"/>
            <w:shd w:val="clear" w:color="auto" w:fill="auto"/>
            <w:vAlign w:val="center"/>
          </w:tcPr>
          <w:p w14:paraId="7D125641" w14:textId="627AE08A" w:rsidR="00A00C01" w:rsidRPr="009B20FC" w:rsidRDefault="009A1DEF" w:rsidP="005B7281">
            <w:pPr>
              <w:ind w:left="459"/>
            </w:pPr>
            <w:r>
              <w:t>1</w:t>
            </w:r>
            <w:r w:rsidR="009006DB">
              <w:t xml:space="preserve"> Datenbezug (MeteoSwiss) und -aufbereitung</w:t>
            </w:r>
          </w:p>
        </w:tc>
        <w:tc>
          <w:tcPr>
            <w:tcW w:w="1834" w:type="dxa"/>
            <w:shd w:val="clear" w:color="auto" w:fill="auto"/>
            <w:vAlign w:val="center"/>
          </w:tcPr>
          <w:p w14:paraId="4384082E" w14:textId="34C591F4" w:rsidR="00A00C01" w:rsidRPr="000F612D" w:rsidRDefault="00833A20" w:rsidP="005B7281">
            <w:pPr>
              <w:jc w:val="right"/>
              <w:rPr>
                <w:lang w:val="en-US"/>
              </w:rPr>
            </w:pPr>
            <w:r>
              <w:rPr>
                <w:lang w:val="en-US"/>
              </w:rPr>
              <w:t>2’100</w:t>
            </w:r>
          </w:p>
        </w:tc>
      </w:tr>
      <w:tr w:rsidR="00F055DE" w:rsidRPr="000F612D" w14:paraId="19B0CB37" w14:textId="77777777" w:rsidTr="00CA0E0C">
        <w:trPr>
          <w:trHeight w:val="397"/>
        </w:trPr>
        <w:tc>
          <w:tcPr>
            <w:tcW w:w="6663" w:type="dxa"/>
            <w:gridSpan w:val="2"/>
            <w:shd w:val="clear" w:color="auto" w:fill="auto"/>
            <w:vAlign w:val="center"/>
          </w:tcPr>
          <w:p w14:paraId="52AFD0EE" w14:textId="777DCF30" w:rsidR="00F055DE" w:rsidRPr="009B20FC" w:rsidRDefault="00F055DE" w:rsidP="00F055DE">
            <w:pPr>
              <w:ind w:left="459"/>
            </w:pPr>
            <w:r>
              <w:t xml:space="preserve">2 </w:t>
            </w:r>
            <w:r w:rsidR="009006DB">
              <w:t>Berechnung H-Index für den Kanton Luzern und unterschiedliche Klimaszenarien</w:t>
            </w:r>
            <w:r w:rsidRPr="009B20FC">
              <w:t xml:space="preserve"> </w:t>
            </w:r>
            <w:r w:rsidR="009006DB">
              <w:t>(2012-2021, 2031-2040)</w:t>
            </w:r>
          </w:p>
        </w:tc>
        <w:tc>
          <w:tcPr>
            <w:tcW w:w="1834" w:type="dxa"/>
            <w:shd w:val="clear" w:color="auto" w:fill="auto"/>
            <w:vAlign w:val="bottom"/>
          </w:tcPr>
          <w:p w14:paraId="3DEF2024" w14:textId="090B211B" w:rsidR="00F055DE" w:rsidRPr="000F612D" w:rsidRDefault="00833A20" w:rsidP="00F055DE">
            <w:pPr>
              <w:jc w:val="right"/>
              <w:rPr>
                <w:lang w:val="en-US"/>
              </w:rPr>
            </w:pPr>
            <w:r>
              <w:rPr>
                <w:rFonts w:ascii="Calibri" w:hAnsi="Calibri" w:cs="Calibri"/>
                <w:color w:val="000000"/>
              </w:rPr>
              <w:t>2’100</w:t>
            </w:r>
            <w:r w:rsidR="00F055DE">
              <w:rPr>
                <w:rFonts w:ascii="Calibri" w:hAnsi="Calibri" w:cs="Calibri"/>
                <w:color w:val="000000"/>
              </w:rPr>
              <w:t xml:space="preserve"> </w:t>
            </w:r>
          </w:p>
        </w:tc>
      </w:tr>
      <w:tr w:rsidR="00F055DE" w:rsidRPr="000F612D" w14:paraId="6113C8DC" w14:textId="77777777" w:rsidTr="00CA0E0C">
        <w:trPr>
          <w:trHeight w:val="397"/>
        </w:trPr>
        <w:tc>
          <w:tcPr>
            <w:tcW w:w="6663" w:type="dxa"/>
            <w:gridSpan w:val="2"/>
            <w:shd w:val="clear" w:color="auto" w:fill="auto"/>
            <w:vAlign w:val="center"/>
          </w:tcPr>
          <w:p w14:paraId="2E70B10F" w14:textId="2A368CBC" w:rsidR="00F055DE" w:rsidRPr="009006DB" w:rsidRDefault="009006DB" w:rsidP="00F055DE">
            <w:pPr>
              <w:ind w:left="459"/>
            </w:pPr>
            <w:r w:rsidRPr="009006DB">
              <w:t>3 Erstellung eines Downscaling-Konzepts m</w:t>
            </w:r>
            <w:r>
              <w:t>it Experteninformationen</w:t>
            </w:r>
            <w:r w:rsidR="009D5C7C">
              <w:t xml:space="preserve"> (inkl. Beratung durch Peter Schumacher)</w:t>
            </w:r>
          </w:p>
        </w:tc>
        <w:tc>
          <w:tcPr>
            <w:tcW w:w="1834" w:type="dxa"/>
            <w:shd w:val="clear" w:color="auto" w:fill="auto"/>
            <w:vAlign w:val="bottom"/>
          </w:tcPr>
          <w:p w14:paraId="34454924" w14:textId="138A7818" w:rsidR="00F055DE" w:rsidRPr="000F612D" w:rsidRDefault="00833A20" w:rsidP="00F055DE">
            <w:pPr>
              <w:jc w:val="right"/>
              <w:rPr>
                <w:lang w:val="en-US"/>
              </w:rPr>
            </w:pPr>
            <w:r>
              <w:rPr>
                <w:rFonts w:ascii="Calibri" w:hAnsi="Calibri" w:cs="Calibri"/>
                <w:color w:val="000000"/>
              </w:rPr>
              <w:t>1’</w:t>
            </w:r>
            <w:r w:rsidR="009D5C7C">
              <w:rPr>
                <w:rFonts w:ascii="Calibri" w:hAnsi="Calibri" w:cs="Calibri"/>
                <w:color w:val="000000"/>
              </w:rPr>
              <w:t>80</w:t>
            </w:r>
            <w:r>
              <w:rPr>
                <w:rFonts w:ascii="Calibri" w:hAnsi="Calibri" w:cs="Calibri"/>
                <w:color w:val="000000"/>
              </w:rPr>
              <w:t>0</w:t>
            </w:r>
            <w:r w:rsidR="00F055DE">
              <w:rPr>
                <w:rFonts w:ascii="Calibri" w:hAnsi="Calibri" w:cs="Calibri"/>
                <w:color w:val="000000"/>
              </w:rPr>
              <w:t xml:space="preserve"> </w:t>
            </w:r>
          </w:p>
        </w:tc>
      </w:tr>
      <w:tr w:rsidR="00F055DE" w:rsidRPr="000F612D" w14:paraId="769B9D27" w14:textId="77777777" w:rsidTr="00CA0E0C">
        <w:trPr>
          <w:trHeight w:val="397"/>
        </w:trPr>
        <w:tc>
          <w:tcPr>
            <w:tcW w:w="6663" w:type="dxa"/>
            <w:gridSpan w:val="2"/>
            <w:shd w:val="clear" w:color="auto" w:fill="auto"/>
            <w:vAlign w:val="center"/>
          </w:tcPr>
          <w:p w14:paraId="443EAE14" w14:textId="3677DA62" w:rsidR="00F055DE" w:rsidRDefault="009006DB" w:rsidP="00F055DE">
            <w:pPr>
              <w:ind w:left="459"/>
            </w:pPr>
            <w:r>
              <w:t>4 Berechnung H-Index auf 2 m Auflösung</w:t>
            </w:r>
          </w:p>
        </w:tc>
        <w:tc>
          <w:tcPr>
            <w:tcW w:w="1834" w:type="dxa"/>
            <w:shd w:val="clear" w:color="auto" w:fill="auto"/>
            <w:vAlign w:val="bottom"/>
          </w:tcPr>
          <w:p w14:paraId="33A907C3" w14:textId="422DEA30" w:rsidR="00F055DE" w:rsidRDefault="00833A20" w:rsidP="00F055DE">
            <w:pPr>
              <w:jc w:val="right"/>
              <w:rPr>
                <w:rFonts w:ascii="Calibri" w:hAnsi="Calibri" w:cs="Calibri"/>
                <w:color w:val="000000"/>
              </w:rPr>
            </w:pPr>
            <w:r>
              <w:rPr>
                <w:rFonts w:ascii="Calibri" w:hAnsi="Calibri" w:cs="Calibri"/>
                <w:color w:val="000000"/>
              </w:rPr>
              <w:t>2’100</w:t>
            </w:r>
            <w:r w:rsidR="00F055DE">
              <w:rPr>
                <w:rFonts w:ascii="Calibri" w:hAnsi="Calibri" w:cs="Calibri"/>
                <w:color w:val="000000"/>
              </w:rPr>
              <w:t xml:space="preserve"> </w:t>
            </w:r>
          </w:p>
        </w:tc>
      </w:tr>
      <w:tr w:rsidR="00F055DE" w:rsidRPr="000F612D" w14:paraId="04FD5494" w14:textId="77777777" w:rsidTr="00CA0E0C">
        <w:trPr>
          <w:trHeight w:val="397"/>
        </w:trPr>
        <w:tc>
          <w:tcPr>
            <w:tcW w:w="6663" w:type="dxa"/>
            <w:gridSpan w:val="2"/>
            <w:shd w:val="clear" w:color="auto" w:fill="auto"/>
            <w:vAlign w:val="center"/>
          </w:tcPr>
          <w:p w14:paraId="4F0D9782" w14:textId="20609CC6" w:rsidR="00F055DE" w:rsidRPr="00E61843" w:rsidRDefault="009006DB" w:rsidP="00F055DE">
            <w:pPr>
              <w:ind w:left="459"/>
            </w:pPr>
            <w:r>
              <w:t>5 Validierung der Ergebnisse</w:t>
            </w:r>
          </w:p>
        </w:tc>
        <w:tc>
          <w:tcPr>
            <w:tcW w:w="1834" w:type="dxa"/>
            <w:shd w:val="clear" w:color="auto" w:fill="auto"/>
            <w:vAlign w:val="bottom"/>
          </w:tcPr>
          <w:p w14:paraId="577A2C2B" w14:textId="767E197D" w:rsidR="00F055DE" w:rsidRPr="000F612D" w:rsidRDefault="00833A20" w:rsidP="00F055DE">
            <w:pPr>
              <w:jc w:val="right"/>
            </w:pPr>
            <w:r>
              <w:rPr>
                <w:rFonts w:ascii="Calibri" w:hAnsi="Calibri" w:cs="Calibri"/>
                <w:color w:val="000000"/>
              </w:rPr>
              <w:t>1’800</w:t>
            </w:r>
            <w:r w:rsidR="00F055DE">
              <w:rPr>
                <w:rFonts w:ascii="Calibri" w:hAnsi="Calibri" w:cs="Calibri"/>
                <w:color w:val="000000"/>
              </w:rPr>
              <w:t xml:space="preserve"> </w:t>
            </w:r>
          </w:p>
        </w:tc>
      </w:tr>
      <w:tr w:rsidR="00F055DE" w:rsidRPr="000F612D" w14:paraId="099CF7B9" w14:textId="77777777" w:rsidTr="00CA0E0C">
        <w:trPr>
          <w:trHeight w:val="397"/>
        </w:trPr>
        <w:tc>
          <w:tcPr>
            <w:tcW w:w="6663" w:type="dxa"/>
            <w:gridSpan w:val="2"/>
            <w:shd w:val="clear" w:color="auto" w:fill="auto"/>
            <w:vAlign w:val="center"/>
          </w:tcPr>
          <w:p w14:paraId="6D54FFEE" w14:textId="6AF134CA" w:rsidR="00F055DE" w:rsidRPr="000F612D" w:rsidRDefault="00F055DE" w:rsidP="00F055DE">
            <w:pPr>
              <w:ind w:left="459"/>
            </w:pPr>
            <w:r>
              <w:t>6 Auswertung und Berichterstellung</w:t>
            </w:r>
          </w:p>
        </w:tc>
        <w:tc>
          <w:tcPr>
            <w:tcW w:w="1834" w:type="dxa"/>
            <w:shd w:val="clear" w:color="auto" w:fill="auto"/>
            <w:vAlign w:val="bottom"/>
          </w:tcPr>
          <w:p w14:paraId="70EB2FFD" w14:textId="5EA4B962" w:rsidR="00F055DE" w:rsidRPr="000F612D" w:rsidRDefault="00833A20" w:rsidP="00F055DE">
            <w:pPr>
              <w:jc w:val="right"/>
            </w:pPr>
            <w:r>
              <w:rPr>
                <w:rFonts w:ascii="Calibri" w:hAnsi="Calibri" w:cs="Calibri"/>
                <w:color w:val="000000"/>
              </w:rPr>
              <w:t>1’950</w:t>
            </w:r>
            <w:r w:rsidR="00F055DE">
              <w:rPr>
                <w:rFonts w:ascii="Calibri" w:hAnsi="Calibri" w:cs="Calibri"/>
                <w:color w:val="000000"/>
              </w:rPr>
              <w:t xml:space="preserve"> </w:t>
            </w:r>
          </w:p>
        </w:tc>
      </w:tr>
      <w:tr w:rsidR="00F055DE" w:rsidRPr="000F612D" w14:paraId="7E60A463" w14:textId="77777777" w:rsidTr="00CA0E0C">
        <w:trPr>
          <w:trHeight w:val="397"/>
        </w:trPr>
        <w:tc>
          <w:tcPr>
            <w:tcW w:w="6663" w:type="dxa"/>
            <w:gridSpan w:val="2"/>
            <w:shd w:val="clear" w:color="auto" w:fill="auto"/>
            <w:vAlign w:val="center"/>
          </w:tcPr>
          <w:p w14:paraId="05A254E9" w14:textId="77777777" w:rsidR="00F055DE" w:rsidRPr="000F612D" w:rsidRDefault="00F055DE" w:rsidP="00F055DE">
            <w:r w:rsidRPr="000F612D">
              <w:t xml:space="preserve">Total </w:t>
            </w:r>
            <w:r>
              <w:t>Kosten</w:t>
            </w:r>
            <w:r w:rsidRPr="000F612D">
              <w:t xml:space="preserve"> (exkl. MWST, Spesen)</w:t>
            </w:r>
          </w:p>
        </w:tc>
        <w:tc>
          <w:tcPr>
            <w:tcW w:w="1834" w:type="dxa"/>
            <w:shd w:val="clear" w:color="auto" w:fill="auto"/>
            <w:vAlign w:val="bottom"/>
          </w:tcPr>
          <w:p w14:paraId="3FA02963" w14:textId="7068D0DF" w:rsidR="00F055DE" w:rsidRPr="000F612D" w:rsidRDefault="00833A20" w:rsidP="00F055DE">
            <w:pPr>
              <w:jc w:val="right"/>
              <w:rPr>
                <w:b/>
                <w:lang w:val="en-GB"/>
              </w:rPr>
            </w:pPr>
            <w:r>
              <w:rPr>
                <w:rFonts w:ascii="Calibri" w:hAnsi="Calibri" w:cs="Calibri"/>
                <w:b/>
                <w:bCs/>
                <w:color w:val="000000"/>
              </w:rPr>
              <w:t>11’</w:t>
            </w:r>
            <w:r w:rsidR="009D5C7C">
              <w:rPr>
                <w:rFonts w:ascii="Calibri" w:hAnsi="Calibri" w:cs="Calibri"/>
                <w:b/>
                <w:bCs/>
                <w:color w:val="000000"/>
              </w:rPr>
              <w:t>85</w:t>
            </w:r>
            <w:r>
              <w:rPr>
                <w:rFonts w:ascii="Calibri" w:hAnsi="Calibri" w:cs="Calibri"/>
                <w:b/>
                <w:bCs/>
                <w:color w:val="000000"/>
              </w:rPr>
              <w:t>0</w:t>
            </w:r>
            <w:r w:rsidR="00F055DE">
              <w:rPr>
                <w:rFonts w:ascii="Calibri" w:hAnsi="Calibri" w:cs="Calibri"/>
                <w:b/>
                <w:bCs/>
                <w:color w:val="000000"/>
              </w:rPr>
              <w:t xml:space="preserve"> </w:t>
            </w:r>
          </w:p>
        </w:tc>
      </w:tr>
      <w:tr w:rsidR="00A00C01" w:rsidRPr="000F612D" w14:paraId="3E21FD8A" w14:textId="77777777" w:rsidTr="00CA0E0C">
        <w:trPr>
          <w:trHeight w:val="397"/>
        </w:trPr>
        <w:tc>
          <w:tcPr>
            <w:tcW w:w="4253" w:type="dxa"/>
            <w:shd w:val="clear" w:color="auto" w:fill="auto"/>
            <w:vAlign w:val="center"/>
          </w:tcPr>
          <w:p w14:paraId="5C8F599B" w14:textId="77777777" w:rsidR="00A00C01" w:rsidRPr="000F612D" w:rsidRDefault="00A00C01" w:rsidP="009E5A96">
            <w:r>
              <w:t>Geschätzter Zeitaufwand bzw. Liefertermin</w:t>
            </w:r>
          </w:p>
        </w:tc>
        <w:tc>
          <w:tcPr>
            <w:tcW w:w="4244" w:type="dxa"/>
            <w:gridSpan w:val="2"/>
            <w:shd w:val="clear" w:color="auto" w:fill="auto"/>
            <w:vAlign w:val="center"/>
          </w:tcPr>
          <w:p w14:paraId="026D8207" w14:textId="20AEE22A" w:rsidR="00A00C01" w:rsidRPr="000F612D" w:rsidRDefault="00833A20" w:rsidP="009E5A96">
            <w:r>
              <w:t>4 Monate (bis 30.06.2022)</w:t>
            </w:r>
          </w:p>
        </w:tc>
      </w:tr>
    </w:tbl>
    <w:p w14:paraId="08A4EE69" w14:textId="77777777" w:rsidR="00E76C9D" w:rsidRDefault="00E76C9D" w:rsidP="00EB0DDA"/>
    <w:p w14:paraId="7B6A023F" w14:textId="2B20957F" w:rsidR="00AD7464" w:rsidRPr="00AD7464" w:rsidRDefault="009A1DEF" w:rsidP="00AD7464">
      <w:r>
        <w:t xml:space="preserve">Der Aufwand und Zeitplan </w:t>
      </w:r>
      <w:r w:rsidR="00833A20">
        <w:t>setzen die Mitwirkung von Beat Felder (BBZN) und Peter Schumacher (ZHAW) voraus. Zusätzlich wird die Arbeit von einer Bachelorarbeit an der ZHAW begleitet (Joel Ringgenberg).</w:t>
      </w:r>
    </w:p>
    <w:p w14:paraId="630BFF85" w14:textId="77777777" w:rsidR="00FA15A7" w:rsidRDefault="00FA15A7">
      <w:pPr>
        <w:rPr>
          <w:rFonts w:ascii="Arial" w:eastAsia="Times New Roman" w:hAnsi="Arial" w:cs="Arial"/>
          <w:b/>
          <w:spacing w:val="4"/>
          <w:sz w:val="20"/>
          <w:szCs w:val="20"/>
          <w:lang w:eastAsia="de-DE"/>
        </w:rPr>
      </w:pPr>
      <w:r>
        <w:br w:type="page"/>
      </w:r>
    </w:p>
    <w:p w14:paraId="7911D483" w14:textId="71D3BD24" w:rsidR="00A00C01" w:rsidRPr="00F74607" w:rsidRDefault="00A00C01" w:rsidP="00A00C01">
      <w:pPr>
        <w:pStyle w:val="Titel"/>
      </w:pPr>
      <w:r w:rsidRPr="000F612D">
        <w:lastRenderedPageBreak/>
        <w:t>Projektdauer</w:t>
      </w:r>
    </w:p>
    <w:p w14:paraId="3C129828" w14:textId="6F7C30FB" w:rsidR="00A00C01" w:rsidRDefault="00F326E2" w:rsidP="00A00C01">
      <w:r>
        <w:t xml:space="preserve">Das Projekt </w:t>
      </w:r>
      <w:r w:rsidR="009D5C7C">
        <w:t>startet spätestens 4 Wochen nach Unterzeichnung der Auftragsbestätigung.</w:t>
      </w:r>
      <w:r w:rsidR="00833A20">
        <w:t xml:space="preserve"> Die Projekt</w:t>
      </w:r>
      <w:r>
        <w:t xml:space="preserve">dauer </w:t>
      </w:r>
      <w:r w:rsidR="00833A20">
        <w:t>beträgt 4 Monate (von März 2022 bis Ende Juni 2022).</w:t>
      </w:r>
      <w:r>
        <w:t xml:space="preserve"> </w:t>
      </w:r>
    </w:p>
    <w:p w14:paraId="2A31BEC8" w14:textId="506E3423" w:rsidR="009A1DEF" w:rsidRDefault="009A1DEF" w:rsidP="00A00C01">
      <w:r>
        <w:t xml:space="preserve">Sobald der Projektinhalt gemeinsam festgehalten wurde, wird die Projektzusammenarbeit in einem Forschungsvertrag geregelt. </w:t>
      </w:r>
      <w:r w:rsidR="00815874">
        <w:t xml:space="preserve">Dabei </w:t>
      </w:r>
      <w:r w:rsidR="00CA5E3E">
        <w:t>sind</w:t>
      </w:r>
      <w:r w:rsidR="00FA15A7">
        <w:t xml:space="preserve"> </w:t>
      </w:r>
      <w:r w:rsidR="00815874">
        <w:t xml:space="preserve">die Vertragsbedingungen der ZHAW </w:t>
      </w:r>
      <w:r w:rsidR="00CA5E3E">
        <w:t>zu berücksichtigen</w:t>
      </w:r>
      <w:r w:rsidR="00FA15A7">
        <w:t xml:space="preserve"> </w:t>
      </w:r>
      <w:r w:rsidR="00815874">
        <w:t>(siehe Anhang).</w:t>
      </w:r>
    </w:p>
    <w:p w14:paraId="5467758D" w14:textId="77777777" w:rsidR="00A00C01" w:rsidRDefault="00A00C01" w:rsidP="00A00C01"/>
    <w:p w14:paraId="263DF857" w14:textId="7813F352" w:rsidR="00A00C01" w:rsidRPr="00DD3696" w:rsidRDefault="00A00C01" w:rsidP="00DD3696">
      <w:pPr>
        <w:jc w:val="center"/>
        <w:rPr>
          <w:rFonts w:ascii="Arial Rounded MT Bold" w:hAnsi="Arial Rounded MT Bold" w:cs="Arial"/>
          <w:sz w:val="36"/>
          <w:szCs w:val="36"/>
        </w:rPr>
      </w:pPr>
    </w:p>
    <w:sectPr w:rsidR="00A00C01" w:rsidRPr="00DD369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278D" w14:textId="77777777" w:rsidR="00DD3696" w:rsidRDefault="00DD3696" w:rsidP="00DD3696">
      <w:pPr>
        <w:spacing w:after="0" w:line="240" w:lineRule="auto"/>
      </w:pPr>
      <w:r>
        <w:separator/>
      </w:r>
    </w:p>
  </w:endnote>
  <w:endnote w:type="continuationSeparator" w:id="0">
    <w:p w14:paraId="0C22D996" w14:textId="77777777" w:rsidR="00DD3696" w:rsidRDefault="00DD3696" w:rsidP="00DD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C11E" w14:textId="6048F7BA" w:rsidR="006C52E8" w:rsidRDefault="006C52E8">
    <w:pPr>
      <w:pStyle w:val="Fuzeile"/>
      <w:jc w:val="center"/>
    </w:pPr>
    <w:sdt>
      <w:sdtPr>
        <w:id w:val="214321340"/>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877B" w14:textId="77777777" w:rsidR="00DD3696" w:rsidRDefault="00DD3696" w:rsidP="00DD3696">
      <w:pPr>
        <w:spacing w:after="0" w:line="240" w:lineRule="auto"/>
      </w:pPr>
      <w:r>
        <w:separator/>
      </w:r>
    </w:p>
  </w:footnote>
  <w:footnote w:type="continuationSeparator" w:id="0">
    <w:p w14:paraId="4398375B" w14:textId="77777777" w:rsidR="00DD3696" w:rsidRDefault="00DD3696" w:rsidP="00DD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5693" w14:textId="27391DC1" w:rsidR="00DD3696" w:rsidRDefault="00DD3696" w:rsidP="00DD3696">
    <w:pPr>
      <w:pStyle w:val="Kopfzeile"/>
      <w:jc w:val="right"/>
    </w:pPr>
    <w:r w:rsidRPr="00193109">
      <w:rPr>
        <w:noProof/>
      </w:rPr>
      <w:drawing>
        <wp:inline distT="0" distB="0" distL="0" distR="0" wp14:anchorId="63AE2CFA" wp14:editId="130935E0">
          <wp:extent cx="1374647" cy="6248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485" cy="627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50B2"/>
    <w:multiLevelType w:val="hybridMultilevel"/>
    <w:tmpl w:val="0E5A05A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F707E60"/>
    <w:multiLevelType w:val="multilevel"/>
    <w:tmpl w:val="64D6CF86"/>
    <w:lvl w:ilvl="0">
      <w:start w:val="1"/>
      <w:numFmt w:val="decimal"/>
      <w:pStyle w:val="Titel"/>
      <w:lvlText w:val="%1."/>
      <w:lvlJc w:val="left"/>
      <w:pPr>
        <w:ind w:left="720" w:hanging="360"/>
      </w:pPr>
      <w:rPr>
        <w:rFonts w:hint="default"/>
      </w:rPr>
    </w:lvl>
    <w:lvl w:ilvl="1">
      <w:start w:val="1"/>
      <w:numFmt w:val="decimal"/>
      <w:pStyle w:val="Untertite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1132D1"/>
    <w:multiLevelType w:val="hybridMultilevel"/>
    <w:tmpl w:val="D18C8C0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C7E374E"/>
    <w:multiLevelType w:val="hybridMultilevel"/>
    <w:tmpl w:val="E648E7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22B7664"/>
    <w:multiLevelType w:val="hybridMultilevel"/>
    <w:tmpl w:val="447CC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714F36"/>
    <w:multiLevelType w:val="hybridMultilevel"/>
    <w:tmpl w:val="25F205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1763839"/>
    <w:multiLevelType w:val="hybridMultilevel"/>
    <w:tmpl w:val="392EFC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9DC66CA"/>
    <w:multiLevelType w:val="hybridMultilevel"/>
    <w:tmpl w:val="2C7CEEE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2"/>
  </w:num>
  <w:num w:numId="10">
    <w:abstractNumId w:val="3"/>
  </w:num>
  <w:num w:numId="11">
    <w:abstractNumId w:val="7"/>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96"/>
    <w:rsid w:val="000058D0"/>
    <w:rsid w:val="0001583E"/>
    <w:rsid w:val="00022620"/>
    <w:rsid w:val="00104D49"/>
    <w:rsid w:val="00113BD2"/>
    <w:rsid w:val="00295800"/>
    <w:rsid w:val="002A23E6"/>
    <w:rsid w:val="002B7298"/>
    <w:rsid w:val="002C0738"/>
    <w:rsid w:val="00346B73"/>
    <w:rsid w:val="00371610"/>
    <w:rsid w:val="00406A62"/>
    <w:rsid w:val="004732B4"/>
    <w:rsid w:val="004B29F9"/>
    <w:rsid w:val="004D6FCB"/>
    <w:rsid w:val="00512B89"/>
    <w:rsid w:val="005B7281"/>
    <w:rsid w:val="006A44DA"/>
    <w:rsid w:val="006C52E8"/>
    <w:rsid w:val="007665B6"/>
    <w:rsid w:val="0078721C"/>
    <w:rsid w:val="007F3204"/>
    <w:rsid w:val="007F48B9"/>
    <w:rsid w:val="00815874"/>
    <w:rsid w:val="0083060C"/>
    <w:rsid w:val="00833A20"/>
    <w:rsid w:val="0083707D"/>
    <w:rsid w:val="008F61B8"/>
    <w:rsid w:val="009006DB"/>
    <w:rsid w:val="00955AF5"/>
    <w:rsid w:val="0098281A"/>
    <w:rsid w:val="00996DB6"/>
    <w:rsid w:val="009A1DEF"/>
    <w:rsid w:val="009B20FC"/>
    <w:rsid w:val="009B4B56"/>
    <w:rsid w:val="009B7CBF"/>
    <w:rsid w:val="009C7E1E"/>
    <w:rsid w:val="009D5C7C"/>
    <w:rsid w:val="00A00C01"/>
    <w:rsid w:val="00A52DBA"/>
    <w:rsid w:val="00A775AC"/>
    <w:rsid w:val="00AD7464"/>
    <w:rsid w:val="00B10E58"/>
    <w:rsid w:val="00B26FD5"/>
    <w:rsid w:val="00B55CAD"/>
    <w:rsid w:val="00B90A5B"/>
    <w:rsid w:val="00C707B6"/>
    <w:rsid w:val="00CA0E0C"/>
    <w:rsid w:val="00CA5E3E"/>
    <w:rsid w:val="00CD0426"/>
    <w:rsid w:val="00CE36EE"/>
    <w:rsid w:val="00D90640"/>
    <w:rsid w:val="00DD3696"/>
    <w:rsid w:val="00E61843"/>
    <w:rsid w:val="00E707FF"/>
    <w:rsid w:val="00E76C9D"/>
    <w:rsid w:val="00EA4AF5"/>
    <w:rsid w:val="00EB0DDA"/>
    <w:rsid w:val="00F055DE"/>
    <w:rsid w:val="00F326E2"/>
    <w:rsid w:val="00FA15A7"/>
    <w:rsid w:val="00FA2BA6"/>
    <w:rsid w:val="00FF76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2775480"/>
  <w15:chartTrackingRefBased/>
  <w15:docId w15:val="{0DCB9B0C-A285-45DF-98E1-CF112F6A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36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3696"/>
  </w:style>
  <w:style w:type="paragraph" w:styleId="Fuzeile">
    <w:name w:val="footer"/>
    <w:basedOn w:val="Standard"/>
    <w:link w:val="FuzeileZchn"/>
    <w:uiPriority w:val="99"/>
    <w:unhideWhenUsed/>
    <w:rsid w:val="00DD36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3696"/>
  </w:style>
  <w:style w:type="character" w:styleId="Kommentarzeichen">
    <w:name w:val="annotation reference"/>
    <w:basedOn w:val="Absatz-Standardschriftart"/>
    <w:semiHidden/>
    <w:unhideWhenUsed/>
    <w:rsid w:val="00A00C01"/>
    <w:rPr>
      <w:sz w:val="16"/>
      <w:szCs w:val="16"/>
    </w:rPr>
  </w:style>
  <w:style w:type="paragraph" w:styleId="Kommentartext">
    <w:name w:val="annotation text"/>
    <w:basedOn w:val="Standard"/>
    <w:link w:val="KommentartextZchn"/>
    <w:semiHidden/>
    <w:unhideWhenUsed/>
    <w:rsid w:val="00A00C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0C01"/>
    <w:rPr>
      <w:sz w:val="20"/>
      <w:szCs w:val="20"/>
    </w:rPr>
  </w:style>
  <w:style w:type="paragraph" w:styleId="Kommentarthema">
    <w:name w:val="annotation subject"/>
    <w:basedOn w:val="Kommentartext"/>
    <w:next w:val="Kommentartext"/>
    <w:link w:val="KommentarthemaZchn"/>
    <w:uiPriority w:val="99"/>
    <w:semiHidden/>
    <w:unhideWhenUsed/>
    <w:rsid w:val="00A00C01"/>
    <w:rPr>
      <w:b/>
      <w:bCs/>
    </w:rPr>
  </w:style>
  <w:style w:type="character" w:customStyle="1" w:styleId="KommentarthemaZchn">
    <w:name w:val="Kommentarthema Zchn"/>
    <w:basedOn w:val="KommentartextZchn"/>
    <w:link w:val="Kommentarthema"/>
    <w:uiPriority w:val="99"/>
    <w:semiHidden/>
    <w:rsid w:val="00A00C01"/>
    <w:rPr>
      <w:b/>
      <w:bCs/>
      <w:sz w:val="20"/>
      <w:szCs w:val="20"/>
    </w:rPr>
  </w:style>
  <w:style w:type="paragraph" w:styleId="Titel">
    <w:name w:val="Title"/>
    <w:basedOn w:val="Standard"/>
    <w:next w:val="Standard"/>
    <w:link w:val="TitelZchn"/>
    <w:uiPriority w:val="10"/>
    <w:qFormat/>
    <w:rsid w:val="005B7281"/>
    <w:pPr>
      <w:numPr>
        <w:numId w:val="1"/>
      </w:numPr>
      <w:spacing w:after="240" w:line="240" w:lineRule="auto"/>
      <w:ind w:right="11"/>
    </w:pPr>
    <w:rPr>
      <w:rFonts w:ascii="Arial" w:eastAsia="Times New Roman" w:hAnsi="Arial" w:cs="Arial"/>
      <w:b/>
      <w:spacing w:val="4"/>
      <w:sz w:val="20"/>
      <w:szCs w:val="20"/>
      <w:lang w:eastAsia="de-DE"/>
    </w:rPr>
  </w:style>
  <w:style w:type="character" w:customStyle="1" w:styleId="TitelZchn">
    <w:name w:val="Titel Zchn"/>
    <w:basedOn w:val="Absatz-Standardschriftart"/>
    <w:link w:val="Titel"/>
    <w:uiPriority w:val="10"/>
    <w:rsid w:val="005B7281"/>
    <w:rPr>
      <w:rFonts w:ascii="Arial" w:eastAsia="Times New Roman" w:hAnsi="Arial" w:cs="Arial"/>
      <w:b/>
      <w:spacing w:val="4"/>
      <w:sz w:val="20"/>
      <w:szCs w:val="20"/>
      <w:lang w:eastAsia="de-DE"/>
    </w:rPr>
  </w:style>
  <w:style w:type="paragraph" w:styleId="Untertitel">
    <w:name w:val="Subtitle"/>
    <w:basedOn w:val="Standard"/>
    <w:next w:val="Standard"/>
    <w:link w:val="UntertitelZchn"/>
    <w:uiPriority w:val="11"/>
    <w:qFormat/>
    <w:rsid w:val="005B7281"/>
    <w:pPr>
      <w:numPr>
        <w:ilvl w:val="1"/>
        <w:numId w:val="1"/>
      </w:numPr>
      <w:spacing w:after="240" w:line="240" w:lineRule="auto"/>
      <w:ind w:left="567" w:right="11" w:hanging="567"/>
    </w:pPr>
    <w:rPr>
      <w:rFonts w:ascii="Arial" w:eastAsia="Times New Roman" w:hAnsi="Arial" w:cs="Arial"/>
      <w:b/>
      <w:spacing w:val="4"/>
      <w:sz w:val="20"/>
      <w:szCs w:val="20"/>
      <w:lang w:eastAsia="de-DE"/>
    </w:rPr>
  </w:style>
  <w:style w:type="character" w:customStyle="1" w:styleId="UntertitelZchn">
    <w:name w:val="Untertitel Zchn"/>
    <w:basedOn w:val="Absatz-Standardschriftart"/>
    <w:link w:val="Untertitel"/>
    <w:uiPriority w:val="11"/>
    <w:rsid w:val="005B7281"/>
    <w:rPr>
      <w:rFonts w:ascii="Arial" w:eastAsia="Times New Roman" w:hAnsi="Arial" w:cs="Arial"/>
      <w:b/>
      <w:spacing w:val="4"/>
      <w:sz w:val="20"/>
      <w:szCs w:val="20"/>
      <w:lang w:eastAsia="de-DE"/>
    </w:rPr>
  </w:style>
  <w:style w:type="paragraph" w:styleId="Listenabsatz">
    <w:name w:val="List Paragraph"/>
    <w:basedOn w:val="Standard"/>
    <w:uiPriority w:val="34"/>
    <w:qFormat/>
    <w:rsid w:val="008F61B8"/>
    <w:pPr>
      <w:ind w:left="720"/>
      <w:contextualSpacing/>
    </w:pPr>
  </w:style>
  <w:style w:type="character" w:styleId="Hyperlink">
    <w:name w:val="Hyperlink"/>
    <w:basedOn w:val="Absatz-Standardschriftart"/>
    <w:uiPriority w:val="99"/>
    <w:unhideWhenUsed/>
    <w:rsid w:val="0083707D"/>
    <w:rPr>
      <w:color w:val="0563C1" w:themeColor="hyperlink"/>
      <w:u w:val="single"/>
    </w:rPr>
  </w:style>
  <w:style w:type="character" w:styleId="NichtaufgelsteErwhnung">
    <w:name w:val="Unresolved Mention"/>
    <w:basedOn w:val="Absatz-Standardschriftart"/>
    <w:uiPriority w:val="99"/>
    <w:semiHidden/>
    <w:unhideWhenUsed/>
    <w:rsid w:val="0083707D"/>
    <w:rPr>
      <w:color w:val="605E5C"/>
      <w:shd w:val="clear" w:color="auto" w:fill="E1DFDD"/>
    </w:rPr>
  </w:style>
  <w:style w:type="character" w:styleId="BesuchterLink">
    <w:name w:val="FollowedHyperlink"/>
    <w:basedOn w:val="Absatz-Standardschriftart"/>
    <w:uiPriority w:val="99"/>
    <w:semiHidden/>
    <w:unhideWhenUsed/>
    <w:rsid w:val="00EB0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8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4397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Jaisli Isabel (jais)</dc:creator>
  <cp:keywords/>
  <dc:description/>
  <cp:lastModifiedBy>Grüter Roman (grea)</cp:lastModifiedBy>
  <cp:revision>27</cp:revision>
  <dcterms:created xsi:type="dcterms:W3CDTF">2021-08-11T14:44:00Z</dcterms:created>
  <dcterms:modified xsi:type="dcterms:W3CDTF">2022-03-01T08:47:00Z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2021-08-11T14:44:08Z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12c8c796-4110-4c87-9274-bc44c76b6c83</vt:lpwstr>
  </property>
  <property fmtid="{D5CDD505-2E9C-101B-9397-08002B2CF9AE}" pid="8" name="MSIP_Label_10d9bad3-6dac-4e9a-89a3-89f3b8d247b2_ContentBits">
    <vt:lpwstr>0</vt:lpwstr>
  </property>
</Properties>
</file>