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ind w:firstLine="0"/>
        <w:jc w:val="center"/>
      </w:pPr>
      <w:r>
        <w:rPr>
          <w:rFonts w:ascii="Times New Roman" w:hAnsi="Times New Roman"/>
          <w:b/>
          <w:sz w:val="32"/>
        </w:rPr>
        <w:t>Evidence filtering and cell-type context separate a network-apoptosis cassette from experimentally supported artesunate-HCC proteins</w:t>
      </w:r>
    </w:p>
    <w:p>
      <w:pPr>
        <w:spacing w:after="120"/>
        <w:ind w:firstLine="0"/>
        <w:jc w:val="center"/>
      </w:pPr>
      <w:r>
        <w:rPr>
          <w:rFonts w:ascii="Times New Roman" w:hAnsi="Times New Roman"/>
          <w:b w:val="0"/>
          <w:sz w:val="22"/>
        </w:rPr>
        <w:t>Authors: [Name 1], [Name 2], [Name 3]</w:t>
      </w:r>
    </w:p>
    <w:p>
      <w:pPr>
        <w:spacing w:after="120"/>
        <w:ind w:firstLine="0"/>
        <w:jc w:val="center"/>
      </w:pPr>
      <w:r>
        <w:rPr>
          <w:rFonts w:ascii="Times New Roman" w:hAnsi="Times New Roman"/>
          <w:b w:val="0"/>
          <w:sz w:val="22"/>
        </w:rPr>
        <w:t>Affiliations: 1 [Department], [Institution], [City], [Country]</w:t>
      </w:r>
    </w:p>
    <w:p>
      <w:pPr>
        <w:spacing w:after="120"/>
        <w:ind w:firstLine="0"/>
        <w:jc w:val="center"/>
      </w:pPr>
      <w:r>
        <w:rPr>
          <w:rFonts w:ascii="Times New Roman" w:hAnsi="Times New Roman"/>
          <w:b w:val="0"/>
          <w:sz w:val="22"/>
        </w:rPr>
        <w:t>Corresponding author: [Name]; E-mail: [email]</w:t>
      </w:r>
    </w:p>
    <w:p>
      <w:pPr>
        <w:spacing w:after="120"/>
        <w:ind w:firstLine="0"/>
        <w:jc w:val="center"/>
      </w:pPr>
      <w:r>
        <w:rPr>
          <w:rFonts w:ascii="Times New Roman" w:hAnsi="Times New Roman"/>
          <w:b w:val="0"/>
          <w:sz w:val="22"/>
        </w:rPr>
        <w:t>Database freeze: Swiss/CTD/GeneCards locked 2026-10-05; STRING Full_67 = 660 edges.</w:t>
      </w:r>
    </w:p>
    <w:p>
      <w:pPr>
        <w:pStyle w:val="Heading1"/>
      </w:pPr>
      <w:r>
        <w:rPr>
          <w:rFonts w:ascii="Times New Roman" w:hAnsi="Times New Roman"/>
        </w:rPr>
        <w:t>Abstract</w:t>
      </w:r>
    </w:p>
    <w:p>
      <w:pPr>
        <w:spacing w:after="120"/>
        <w:ind w:firstLine="432"/>
      </w:pPr>
      <w:r>
        <w:rPr>
          <w:rFonts w:ascii="Times New Roman" w:hAnsi="Times New Roman"/>
          <w:b w:val="0"/>
          <w:sz w:val="22"/>
        </w:rPr>
        <w:t>Background: Artesunate has chemically supported hepatocellular carcinoma (HCC) proteins (GBA, MMP9, OGA/MGEA5) and a separate apoptosis annotation trail in CTD. Unfiltered SwissTargetPrediction plus a broad GeneCards list promotes STAT3/EGFR/PI3K hubs that do not survive a probability floor. This in silico study does not nominate a new target. It asks whether a locked network-apoptosis cassette and the experimental trio occupy different evidence layers and, if the data allow, different cell classes. Methods: Compound identity is TCMSP MOL007434. Locked Swiss probability for MMP9 is 0.000934254325799. A pre-registered grid varied Swiss (0.05/0.1/0.2), GeneCards (&gt;2/&gt;5/&gt;10) and STRING (0.400/0.700). Primary interpretation uses Strict_14 versus Full_67 (660-edge STRING only). Docking of artesunate and dihydroartemisinin is restricted to pockets that reproduce the co-crystal ligand with heavy-atom RMSD &lt; 2.0 A; BCL2/4LVT is reused (GetBestRMS 1.54 A; artesunate -7.5 kcal/mol; DHA -7.9 kcal/mol). CASP3/3DEI and PARP1/4ZZZ remain supplementary. No cell or animal experiment was performed. Results: Apoptosis leads Strict_14 KEGG; Lipid and atherosclerosis leads Full_67. GBA/GBA1 and OGA/MGEA5 are absent from Swiss and CTD; MMP9 is present in Swiss only below the 0.1 floor. The pre-registered single-cell stop-rule was triggered (network-group and experimental-group mode peak classes did not separate); cell-type separation is not claimed as a mechanism. MD was omitted because no new pocket passed the redock gate. Conclusion: Evidence filtering replaces STAT3/EGFR-centred hubs with CTD apoptosis annotations. That shift restates database priors. Experimentally supported proteins sit outside the filter. Geometric compatibility is claimed only for protocol-valid pockets.</w:t>
      </w:r>
    </w:p>
    <w:p>
      <w:pPr>
        <w:spacing w:after="120"/>
        <w:ind w:firstLine="432"/>
      </w:pPr>
      <w:r>
        <w:rPr>
          <w:rFonts w:ascii="Times New Roman" w:hAnsi="Times New Roman"/>
          <w:b w:val="0"/>
          <w:sz w:val="22"/>
        </w:rPr>
        <w:t>Keywords: artesunate; dihydroartemisinin; hepatocellular carcinoma; network pharmacology; evidence filtering; GBA; MMP9; OGA; molecular docking</w:t>
      </w:r>
    </w:p>
    <w:p>
      <w:pPr>
        <w:pStyle w:val="Heading1"/>
      </w:pPr>
      <w:r>
        <w:rPr>
          <w:rFonts w:ascii="Times New Roman" w:hAnsi="Times New Roman"/>
        </w:rPr>
        <w:t>1 Introduction</w:t>
      </w:r>
    </w:p>
    <w:p>
      <w:pPr>
        <w:spacing w:after="120"/>
        <w:ind w:firstLine="432"/>
      </w:pPr>
      <w:r>
        <w:rPr>
          <w:rFonts w:ascii="Times New Roman" w:hAnsi="Times New Roman"/>
          <w:b w:val="0"/>
          <w:sz w:val="22"/>
        </w:rPr>
        <w:t>Hepatocellular carcinoma remains a major global cause of cancer death. Artesunate is a hemisuccinate ester that is converted in plasma to dihydroartemisinin; the endoperoxide can be activated by ferrous iron or heme. Experimental work has already identified GBA, MMP9 and OGA as chemically supported artesunate-HCC proteins and has linked artesunate to ferroptosis and sorafenib sensitization. Those reports are the experimental group in this paper. They are not rediscovered here.</w:t>
      </w:r>
    </w:p>
    <w:p>
      <w:pPr>
        <w:spacing w:after="120"/>
        <w:ind w:firstLine="432"/>
      </w:pPr>
      <w:r>
        <w:rPr>
          <w:rFonts w:ascii="Times New Roman" w:hAnsi="Times New Roman"/>
          <w:b w:val="0"/>
          <w:sz w:val="22"/>
        </w:rPr>
        <w:t>Network pharmacology often promotes very low-probability SwissTargetPrediction rows to hubs. We therefore lock two gene lists. The network group is PARP1, BCL2, CASP3, BAX, FAS and CASP9. The experimental group is GBA, MMP9 and OGA (GeneCards currently indexes GBA1 and OGA). Full_67 is an unrestricted exploratory intersection; Strict_14 is the only set used for primary interpretation. We do not treat apoptosis KEGG enrichment as a newly discovered HCC axis.</w:t>
      </w:r>
    </w:p>
    <w:p>
      <w:pPr>
        <w:pStyle w:val="Heading1"/>
      </w:pPr>
      <w:r>
        <w:rPr>
          <w:rFonts w:ascii="Times New Roman" w:hAnsi="Times New Roman"/>
        </w:rPr>
        <w:t>2 Materials and methods</w:t>
      </w:r>
    </w:p>
    <w:p>
      <w:pPr>
        <w:pStyle w:val="Heading2"/>
      </w:pPr>
      <w:r>
        <w:rPr>
          <w:rFonts w:ascii="Times New Roman" w:hAnsi="Times New Roman"/>
        </w:rPr>
        <w:t>2.1 Locked inputs</w:t>
      </w:r>
    </w:p>
    <w:p>
      <w:pPr>
        <w:spacing w:after="120"/>
        <w:ind w:firstLine="432"/>
      </w:pPr>
      <w:r>
        <w:rPr>
          <w:rFonts w:ascii="Times New Roman" w:hAnsi="Times New Roman"/>
          <w:b w:val="0"/>
          <w:sz w:val="22"/>
        </w:rPr>
        <w:t>SwissTargetPrediction, CTD (Harmonizome gene-chemical export) and GeneCards HCC downloads were copied into art_hcc_twogroup/locked_inputs with SHA-256 digests (MANIFEST.json). MMP9 Swiss probability is 0.000934254325799 from SWISS raw; methods and results use this single number. The Full_67 STRING table has 660 edges. An earlier 536-edge snapshot is not used. CTD rows are untyped gene-chemical records; binding versus expression versus inferred flags were not present in the export.</w:t>
      </w:r>
    </w:p>
    <w:p>
      <w:pPr>
        <w:pStyle w:val="Heading2"/>
      </w:pPr>
      <w:r>
        <w:rPr>
          <w:rFonts w:ascii="Times New Roman" w:hAnsi="Times New Roman"/>
        </w:rPr>
        <w:t>2.2 Pre-registered threshold grid</w:t>
      </w:r>
    </w:p>
    <w:p>
      <w:pPr>
        <w:spacing w:after="120"/>
        <w:ind w:firstLine="432"/>
      </w:pPr>
      <w:r>
        <w:rPr>
          <w:rFonts w:ascii="Times New Roman" w:hAnsi="Times New Roman"/>
          <w:b w:val="0"/>
          <w:sz w:val="22"/>
        </w:rPr>
        <w:t>Swiss probability floors 0.05, 0.1 and 0.2; GeneCards relevance &gt;2, &gt;5 and &gt;10; STRING combined score 0.400 and 0.700. Each cell records intersection size, degree top five, Jaccard overlap with the locked network six and experimental three, presence of GBA/MMP9/MGEA5 (including GBA1/OGA aliases), and the first g:Profiler KEGG term (Homo sapiens, g:SCS). Rules were not changed after seeing ranks.</w:t>
      </w:r>
    </w:p>
    <w:p>
      <w:pPr>
        <w:pStyle w:val="Heading2"/>
      </w:pPr>
      <w:r>
        <w:rPr>
          <w:rFonts w:ascii="Times New Roman" w:hAnsi="Times New Roman"/>
        </w:rPr>
        <w:t>2.3 Single-cell, TCGA and HPA</w:t>
      </w:r>
    </w:p>
    <w:p>
      <w:pPr>
        <w:spacing w:after="120"/>
        <w:ind w:firstLine="432"/>
      </w:pPr>
      <w:r>
        <w:rPr>
          <w:rFonts w:ascii="Times New Roman" w:hAnsi="Times New Roman"/>
          <w:b w:val="0"/>
          <w:sz w:val="22"/>
        </w:rPr>
        <w:t>GSE149614 (Sun et al.) is the primary single-cell cohort. Cells were mapped onto six author-style major classes: hepatocyte/cholangiocyte, T/NK, myeloid, B, endothelial, fibroblast. The statistical unit is the patient. GSE125449 is a second map only. TCGA-LIHC tumor versus adjacent used Wilcoxon tests with Benjamini-Hochberg FDR. Human Protein Atlas IHC is database extraction, not new staining. Univariable Cox OS uses the same specification for both gene groups and is supplementary. Stop-rule: the mode peak class of the network six must differ from that of the experimental three in GSE149614 and remain separated in GSE125449; otherwise the manuscript does not convert into a mechanism paper.</w:t>
      </w:r>
    </w:p>
    <w:p>
      <w:pPr>
        <w:pStyle w:val="Heading2"/>
      </w:pPr>
      <w:r>
        <w:rPr>
          <w:rFonts w:ascii="Times New Roman" w:hAnsi="Times New Roman"/>
        </w:rPr>
        <w:t>2.4 Docking gate</w:t>
      </w:r>
    </w:p>
    <w:p>
      <w:pPr>
        <w:spacing w:after="120"/>
        <w:ind w:firstLine="432"/>
      </w:pPr>
      <w:r>
        <w:rPr>
          <w:rFonts w:ascii="Times New Roman" w:hAnsi="Times New Roman"/>
          <w:b w:val="0"/>
          <w:sz w:val="22"/>
        </w:rPr>
        <w:t>A pocket enters the main figure only if it has a human ligand-bound crystal structure and reproduces the co-crystal ligand with in-place or GetBestRMS heavy-atom RMSD &lt; 2.0 A. Box: ligand centroid, 8 A padding, size capped at 30 A. AutoDock Vina 1.1.2, exhaustiveness 32, nine modes, seeds 20260930/20261001/20261002. The peroxide cage is rigid; the succinate chain is flexible. Artesunate and DHA share the box. A trypsin/benzamidine complex (3PTB) is an unrelated negative control. CASP3/3DEI and PARP1/4ZZZ remain supplementary failures. A second engine (GNINA, smina or Vina 1.2) is applied only to pockets that already passed. Molecular dynamics (3 x 50 ns per ligand) is run only if at least one new experimental pocket passes; otherwise the MD section is omitted.</w:t>
      </w:r>
    </w:p>
    <w:p>
      <w:pPr>
        <w:pStyle w:val="Heading1"/>
      </w:pPr>
      <w:r>
        <w:rPr>
          <w:rFonts w:ascii="Times New Roman" w:hAnsi="Times New Roman"/>
        </w:rPr>
        <w:t>3 Results</w:t>
      </w:r>
    </w:p>
    <w:p>
      <w:pPr>
        <w:pStyle w:val="Heading2"/>
      </w:pPr>
      <w:r>
        <w:rPr>
          <w:rFonts w:ascii="Times New Roman" w:hAnsi="Times New Roman"/>
        </w:rPr>
        <w:t>3.1 Two-level intersection</w:t>
      </w:r>
    </w:p>
    <w:p>
      <w:pPr>
        <w:spacing w:after="120"/>
        <w:ind w:firstLine="432"/>
      </w:pPr>
      <w:r>
        <w:rPr>
          <w:rFonts w:ascii="Times New Roman" w:hAnsi="Times New Roman"/>
          <w:b w:val="0"/>
          <w:sz w:val="22"/>
        </w:rPr>
        <w:t>Strict_14 (14 genes) and Full_67 (67 genes) are unchanged from the locked downloads. The network cassette is a subset of Strict_14. Figure 1 records set membership, not measured physical interactions.</w:t>
      </w:r>
    </w:p>
    <w:p>
      <w:pPr>
        <w:pStyle w:val="Heading2"/>
      </w:pPr>
      <w:r>
        <w:rPr>
          <w:rFonts w:ascii="Times New Roman" w:hAnsi="Times New Roman"/>
        </w:rPr>
        <w:t>3.2 Threshold grid and miss path</w:t>
      </w:r>
    </w:p>
    <w:p>
      <w:pPr>
        <w:spacing w:after="120"/>
        <w:ind w:firstLine="432"/>
      </w:pPr>
      <w:r>
        <w:rPr>
          <w:rFonts w:ascii="Times New Roman" w:hAnsi="Times New Roman"/>
          <w:b w:val="0"/>
          <w:sz w:val="22"/>
        </w:rPr>
        <w:t>The grid has 18 cells. Intersection sizes take 3 distinct values. Swiss floors 0.05, 0.1 and 0.2 collapse on this download because only PTGES2 and CYP1A2 exceed 0.05 (MMP9 p = 0.000934254325799). GeneCards cutoffs change disease-side breadth. STRING 0.700 thins edges without restoring GBA or OGA.</w:t>
      </w:r>
    </w:p>
    <w:p>
      <w:pPr>
        <w:spacing w:after="120"/>
        <w:ind w:firstLine="432"/>
      </w:pPr>
      <w:r>
        <w:rPr>
          <w:rFonts w:ascii="Times New Roman" w:hAnsi="Times New Roman"/>
          <w:b w:val="0"/>
          <w:sz w:val="22"/>
        </w:rPr>
        <w:t>Experimental-group miss path: GBA: absent_from_swiss; absent_from_ctd; survives_genecards_gt2 as GBA1=5.5211873; MMP9: swiss_probability_below_0.1 (p=0.000934254325799); absent_from_ctd; survives_genecards_gt2 as MMP9=22.255468; MGEA5: absent_from_swiss; absent_from_ctd; genecards_score_le_2 (OGA=1.3820301). Failure to recover a protein from Swiss plus CTD is a property of this filter, not evidence against the experiments.</w:t>
      </w:r>
    </w:p>
    <w:p>
      <w:pPr>
        <w:spacing w:after="120"/>
        <w:ind w:firstLine="432"/>
      </w:pPr>
      <w:r>
        <w:rPr>
          <w:rFonts w:ascii="Times New Roman" w:hAnsi="Times New Roman"/>
          <w:b w:val="0"/>
          <w:sz w:val="22"/>
        </w:rPr>
        <w:t>Every network-group gene in CTD is an untyped gene-chemical record in this export (network6_ctd_labels.csv).</w:t>
      </w:r>
    </w:p>
    <w:p>
      <w:pPr>
        <w:pStyle w:val="Heading2"/>
      </w:pPr>
      <w:r>
        <w:rPr>
          <w:rFonts w:ascii="Times New Roman" w:hAnsi="Times New Roman"/>
        </w:rPr>
        <w:t>3.3 KEGG rank shift</w:t>
      </w:r>
    </w:p>
    <w:p>
      <w:pPr>
        <w:spacing w:after="120"/>
        <w:ind w:firstLine="432"/>
      </w:pPr>
      <w:r>
        <w:rPr>
          <w:rFonts w:ascii="Times New Roman" w:hAnsi="Times New Roman"/>
          <w:b w:val="0"/>
          <w:sz w:val="22"/>
        </w:rPr>
        <w:t>Same-tool g:Profiler: Strict_14 first KEGG = Apoptosis; Full_67 first KEGG = Lipid and atherosclerosis. Apoptosis enrichment on Strict_14 is largely circular with CTD apoptosis annotations and is not written as a new HCC-specific axis.</w:t>
      </w:r>
    </w:p>
    <w:p>
      <w:pPr>
        <w:pStyle w:val="Heading2"/>
      </w:pPr>
      <w:r>
        <w:rPr>
          <w:rFonts w:ascii="Times New Roman" w:hAnsi="Times New Roman"/>
        </w:rPr>
        <w:t>3.4 Cell-type maps and bulk expression</w:t>
      </w:r>
    </w:p>
    <w:p>
      <w:pPr>
        <w:spacing w:after="120"/>
        <w:ind w:firstLine="432"/>
      </w:pPr>
      <w:r>
        <w:rPr>
          <w:rFonts w:ascii="Times New Roman" w:hAnsi="Times New Roman"/>
          <w:b w:val="0"/>
          <w:sz w:val="22"/>
        </w:rPr>
        <w:t>{"GSE149614_network_mode_class": "Hepatocyte_cholangiocyte", "GSE149614_experimental_mode_class": "Hepatocyte_cholangiocyte", "GSE149614_separated": false, "GSE125449_separated": null, "stop_rule_triggered": true, "continue_celltype_story": false, "rule": "Main-cohort mode peak class of network6 != experimental3 AND GSE125449 also separated. Else stop at threshold grid + miss path.", "MMP9_myeloid_19_of_21": true, "note": "MMP9 myeloid peak is consistent with the original GSE149614 macrophage description and is not treated as a new finding. Group-mode classes did not separate, so the stop-rule remains triggered.", "GSE125449_status": "TISCH2 averages not downloaded; second-cohort map not used to pass the stop-rule."}</w:t>
      </w:r>
    </w:p>
    <w:p>
      <w:pPr>
        <w:spacing w:after="120"/>
        <w:ind w:firstLine="432"/>
      </w:pPr>
      <w:r>
        <w:rPr>
          <w:rFonts w:ascii="Times New Roman" w:hAnsi="Times New Roman"/>
          <w:b w:val="0"/>
          <w:sz w:val="22"/>
        </w:rPr>
        <w:t>In GSE149614 patient-level pseudobulk, MMP9 peaked in myeloid cells in 19 of 21 patients, consistent with the original atlas description of MMP9+ macrophages; that observation is used only as a contrast, not as a new finding. The mode peak class of the six network genes and of the three experimental genes was hepatocyte/cholangiocyte, so the stop-rule was not passed. GSE125449 processed averages were not recovered from TISCH2 in this run.</w:t>
      </w:r>
    </w:p>
    <w:p>
      <w:pPr>
        <w:spacing w:after="120"/>
        <w:ind w:firstLine="432"/>
      </w:pPr>
      <w:r>
        <w:rPr>
          <w:rFonts w:ascii="Times New Roman" w:hAnsi="Times New Roman"/>
          <w:b w:val="0"/>
          <w:sz w:val="22"/>
        </w:rPr>
        <w:t>Stop-rule triggered. The Discussion does not convert the nine genes into a cell-type mechanism of artesunate. Figure 4 is a resource map.</w:t>
      </w:r>
    </w:p>
    <w:p>
      <w:pPr>
        <w:spacing w:after="120"/>
        <w:ind w:firstLine="432"/>
      </w:pPr>
      <w:r>
        <w:rPr>
          <w:rFonts w:ascii="Times New Roman" w:hAnsi="Times New Roman"/>
          <w:b w:val="0"/>
          <w:sz w:val="22"/>
        </w:rPr>
        <w:t>TCGA-LIHC tumor versus adjacent statistics for the nine genes are in TCGA_LIHC_tumor_vs_normal.csv (Wilcoxon, BH). Survival Cox models are supplementary (supplement_TCGA_Cox_OS.csv).</w:t>
      </w:r>
    </w:p>
    <w:p>
      <w:pPr>
        <w:pStyle w:val="Heading2"/>
      </w:pPr>
      <w:r>
        <w:rPr>
          <w:rFonts w:ascii="Times New Roman" w:hAnsi="Times New Roman"/>
        </w:rPr>
        <w:t>3.5 Protocol-valid docking</w:t>
      </w:r>
    </w:p>
    <w:p>
      <w:pPr>
        <w:spacing w:after="120"/>
        <w:ind w:firstLine="432"/>
      </w:pPr>
      <w:r>
        <w:rPr>
          <w:rFonts w:ascii="Times New Roman" w:hAnsi="Times New Roman"/>
          <w:b w:val="0"/>
          <w:sz w:val="22"/>
        </w:rPr>
        <w:t>BCL2/4LVT remains the protocol-valid engineered BH3 groove (GetBestRMS 1.54 A; artesunate -7.5 kcal/mol; DHA -7.9 kcal/mol across three seeds). Experimental-group docking gate: {"n_passed_experimental": 0, "md_section": "omit", "bcl2_4lvt": {"reuse": true, "GetBestRMS": 1.54, "ART": -7.5, "DHA": -7.9, "source": "HA_docking/_p0_tmp/BCL2_4LVT"}, "CASP3_PARP1": "supplement only"}. Scores are geometric compatibility, not Kd. PDB 4LVT is an engineered Bcl-2 construct. 3PTB trypsin is a negative-control pocket that passed redocking (in-place RMSD 0.57 A) and is tabulated only in the supplement.</w:t>
      </w:r>
    </w:p>
    <w:p>
      <w:pPr>
        <w:pStyle w:val="Heading1"/>
      </w:pPr>
      <w:r>
        <w:rPr>
          <w:rFonts w:ascii="Times New Roman" w:hAnsi="Times New Roman"/>
        </w:rPr>
        <w:t>4 Discussion</w:t>
      </w:r>
    </w:p>
    <w:p>
      <w:pPr>
        <w:spacing w:after="120"/>
        <w:ind w:firstLine="432"/>
      </w:pPr>
      <w:r>
        <w:rPr>
          <w:rFonts w:ascii="Times New Roman" w:hAnsi="Times New Roman"/>
          <w:b w:val="0"/>
          <w:sz w:val="22"/>
        </w:rPr>
        <w:t>The usable result is comparative, not therapeutic. Filtering removes STAT3/EGFR/PI3K hubs that originate from Swiss probabilities far below 0.1 and leaves a CTD apoptosis cassette. Experimentally supported GBA, MMP9 and OGA sit outside that cassette for documented miss-path reasons. Single-gene MMP9 myeloid bias in GSE149614 does not satisfy the pre-registered group-mode stop-rule and is not rewritten as an artesunate-macrophage mechanism.</w:t>
      </w:r>
    </w:p>
    <w:p>
      <w:pPr>
        <w:spacing w:after="120"/>
        <w:ind w:firstLine="432"/>
      </w:pPr>
      <w:r>
        <w:rPr>
          <w:rFonts w:ascii="Times New Roman" w:hAnsi="Times New Roman"/>
          <w:b w:val="0"/>
          <w:sz w:val="22"/>
        </w:rPr>
        <w:t>Limitations: no wet experiment; CTD untyped; 4LVT engineered; rigid Vina cannot represent Fe(II)/heme activation of the endoperoxide; GSE125449 cell-type averages were not downloaded; Cox models are univariable and supplementary. We do not infer clinical activity.</w:t>
      </w:r>
    </w:p>
    <w:p>
      <w:pPr>
        <w:pStyle w:val="Heading1"/>
      </w:pPr>
      <w:r>
        <w:rPr>
          <w:rFonts w:ascii="Times New Roman" w:hAnsi="Times New Roman"/>
        </w:rPr>
        <w:t>5 Conclusions</w:t>
      </w:r>
    </w:p>
    <w:p>
      <w:pPr>
        <w:spacing w:after="120"/>
        <w:ind w:firstLine="432"/>
      </w:pPr>
      <w:r>
        <w:rPr>
          <w:rFonts w:ascii="Times New Roman" w:hAnsi="Times New Roman"/>
          <w:b w:val="0"/>
          <w:sz w:val="22"/>
        </w:rPr>
        <w:t>Evidence filtering changes an artesunate-HCC network from STAT3/EGFR/PI3K-centred hubs to CTD apoptosis annotations. GBA, MMP9 and OGA remain outside the filter. Docking claims are restricted to redock-pass pockets, currently BCL2/4LVT. Files are auditable.</w:t>
      </w:r>
    </w:p>
    <w:p>
      <w:pPr>
        <w:pStyle w:val="Heading1"/>
      </w:pPr>
      <w:r>
        <w:rPr>
          <w:rFonts w:ascii="Times New Roman" w:hAnsi="Times New Roman"/>
        </w:rPr>
        <w:t>Data availability</w:t>
      </w:r>
    </w:p>
    <w:p>
      <w:pPr>
        <w:spacing w:after="120"/>
        <w:ind w:firstLine="432"/>
      </w:pPr>
      <w:r>
        <w:rPr>
          <w:rFonts w:ascii="Times New Roman" w:hAnsi="Times New Roman"/>
          <w:b w:val="0"/>
          <w:sz w:val="22"/>
        </w:rPr>
        <w:t>Locked tables, threshold grid, docking logs and scripts: https://github.com/zhazhayv/art-hcc-twogroup and Zenodo https://doi.org/10.5281/zenodo.23156173 (version DOI 10.5281/zenodo.23156174). GEO: GSE149614, GSE125449. TCGA-LIHC via UCSC Xena. HPA JSON accessed on the run date.</w:t>
      </w:r>
    </w:p>
    <w:p>
      <w:pPr>
        <w:pStyle w:val="Heading1"/>
      </w:pPr>
      <w:r>
        <w:rPr>
          <w:rFonts w:ascii="Times New Roman" w:hAnsi="Times New Roman"/>
        </w:rPr>
        <w:t>Conflict of interest</w:t>
      </w:r>
    </w:p>
    <w:p>
      <w:pPr>
        <w:spacing w:after="120"/>
        <w:ind w:firstLine="432"/>
      </w:pPr>
      <w:r>
        <w:rPr>
          <w:rFonts w:ascii="Times New Roman" w:hAnsi="Times New Roman"/>
          <w:b w:val="0"/>
          <w:sz w:val="22"/>
        </w:rPr>
        <w:t>The authors declare that the research was conducted in the absence of any commercial or financial relationships that could be construed as a potential conflict of interest.</w:t>
      </w:r>
    </w:p>
    <w:p>
      <w:pPr>
        <w:pStyle w:val="Heading1"/>
      </w:pPr>
      <w:r>
        <w:rPr>
          <w:rFonts w:ascii="Times New Roman" w:hAnsi="Times New Roman"/>
        </w:rPr>
        <w:t>Author contributions</w:t>
      </w:r>
    </w:p>
    <w:p>
      <w:pPr>
        <w:spacing w:after="120"/>
        <w:ind w:firstLine="432"/>
      </w:pPr>
      <w:r>
        <w:rPr>
          <w:rFonts w:ascii="Times New Roman" w:hAnsi="Times New Roman"/>
          <w:b w:val="0"/>
          <w:sz w:val="22"/>
        </w:rPr>
        <w:t>[To be completed].</w:t>
      </w:r>
    </w:p>
    <w:p>
      <w:pPr>
        <w:pStyle w:val="Heading1"/>
      </w:pPr>
      <w:r>
        <w:rPr>
          <w:rFonts w:ascii="Times New Roman" w:hAnsi="Times New Roman"/>
        </w:rPr>
        <w:t>References</w:t>
      </w:r>
    </w:p>
    <w:p>
      <w:pPr>
        <w:spacing w:after="120"/>
        <w:ind w:firstLine="432"/>
      </w:pPr>
      <w:r>
        <w:rPr>
          <w:rFonts w:ascii="Times New Roman" w:hAnsi="Times New Roman"/>
          <w:b w:val="0"/>
          <w:sz w:val="22"/>
        </w:rPr>
        <w:t>Hopkins AL. Network pharmacology. Nat Biotechnol. 2007.</w:t>
      </w:r>
    </w:p>
    <w:p>
      <w:pPr>
        <w:spacing w:after="120"/>
        <w:ind w:firstLine="432"/>
      </w:pPr>
      <w:r>
        <w:rPr>
          <w:rFonts w:ascii="Times New Roman" w:hAnsi="Times New Roman"/>
          <w:b w:val="0"/>
          <w:sz w:val="22"/>
        </w:rPr>
        <w:t>Szklarczyk D et al. STRING. Nucleic Acids Res.</w:t>
      </w:r>
    </w:p>
    <w:p>
      <w:pPr>
        <w:spacing w:after="120"/>
        <w:ind w:firstLine="432"/>
      </w:pPr>
      <w:r>
        <w:rPr>
          <w:rFonts w:ascii="Times New Roman" w:hAnsi="Times New Roman"/>
          <w:b w:val="0"/>
          <w:sz w:val="22"/>
        </w:rPr>
        <w:t>Raudvere U et al. g:Profiler. Nucleic Acids Res. 2019.</w:t>
      </w:r>
    </w:p>
    <w:p>
      <w:pPr>
        <w:spacing w:after="120"/>
        <w:ind w:firstLine="432"/>
      </w:pPr>
      <w:r>
        <w:rPr>
          <w:rFonts w:ascii="Times New Roman" w:hAnsi="Times New Roman"/>
          <w:b w:val="0"/>
          <w:sz w:val="22"/>
        </w:rPr>
        <w:t>Trott O, Olson AJ. AutoDock Vina. J Comput Chem. 2010.</w:t>
      </w:r>
    </w:p>
    <w:p>
      <w:pPr>
        <w:spacing w:after="120"/>
        <w:ind w:firstLine="432"/>
      </w:pPr>
      <w:r>
        <w:rPr>
          <w:rFonts w:ascii="Times New Roman" w:hAnsi="Times New Roman"/>
          <w:b w:val="0"/>
          <w:sz w:val="22"/>
        </w:rPr>
        <w:t>Chen W et al. Artesunate and GBA in HCC. Exp Mol Med. 2022.</w:t>
      </w:r>
    </w:p>
    <w:p>
      <w:pPr>
        <w:spacing w:after="120"/>
        <w:ind w:firstLine="432"/>
      </w:pPr>
      <w:r>
        <w:rPr>
          <w:rFonts w:ascii="Times New Roman" w:hAnsi="Times New Roman"/>
          <w:b w:val="0"/>
          <w:sz w:val="22"/>
        </w:rPr>
        <w:t>Sun Y et al. GSE149614 ecosystem of early-relapse HCC. Cell. 2021.</w:t>
      </w:r>
    </w:p>
    <w:p>
      <w:pPr>
        <w:spacing w:after="120"/>
        <w:ind w:firstLine="432"/>
      </w:pPr>
      <w:r>
        <w:rPr>
          <w:rFonts w:ascii="Times New Roman" w:hAnsi="Times New Roman"/>
          <w:b w:val="0"/>
          <w:sz w:val="22"/>
        </w:rPr>
        <w:t>Ma L et al. GSE125449 liver cancer ecosystem. Cancer Cell. 2019.</w:t>
      </w:r>
    </w:p>
    <w:p>
      <w:pPr>
        <w:spacing w:after="120"/>
        <w:ind w:firstLine="432"/>
      </w:pPr>
      <w:r>
        <w:rPr>
          <w:rFonts w:ascii="Times New Roman" w:hAnsi="Times New Roman"/>
          <w:b w:val="0"/>
          <w:sz w:val="22"/>
        </w:rPr>
        <w:t>Souers AJ et al. navitoclax analogue BCL2 structure (PDB 4LVT).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