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U卡产品技术架构设计&amp;业务流程设计文档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本文档基于 U 卡产品技术选型及功能需求，全面阐述产品的技术架构设计，涵盖整体架构规划、前后端技术栈、微服务拆分、核心功能模块流程及时序、非功能需求设计等内容，为产品研发、部署、运维提供技术指导和实施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二、整体架构设计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架构整体定位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U 卡产品采用</w:t>
      </w:r>
      <w:r>
        <w:rPr>
          <w:rFonts w:eastAsia="等线" w:ascii="Arial" w:cs="Arial" w:hAnsi="Arial"/>
          <w:b w:val="true"/>
          <w:sz w:val="22"/>
        </w:rPr>
        <w:t>微服务架构</w:t>
      </w:r>
      <w:r>
        <w:rPr>
          <w:rFonts w:eastAsia="等线" w:ascii="Arial" w:cs="Arial" w:hAnsi="Arial"/>
          <w:sz w:val="22"/>
        </w:rPr>
        <w:t>设计，前后端分离，底层依托云原生技术实现弹性扩展、高可用和低延迟，同时满足金融级安全合规、高并发交易处理及全球化运营的业务需求。架构整体分为前端层、API 网关层、微服务层、中间件层、数据存储层、第三方对接层，各层级职责清晰、解耦协作，支撑产品全生命周期的功能实现。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架构分层设计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架构设计目标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成本优化</w:t>
      </w:r>
      <w:r>
        <w:rPr>
          <w:rFonts w:eastAsia="等线" w:ascii="Arial" w:cs="Arial" w:hAnsi="Arial"/>
          <w:sz w:val="22"/>
        </w:rPr>
        <w:t>：分层配置资源，按需弹性扩展，避免过度投入，依托 AWS 托管服务降低运维成本；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运维简化</w:t>
      </w:r>
      <w:r>
        <w:rPr>
          <w:rFonts w:eastAsia="等线" w:ascii="Arial" w:cs="Arial" w:hAnsi="Arial"/>
          <w:sz w:val="22"/>
        </w:rPr>
        <w:t>：标准化微服务部署、监控、日志体系，支持一键扩容、故障自愈；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弹性扩展</w:t>
      </w:r>
      <w:r>
        <w:rPr>
          <w:rFonts w:eastAsia="等线" w:ascii="Arial" w:cs="Arial" w:hAnsi="Arial"/>
          <w:sz w:val="22"/>
        </w:rPr>
        <w:t>：微服务独立部署，可根据业务流量单独扩容核心服务（如钱包、交易），从基础配置平滑升级；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安全合规</w:t>
      </w:r>
      <w:r>
        <w:rPr>
          <w:rFonts w:eastAsia="等线" w:ascii="Arial" w:cs="Arial" w:hAnsi="Arial"/>
          <w:sz w:val="22"/>
        </w:rPr>
        <w:t>：符合金融级安全标准，满足 AML、GDPR、Visa 规范等全球合规要求，数据全链路加密传输存储；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高性能</w:t>
      </w:r>
      <w:r>
        <w:rPr>
          <w:rFonts w:eastAsia="等线" w:ascii="Arial" w:cs="Arial" w:hAnsi="Arial"/>
          <w:sz w:val="22"/>
        </w:rPr>
        <w:t>：支撑 10 万 + 用户同时在线、峰值 1000 笔 / 秒交易处理，核心操作响应时间≤3 秒，页面加载≤2 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三、技术栈选型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后端技术栈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3.1.1 核心开发语言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</w:t>
      </w:r>
      <w:r>
        <w:rPr>
          <w:rFonts w:eastAsia="等线" w:ascii="Arial" w:cs="Arial" w:hAnsi="Arial"/>
          <w:sz w:val="22"/>
        </w:rPr>
        <w:t>：主导微服务开发，用于钱包核心、认证授权、API 网关等核心服务，优势为高性能、高并发、轻量级、编译型语言，适配金融级服务要求；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Node.js</w:t>
      </w:r>
      <w:r>
        <w:rPr>
          <w:rFonts w:eastAsia="等线" w:ascii="Arial" w:cs="Arial" w:hAnsi="Arial"/>
          <w:sz w:val="22"/>
        </w:rPr>
        <w:t>：用于区块链同步、交易处理服务，适配区块链生态开发，高效处理异步 IO 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3.1.2 微服务与中间件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3.1.3 数据存储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PostgreSQL</w:t>
      </w:r>
      <w:r>
        <w:rPr>
          <w:rFonts w:eastAsia="等线" w:ascii="Arial" w:cs="Arial" w:hAnsi="Arial"/>
          <w:sz w:val="22"/>
        </w:rPr>
        <w:t>：关系型数据库，存储用户信息、KYC 数据、卡片信息、交易记录、运营数据等结构化数据，支持事务、复杂查询，满足金融数据一致性要求；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</w:t>
      </w:r>
      <w:r>
        <w:rPr>
          <w:rFonts w:eastAsia="等线" w:ascii="Arial" w:cs="Arial" w:hAnsi="Arial"/>
          <w:sz w:val="22"/>
        </w:rPr>
        <w:t>：内存数据库，缓存高频访问数据（如用户会话、资产余额、汇率）、做分布式锁、限流计数器，提升访问性能。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前端技术栈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核心技术栈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 18 + TypeScript</w:t>
      </w:r>
      <w:r>
        <w:rPr>
          <w:rFonts w:eastAsia="等线" w:ascii="Arial" w:cs="Arial" w:hAnsi="Arial"/>
          <w:sz w:val="22"/>
        </w:rPr>
        <w:t>：现代化前端开发，强类型校验提升代码可维护性，适配复杂交互界面；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Vite</w:t>
      </w:r>
      <w:r>
        <w:rPr>
          <w:rFonts w:eastAsia="等线" w:ascii="Arial" w:cs="Arial" w:hAnsi="Arial"/>
          <w:sz w:val="22"/>
        </w:rPr>
        <w:t>：快速构建工具和开发服务器，提升开发效率和生产环境构建速度；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 Design 5.x</w:t>
      </w:r>
      <w:r>
        <w:rPr>
          <w:rFonts w:eastAsia="等线" w:ascii="Arial" w:cs="Arial" w:hAnsi="Arial"/>
          <w:sz w:val="22"/>
        </w:rPr>
        <w:t>：企业级 UI 组件库，支撑 APP 端、后台管理系统的界面开发；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Tailwind CSS</w:t>
      </w:r>
      <w:r>
        <w:rPr>
          <w:rFonts w:eastAsia="等线" w:ascii="Arial" w:cs="Arial" w:hAnsi="Arial"/>
          <w:sz w:val="22"/>
        </w:rPr>
        <w:t>：实用优先的 CSS 框架，快速实现自定义样式，适配多终端响应式设计。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状态与表单管理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Zustand</w:t>
      </w:r>
      <w:r>
        <w:rPr>
          <w:rFonts w:eastAsia="等线" w:ascii="Arial" w:cs="Arial" w:hAnsi="Arial"/>
          <w:sz w:val="22"/>
        </w:rPr>
        <w:t>：轻量级全局状态管理，替代 Redux，简化状态逻辑，适配前端轻量开发；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 Query</w:t>
      </w:r>
      <w:r>
        <w:rPr>
          <w:rFonts w:eastAsia="等线" w:ascii="Arial" w:cs="Arial" w:hAnsi="Arial"/>
          <w:sz w:val="22"/>
        </w:rPr>
        <w:t>：服务端状态管理和缓存，处理异步数据请求、缓存、刷新、失效；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 Hook Form + Zod</w:t>
      </w:r>
      <w:r>
        <w:rPr>
          <w:rFonts w:eastAsia="等线" w:ascii="Arial" w:cs="Arial" w:hAnsi="Arial"/>
          <w:sz w:val="22"/>
        </w:rPr>
        <w:t>：高性能表单处理，结合 Zod 实现表单校验规则定义，提升用户体验。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3.2.3 路由与导航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 Router 6</w:t>
      </w:r>
      <w:r>
        <w:rPr>
          <w:rFonts w:eastAsia="等线" w:ascii="Arial" w:cs="Arial" w:hAnsi="Arial"/>
          <w:sz w:val="22"/>
        </w:rPr>
        <w:t>：现代化客户端路由，支持嵌套路由、路由守卫，实现基于角色的权限路由控制。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中间件栈（全局拦截器）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系统全局配置 10 大核心中间件，对所有请求进行统一处理，按执行顺序如下：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RequestID</w:t>
      </w:r>
      <w:r>
        <w:rPr>
          <w:rFonts w:eastAsia="等线" w:ascii="Arial" w:cs="Arial" w:hAnsi="Arial"/>
          <w:sz w:val="22"/>
        </w:rPr>
        <w:t>：生成唯一请求 ID，实现请求链路追踪；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Logger</w:t>
      </w:r>
      <w:r>
        <w:rPr>
          <w:rFonts w:eastAsia="等线" w:ascii="Arial" w:cs="Arial" w:hAnsi="Arial"/>
          <w:sz w:val="22"/>
        </w:rPr>
        <w:t>：统一日志输出格式，记录请求、响应、异常信息；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Recovery</w:t>
      </w:r>
      <w:r>
        <w:rPr>
          <w:rFonts w:eastAsia="等线" w:ascii="Arial" w:cs="Arial" w:hAnsi="Arial"/>
          <w:sz w:val="22"/>
        </w:rPr>
        <w:t>：捕获微服务 Panic 异常，实现故障恢复，避免服务崩溃；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CORS</w:t>
      </w:r>
      <w:r>
        <w:rPr>
          <w:rFonts w:eastAsia="等线" w:ascii="Arial" w:cs="Arial" w:hAnsi="Arial"/>
          <w:sz w:val="22"/>
        </w:rPr>
        <w:t>：跨域资源共享配置，支持前端跨域请求；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RateLimit</w:t>
      </w:r>
      <w:r>
        <w:rPr>
          <w:rFonts w:eastAsia="等线" w:ascii="Arial" w:cs="Arial" w:hAnsi="Arial"/>
          <w:sz w:val="22"/>
        </w:rPr>
        <w:t>：API 访问限流，默认 100req/s，burst200，防止恶意请求；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</w:t>
      </w:r>
      <w:r>
        <w:rPr>
          <w:rFonts w:eastAsia="等线" w:ascii="Arial" w:cs="Arial" w:hAnsi="Arial"/>
          <w:sz w:val="22"/>
        </w:rPr>
        <w:t>：设置安全 HTTP 头，防范 XSS、CSRF 等攻击；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JWTAuth</w:t>
      </w:r>
      <w:r>
        <w:rPr>
          <w:rFonts w:eastAsia="等线" w:ascii="Arial" w:cs="Arial" w:hAnsi="Arial"/>
          <w:sz w:val="22"/>
        </w:rPr>
        <w:t>：JWT 令牌验证，校验用户登录状态；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RequirePermission</w:t>
      </w:r>
      <w:r>
        <w:rPr>
          <w:rFonts w:eastAsia="等线" w:ascii="Arial" w:cs="Arial" w:hAnsi="Arial"/>
          <w:sz w:val="22"/>
        </w:rPr>
        <w:t>：细粒度权限控制，校验接口访问权限；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RequireRole</w:t>
      </w:r>
      <w:r>
        <w:rPr>
          <w:rFonts w:eastAsia="等线" w:ascii="Arial" w:cs="Arial" w:hAnsi="Arial"/>
          <w:sz w:val="22"/>
        </w:rPr>
        <w:t>：基于角色的访问控制，区分普通用户、管理员、运营等角色；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Jaeger</w:t>
      </w:r>
      <w:r>
        <w:rPr>
          <w:rFonts w:eastAsia="等线" w:ascii="Arial" w:cs="Arial" w:hAnsi="Arial"/>
          <w:sz w:val="22"/>
        </w:rPr>
        <w:t>：分布式链路追踪，埋点请求数据，实现全链路监控。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四、微服务拆分与部署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微服务整体规划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微服务按</w:t>
      </w:r>
      <w:r>
        <w:rPr>
          <w:rFonts w:eastAsia="等线" w:ascii="Arial" w:cs="Arial" w:hAnsi="Arial"/>
          <w:b w:val="true"/>
          <w:sz w:val="22"/>
        </w:rPr>
        <w:t>业务域 + 技术栈</w:t>
      </w:r>
      <w:r>
        <w:rPr>
          <w:rFonts w:eastAsia="等线" w:ascii="Arial" w:cs="Arial" w:hAnsi="Arial"/>
          <w:sz w:val="22"/>
        </w:rPr>
        <w:t>拆分，分为 Go 微服务和 Node.js 微服务，各服务独立部署、独立扩容，通过 API 网关对外提供服务，内部通过 gRPC/NATS 通信。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Go 微服务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500"/>
        <w:gridCol w:w="23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服务名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依赖服务 / 组件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Kong Gateway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 API 入口、路由转发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Kong Gateway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注册登录身份认证、JWT 令牌生成 / 刷新 / 失效、KYC 认证、账号锁定 / 解锁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PostgreSQL、Redis、Sumsub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straitsX-service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开卡业务、卡消费资金对账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PostgreSQL、Redis、StraitsX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wallet-core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核心钱包服务、地址生成、交易签名、私钥管理、HSM 对接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PostgreSQL、Redis、HSM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HD 钱包地址派生、地址管理、地址白名单 / 黑名单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wallet-core、PostgreSQL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coldhot-service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冷热钱包管理、资产隔离、冷钱包签名、热钱包风控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wallet-core、Redis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消息通知、APP 推送、邮件 / 短信发送、交易提醒、风控预警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NATS JetStream、FCM/APNs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admin-service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后台管理系统 API、系统配置、权限管理、运营数据监控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PostgreSQL、Redis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risk-engine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风控引擎，通过</w:t>
            </w:r>
            <w:r>
              <w:rPr>
                <w:rFonts w:eastAsia="等线" w:ascii="Arial" w:cs="Arial" w:hAnsi="Arial"/>
                <w:b w:val="true"/>
                <w:sz w:val="22"/>
              </w:rPr>
              <w:t>交易监控 + 行为监控</w:t>
            </w:r>
            <w:r>
              <w:rPr>
                <w:rFonts w:eastAsia="等线" w:ascii="Arial" w:cs="Arial" w:hAnsi="Arial"/>
                <w:sz w:val="22"/>
              </w:rPr>
              <w:t>双维度构建全链路反欺诈体系，实现用户操作 / 交易的实时风险识别、分级、处置，保障平台及用户资产安全。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wallet-core、admin-service、PostgreSQL、Redis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Node.js 微服务</w:t>
      </w:r>
      <w:bookmarkEnd w:id="18"/>
    </w:p>
    <w:p>
      <w:pPr>
        <w:spacing w:before="120" w:after="120" w:line="288" w:lineRule="auto"/>
        <w:ind w:left="0"/>
      </w:pPr>
      <w:r>
        <w:object>
          <v:shape id="_x0000_i1027" style="width:414pt;height:6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五、核心功能模块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流程设计说明</w:t>
      </w:r>
      <w:bookmarkEnd w:id="2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参与角色 / 组件</w:t>
      </w:r>
      <w:r>
        <w:rPr>
          <w:rFonts w:eastAsia="等线" w:ascii="Arial" w:cs="Arial" w:hAnsi="Arial"/>
          <w:sz w:val="22"/>
        </w:rPr>
        <w:t>：前端（APP / 后台）、API 网关（api-gateway）、对应业务微服务、数据存储（PostgreSQL/Redis）、第三方服务、消息队列（NATS）；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流程标识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请求</w:t>
      </w:r>
      <w:r>
        <w:rPr>
          <w:rFonts w:eastAsia="等线" w:ascii="Arial" w:cs="Arial" w:hAnsi="Arial"/>
          <w:sz w:val="22"/>
        </w:rPr>
        <w:t>表示前端向网关 / 服务发起请求，</w:t>
      </w:r>
      <w:r>
        <w:rPr>
          <w:rFonts w:eastAsia="Consolas" w:ascii="Consolas" w:cs="Consolas" w:hAnsi="Consolas"/>
          <w:sz w:val="22"/>
          <w:shd w:fill="EFF0F1"/>
        </w:rPr>
        <w:t>转发</w:t>
      </w:r>
      <w:r>
        <w:rPr>
          <w:rFonts w:eastAsia="等线" w:ascii="Arial" w:cs="Arial" w:hAnsi="Arial"/>
          <w:sz w:val="22"/>
        </w:rPr>
        <w:t>表示网关向业务服务转发请求，</w:t>
      </w:r>
      <w:r>
        <w:rPr>
          <w:rFonts w:eastAsia="Consolas" w:ascii="Consolas" w:cs="Consolas" w:hAnsi="Consolas"/>
          <w:sz w:val="22"/>
          <w:shd w:fill="EFF0F1"/>
        </w:rPr>
        <w:t>调用</w:t>
      </w:r>
      <w:r>
        <w:rPr>
          <w:rFonts w:eastAsia="等线" w:ascii="Arial" w:cs="Arial" w:hAnsi="Arial"/>
          <w:sz w:val="22"/>
        </w:rPr>
        <w:t>表示服务间 / 服务向第三方发起请求，</w:t>
      </w:r>
      <w:r>
        <w:rPr>
          <w:rFonts w:eastAsia="Consolas" w:ascii="Consolas" w:cs="Consolas" w:hAnsi="Consolas"/>
          <w:sz w:val="22"/>
          <w:shd w:fill="EFF0F1"/>
        </w:rPr>
        <w:t>持久化</w:t>
      </w:r>
      <w:r>
        <w:rPr>
          <w:rFonts w:eastAsia="等线" w:ascii="Arial" w:cs="Arial" w:hAnsi="Arial"/>
          <w:sz w:val="22"/>
        </w:rPr>
        <w:t>表示数据写入数据库，</w:t>
      </w:r>
      <w:r>
        <w:rPr>
          <w:rFonts w:eastAsia="Consolas" w:ascii="Consolas" w:cs="Consolas" w:hAnsi="Consolas"/>
          <w:sz w:val="22"/>
          <w:shd w:fill="EFF0F1"/>
        </w:rPr>
        <w:t>缓存</w:t>
      </w:r>
      <w:r>
        <w:rPr>
          <w:rFonts w:eastAsia="等线" w:ascii="Arial" w:cs="Arial" w:hAnsi="Arial"/>
          <w:sz w:val="22"/>
        </w:rPr>
        <w:t>表示数据写入 Redis，</w:t>
      </w:r>
      <w:r>
        <w:rPr>
          <w:rFonts w:eastAsia="Consolas" w:ascii="Consolas" w:cs="Consolas" w:hAnsi="Consolas"/>
          <w:sz w:val="22"/>
          <w:shd w:fill="EFF0F1"/>
        </w:rPr>
        <w:t>推送</w:t>
      </w:r>
      <w:r>
        <w:rPr>
          <w:rFonts w:eastAsia="等线" w:ascii="Arial" w:cs="Arial" w:hAnsi="Arial"/>
          <w:sz w:val="22"/>
        </w:rPr>
        <w:t>表示通过消息队列 / 推送服务发送通知；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：所有流程中若出现异常，均由对应服务捕获，记录日志并返回统一格式错误信息，必要时通过 notification-service 推送异常提醒。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用户账户模块 - 用户注册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5.2.1 业务流程</w:t>
      </w:r>
      <w:bookmarkEnd w:id="2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前端收集用户</w:t>
      </w:r>
      <w:r>
        <w:rPr>
          <w:rFonts w:eastAsia="等线" w:ascii="Arial" w:cs="Arial" w:hAnsi="Arial"/>
          <w:strike w:val="true"/>
          <w:sz w:val="22"/>
        </w:rPr>
        <w:t>手机号</w:t>
      </w:r>
      <w:r>
        <w:rPr>
          <w:rFonts w:eastAsia="等线" w:ascii="Arial" w:cs="Arial" w:hAnsi="Arial"/>
          <w:sz w:val="22"/>
        </w:rPr>
        <w:t xml:space="preserve"> / 邮箱，发起验证码获取请求；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系统校验账号未注册后，发送验证码（</w:t>
      </w:r>
      <w:r>
        <w:rPr>
          <w:rFonts w:eastAsia="等线" w:ascii="Arial" w:cs="Arial" w:hAnsi="Arial"/>
          <w:strike w:val="true"/>
          <w:sz w:val="22"/>
        </w:rPr>
        <w:t>短信</w:t>
      </w:r>
      <w:r>
        <w:rPr>
          <w:rFonts w:eastAsia="等线" w:ascii="Arial" w:cs="Arial" w:hAnsi="Arial"/>
          <w:sz w:val="22"/>
        </w:rPr>
        <w:t xml:space="preserve"> / 邮箱），验证码有效期 3 分钟；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用户输入验证码、设置登录密码（8-20 位，字母 + 数字 + 特殊字符）、支付密码（6 位数字），同意服务条款后提交注册；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系统校验密码格式、验证码有效性，对密码进行 AES-256 加密存储；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注册成功后记录注册日志（时间、IP、设备），跳转首页。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5.2.2 时序图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KYC 认证模块 -  KYC 认证(</w:t>
      </w:r>
      <w:r>
        <w:rPr>
          <w:rFonts w:eastAsia="等线" w:ascii="Arial" w:cs="Arial" w:hAnsi="Arial"/>
          <w:b w:val="true"/>
          <w:sz w:val="30"/>
        </w:rPr>
        <w:t>Sumsub</w:t>
      </w:r>
      <w:r>
        <w:rPr>
          <w:rFonts w:eastAsia="等线" w:ascii="Arial" w:cs="Arial" w:hAnsi="Arial"/>
          <w:b w:val="true"/>
          <w:sz w:val="30"/>
        </w:rPr>
        <w:t>)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本节点描述深度融合</w:t>
      </w:r>
      <w:r>
        <w:rPr>
          <w:rFonts w:eastAsia="等线" w:ascii="Arial" w:cs="Arial" w:hAnsi="Arial"/>
          <w:b w:val="true"/>
          <w:sz w:val="22"/>
        </w:rPr>
        <w:t>Sumsub KYC</w:t>
      </w:r>
      <w:r>
        <w:rPr>
          <w:rFonts w:eastAsia="等线" w:ascii="Arial" w:cs="Arial" w:hAnsi="Arial"/>
          <w:sz w:val="22"/>
        </w:rPr>
        <w:t>官方对接规范 KYC 认证流程，技术选型采用</w:t>
      </w:r>
      <w:r>
        <w:rPr>
          <w:rFonts w:eastAsia="等线" w:ascii="Arial" w:cs="Arial" w:hAnsi="Arial"/>
          <w:b w:val="true"/>
          <w:sz w:val="22"/>
        </w:rPr>
        <w:t>后端签名 + SDK 直连</w:t>
      </w:r>
      <w:r>
        <w:rPr>
          <w:rFonts w:eastAsia="等线" w:ascii="Arial" w:cs="Arial" w:hAnsi="Arial"/>
          <w:sz w:val="22"/>
        </w:rPr>
        <w:t>模式，全程遵循 Sumsub 的 Applicant 核心实体管理、HMAC-SHA256 请求签名、Access Token 一次性授权、Webhook 异步回调的技术规范。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5.3.1 对接</w:t>
      </w:r>
      <w:r>
        <w:rPr>
          <w:rFonts w:eastAsia="等线" w:ascii="Arial" w:cs="Arial" w:hAnsi="Arial"/>
          <w:b w:val="true"/>
          <w:sz w:val="28"/>
        </w:rPr>
        <w:t>Sumsub</w:t>
      </w:r>
      <w:r>
        <w:rPr>
          <w:rFonts w:eastAsia="等线" w:ascii="Arial" w:cs="Arial" w:hAnsi="Arial"/>
          <w:b w:val="true"/>
          <w:sz w:val="28"/>
        </w:rPr>
        <w:t>约束</w:t>
      </w:r>
      <w:bookmarkEnd w:id="2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所有对接 Sumsub 的请求均需携带</w:t>
      </w:r>
      <w:r>
        <w:rPr>
          <w:rFonts w:eastAsia="等线" w:ascii="Arial" w:cs="Arial" w:hAnsi="Arial"/>
          <w:b w:val="true"/>
          <w:sz w:val="22"/>
        </w:rPr>
        <w:t>X-App-Token、X-App-Access-Sig、X-App-Access-Ts</w:t>
      </w:r>
      <w:r>
        <w:rPr>
          <w:rFonts w:eastAsia="等线" w:ascii="Arial" w:cs="Arial" w:hAnsi="Arial"/>
          <w:sz w:val="22"/>
        </w:rPr>
        <w:t xml:space="preserve"> 签名头，防止请求篡改；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 Token 为一次性授权，有效期默认 600 秒，仅用于本次 KYC 认证的 SDK 初始化；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Sumsub Sandbox/Production 环境通过 Token 前缀（sbx:）区分，U 卡侧需支持环境无缝切换；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Webhook 回调接口需做验签处理，校验 Sumsub 推送的签名，防止伪造回调请求。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5.3.2 业务流程</w:t>
      </w:r>
      <w:bookmarkEnd w:id="2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已注册登录的用户在 APP 端发起个人 KYC 认证请求，前端将用户 ID 透传至后端；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auth-service 先校验用户身份及未完成 KYC 的状态，随后调用 Sumsub API</w:t>
      </w:r>
      <w:r>
        <w:rPr>
          <w:rFonts w:eastAsia="等线" w:ascii="Arial" w:cs="Arial" w:hAnsi="Arial"/>
          <w:b w:val="true"/>
          <w:sz w:val="22"/>
        </w:rPr>
        <w:t>创建 Applicant 申请者</w:t>
      </w:r>
      <w:r>
        <w:rPr>
          <w:rFonts w:eastAsia="等线" w:ascii="Arial" w:cs="Arial" w:hAnsi="Arial"/>
          <w:sz w:val="22"/>
        </w:rPr>
        <w:t>（Sumsub 核心数据实体），绑定平台用户 ID；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后端按 Sumsub 规范生成</w:t>
      </w:r>
      <w:r>
        <w:rPr>
          <w:rFonts w:eastAsia="等线" w:ascii="Arial" w:cs="Arial" w:hAnsi="Arial"/>
          <w:b w:val="true"/>
          <w:sz w:val="22"/>
        </w:rPr>
        <w:t>Unix 时间戳</w:t>
      </w:r>
      <w:r>
        <w:rPr>
          <w:rFonts w:eastAsia="等线" w:ascii="Arial" w:cs="Arial" w:hAnsi="Arial"/>
          <w:sz w:val="22"/>
        </w:rPr>
        <w:t>，通过</w:t>
      </w:r>
      <w:r>
        <w:rPr>
          <w:rFonts w:eastAsia="等线" w:ascii="Arial" w:cs="Arial" w:hAnsi="Arial"/>
          <w:b w:val="true"/>
          <w:sz w:val="22"/>
        </w:rPr>
        <w:t>HMAC-SHA256</w:t>
      </w:r>
      <w:r>
        <w:rPr>
          <w:rFonts w:eastAsia="等线" w:ascii="Arial" w:cs="Arial" w:hAnsi="Arial"/>
          <w:sz w:val="22"/>
        </w:rPr>
        <w:t xml:space="preserve">算法（基于 Sumsub Secret Key）对请求进行签名，调用 Sumsub </w:t>
      </w:r>
      <w:r>
        <w:rPr>
          <w:rFonts w:eastAsia="Consolas" w:ascii="Consolas" w:cs="Consolas" w:hAnsi="Consolas"/>
          <w:sz w:val="22"/>
          <w:shd w:fill="EFF0F1"/>
        </w:rPr>
        <w:t>/resources/accessTokens</w:t>
      </w:r>
      <w:r>
        <w:rPr>
          <w:rFonts w:eastAsia="等线" w:ascii="Arial" w:cs="Arial" w:hAnsi="Arial"/>
          <w:sz w:val="22"/>
        </w:rPr>
        <w:t xml:space="preserve"> 接口获取</w:t>
      </w:r>
      <w:r>
        <w:rPr>
          <w:rFonts w:eastAsia="等线" w:ascii="Arial" w:cs="Arial" w:hAnsi="Arial"/>
          <w:b w:val="true"/>
          <w:sz w:val="22"/>
        </w:rPr>
        <w:t>一次性 SDK Access Token</w:t>
      </w:r>
      <w:r>
        <w:rPr>
          <w:rFonts w:eastAsia="等线" w:ascii="Arial" w:cs="Arial" w:hAnsi="Arial"/>
          <w:sz w:val="22"/>
        </w:rPr>
        <w:t>（有效期配置为 600 秒）；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前端通过该 Access Token 初始化 Sumsub Web / 移动端 SDK，用户在 SDK 内直连 Sumsub 服务，上传身份证正反面照片（建议分辨率≥300DPI），完成</w:t>
      </w:r>
      <w:r>
        <w:rPr>
          <w:rFonts w:eastAsia="等线" w:ascii="Arial" w:cs="Arial" w:hAnsi="Arial"/>
          <w:b w:val="true"/>
          <w:sz w:val="22"/>
        </w:rPr>
        <w:t>主动活体检测</w:t>
      </w:r>
      <w:r>
        <w:rPr>
          <w:rFonts w:eastAsia="等线" w:ascii="Arial" w:cs="Arial" w:hAnsi="Arial"/>
          <w:sz w:val="22"/>
        </w:rPr>
        <w:t>（摇头 / 眨眼等，Sumsub iBeta PAD 认证）；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Sumsub 对上传材料进行</w:t>
      </w:r>
      <w:r>
        <w:rPr>
          <w:rFonts w:eastAsia="等线" w:ascii="Arial" w:cs="Arial" w:hAnsi="Arial"/>
          <w:b w:val="true"/>
          <w:sz w:val="22"/>
        </w:rPr>
        <w:t>自动审核</w:t>
      </w:r>
      <w:r>
        <w:rPr>
          <w:rFonts w:eastAsia="等线" w:ascii="Arial" w:cs="Arial" w:hAnsi="Arial"/>
          <w:sz w:val="22"/>
        </w:rPr>
        <w:t>（承诺时长≤10 分钟），审核过程中后端可主动查询 Sumsub Applicant 状态；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Sumsub 审核完成后，通过</w:t>
      </w:r>
      <w:r>
        <w:rPr>
          <w:rFonts w:eastAsia="等线" w:ascii="Arial" w:cs="Arial" w:hAnsi="Arial"/>
          <w:b w:val="true"/>
          <w:sz w:val="22"/>
        </w:rPr>
        <w:t>Webhook 异步回调</w:t>
      </w:r>
      <w:r>
        <w:rPr>
          <w:rFonts w:eastAsia="等线" w:ascii="Arial" w:cs="Arial" w:hAnsi="Arial"/>
          <w:sz w:val="22"/>
        </w:rPr>
        <w:t>后端预设接口，推送审核结果（GREEN = 通过 / RED = 拒绝）及审核详情；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后端接收 Webhook 回调后，更新用户 KYC 状态至 PostgreSQL：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审核通过：解锁用户开卡、充值、提现、消费等功能权限；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审核拒绝：返回具体驳回原因（如证件过期、照片模糊、活体检测失败）；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后端记录完整的 KYC 操作日志（含 Sumsub Applicant ID、审核结果、操作时间、IP 等），日志留存≥5 年，同时通过 notification-service 向用户推送 KYC 审核结果通知；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若审核拒绝，用户可在 APP 端重新上传材料，重复上述流程（活体检测失败重试 3 次后引导人工审核，需 Sumsub 人工审核队列支持，产生额外费用）。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5.3.3 时序图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34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5.3.4 对接Sumsub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对接详情查看  :  </w:t>
      </w:r>
      <w:hyperlink r:id="rId13">
        <w:r>
          <w:rPr>
            <w:rFonts w:eastAsia="等线" w:ascii="Arial" w:cs="Arial" w:hAnsi="Arial"/>
            <w:color w:val="3370ff"/>
            <w:sz w:val="22"/>
          </w:rPr>
          <w:t>Sumsub KYC对接指南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5.4 卡片管理模块 - 开卡流程（StraitsX 双层资金结构 / 第三方转账模型对接版）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5.4.1 开卡业务流程说明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本节点开卡流程基于</w:t>
      </w:r>
      <w:r>
        <w:rPr>
          <w:rFonts w:eastAsia="等线" w:ascii="Arial" w:cs="Arial" w:hAnsi="Arial"/>
          <w:b w:val="true"/>
          <w:sz w:val="22"/>
        </w:rPr>
        <w:t>StraitsX 双层资金结构（第三方转账模型）</w:t>
      </w:r>
      <w:r>
        <w:rPr>
          <w:rFonts w:eastAsia="等线" w:ascii="Arial" w:cs="Arial" w:hAnsi="Arial"/>
          <w:sz w:val="22"/>
        </w:rPr>
        <w:t xml:space="preserve"> 设计，核心遵循 “U 卡内部主钱包为资金根账户、StraitsX 卡为消费子账户、卡资金来源绑定 U 卡平台主账户” 的核心规则，开卡前需完成用户注册、KYC 核验、主钱包账户创建等前置动作，卡本身无独立储值账户，仅作为链接平台主账户的支付工具，内部为用户配套创建</w:t>
      </w:r>
      <w:r>
        <w:rPr>
          <w:rFonts w:eastAsia="等线" w:ascii="Arial" w:cs="Arial" w:hAnsi="Arial"/>
          <w:b w:val="true"/>
          <w:sz w:val="22"/>
        </w:rPr>
        <w:t>卡消费额度账户</w:t>
      </w:r>
      <w:r>
        <w:rPr>
          <w:rFonts w:eastAsia="等线" w:ascii="Arial" w:cs="Arial" w:hAnsi="Arial"/>
          <w:sz w:val="22"/>
        </w:rPr>
        <w:t>（初始额度 0，需从主钱包划转资金激活）。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5.4.1.1 前置条件</w:t>
      </w:r>
      <w:bookmarkEnd w:id="3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用户已完成 U 卡 APP 注册，且 KYC 核验（对接第三方 / 自有 KYC 服务）通过；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用户已在 U 卡平台创建</w:t>
      </w:r>
      <w:r>
        <w:rPr>
          <w:rFonts w:eastAsia="等线" w:ascii="Arial" w:cs="Arial" w:hAnsi="Arial"/>
          <w:b w:val="true"/>
          <w:sz w:val="22"/>
        </w:rPr>
        <w:t>主钱包账户</w:t>
      </w:r>
      <w:r>
        <w:rPr>
          <w:rFonts w:eastAsia="等线" w:ascii="Arial" w:cs="Arial" w:hAnsi="Arial"/>
          <w:sz w:val="22"/>
        </w:rPr>
        <w:t>（支持 USDT 等稳定币存储），账户状态正常；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 卡平台已完成 StraitsX 企业级对接：开通 Production 环境、获取 API 密钥、配置平台主账户（funding_source）、完成企业 KYC。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5.4.1.2  关键约束</w:t>
      </w:r>
      <w:bookmarkEnd w:id="32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所有与 StraitsX 的 API 交互由专属</w:t>
      </w:r>
      <w:r>
        <w:rPr>
          <w:rFonts w:eastAsia="Consolas" w:ascii="Consolas" w:cs="Consolas" w:hAnsi="Consolas"/>
          <w:sz w:val="22"/>
          <w:shd w:fill="EFF0F1"/>
        </w:rPr>
        <w:t>straitsX-service</w:t>
      </w:r>
      <w:r>
        <w:rPr>
          <w:rFonts w:eastAsia="等线" w:ascii="Arial" w:cs="Arial" w:hAnsi="Arial"/>
          <w:sz w:val="22"/>
        </w:rPr>
        <w:t>处理，统一封装签名、环境区分（Sandbox/Production）、接口重试逻辑；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 StraitsX 发起的发卡请求，必须指定</w:t>
      </w:r>
      <w:r>
        <w:rPr>
          <w:rFonts w:eastAsia="Consolas" w:ascii="Consolas" w:cs="Consolas" w:hAnsi="Consolas"/>
          <w:sz w:val="22"/>
          <w:shd w:fill="EFF0F1"/>
        </w:rPr>
        <w:t>funding_source</w:t>
      </w:r>
      <w:r>
        <w:rPr>
          <w:rFonts w:eastAsia="等线" w:ascii="Arial" w:cs="Arial" w:hAnsi="Arial"/>
          <w:sz w:val="22"/>
        </w:rPr>
        <w:t>为 U 卡平台主账户 ID，确保卡的资金扣划链路指向平台主账户；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卡信息（card_id、CVV、有效期等）需做加密存储，APP 端仅展示脱敏信息（卡号后四位、隐藏 CVV 等）；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开卡过程中与 StraitsX 的核心接口调用（创建客户档案、发卡）需做</w:t>
      </w:r>
      <w:r>
        <w:rPr>
          <w:rFonts w:eastAsia="等线" w:ascii="Arial" w:cs="Arial" w:hAnsi="Arial"/>
          <w:b w:val="true"/>
          <w:sz w:val="22"/>
        </w:rPr>
        <w:t>幂等处理</w:t>
      </w:r>
      <w:r>
        <w:rPr>
          <w:rFonts w:eastAsia="等线" w:ascii="Arial" w:cs="Arial" w:hAnsi="Arial"/>
          <w:sz w:val="22"/>
        </w:rPr>
        <w:t>，防止重复创建档案 / 卡片；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申卡费用扣减、卡信息绑定、消费额度账户创建为</w:t>
      </w:r>
      <w:r>
        <w:rPr>
          <w:rFonts w:eastAsia="等线" w:ascii="Arial" w:cs="Arial" w:hAnsi="Arial"/>
          <w:b w:val="true"/>
          <w:sz w:val="22"/>
        </w:rPr>
        <w:t>原子操作</w:t>
      </w:r>
      <w:r>
        <w:rPr>
          <w:rFonts w:eastAsia="等线" w:ascii="Arial" w:cs="Arial" w:hAnsi="Arial"/>
          <w:sz w:val="22"/>
        </w:rPr>
        <w:t>，需通过事务保证数据一致性。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5.4.1.3 业务流程</w:t>
      </w:r>
      <w:bookmarkEnd w:id="3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 APP 端选择开卡类型（虚拟卡 / 实体卡），发起开卡申请；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平台校验用户前置状态（ KYC / 主钱包(无钱包账户则创建默认账户)），校验通过后扣减(锁定)申卡费用（从用户主钱包扣除，无费用则结束流程并提示用户充值）；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平台以用户信息为依据，调用 StraitsX API 创建</w:t>
      </w:r>
      <w:r>
        <w:rPr>
          <w:rFonts w:eastAsia="等线" w:ascii="Arial" w:cs="Arial" w:hAnsi="Arial"/>
          <w:b w:val="true"/>
          <w:sz w:val="22"/>
        </w:rPr>
        <w:t>客户档案（Customer Profile）</w:t>
      </w:r>
      <w:r>
        <w:rPr>
          <w:rFonts w:eastAsia="等线" w:ascii="Arial" w:cs="Arial" w:hAnsi="Arial"/>
          <w:sz w:val="22"/>
        </w:rPr>
        <w:t>（仅合规关联标识，无储值功能）；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基于已创建的 StraitsX 客户档案 ID，调用 StraitsX 发卡 API，指定</w:t>
      </w:r>
      <w:r>
        <w:rPr>
          <w:rFonts w:eastAsia="等线" w:ascii="Arial" w:cs="Arial" w:hAnsi="Arial"/>
          <w:b w:val="true"/>
          <w:sz w:val="22"/>
        </w:rPr>
        <w:t>U 卡平台主账户为卡资金来源</w:t>
      </w:r>
      <w:r>
        <w:rPr>
          <w:rFonts w:eastAsia="等线" w:ascii="Arial" w:cs="Arial" w:hAnsi="Arial"/>
          <w:sz w:val="22"/>
        </w:rPr>
        <w:t>，发起虚拟 / 实体卡申请；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StraitsX 返回卡核心信息（card_id、卡号后四位、有效期、CVV &lt;虚拟卡&gt; 等），平台将用户 ID 与 StraitsX 客户档案 ID、卡 ID 进行三方绑定；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平台为用户</w:t>
      </w:r>
      <w:r>
        <w:rPr>
          <w:rFonts w:eastAsia="等线" w:ascii="Arial" w:cs="Arial" w:hAnsi="Arial"/>
          <w:b w:val="true"/>
          <w:sz w:val="22"/>
        </w:rPr>
        <w:t>内部创建卡消费额度账户</w:t>
      </w:r>
      <w:r>
        <w:rPr>
          <w:rFonts w:eastAsia="等线" w:ascii="Arial" w:cs="Arial" w:hAnsi="Arial"/>
          <w:sz w:val="22"/>
        </w:rPr>
        <w:t>（初始额度 0，与主钱包账户关联），并存储所有卡信息至数据库；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平台记录开卡全流程日志（含扣费、StraitsX 接口调用、卡信息等），并向用户推送开卡结果通知；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端展示卡基础信息（隐藏敏感字段），同时提供 “从主钱包划转资金至卡消费额度” 的操作入口，完成开卡全流程。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5.4.2 时序图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14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5.4.3 对接StraitsX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对接详情查看  :  </w:t>
      </w:r>
      <w:hyperlink r:id="rId15">
        <w:r>
          <w:rPr>
            <w:rFonts w:eastAsia="等线" w:ascii="Arial" w:cs="Arial" w:hAnsi="Arial"/>
            <w:color w:val="3370ff"/>
            <w:sz w:val="22"/>
          </w:rPr>
          <w:t>U卡&amp;StraitsX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5.5 资产管理模块 - 链上充值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5.5.1 业务流程</w:t>
      </w:r>
      <w:bookmarkEnd w:id="3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KYC 认证的用户进入充值页面，选择充值币种及对应公链网络（如 BTC、ETH）；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系统调用 wallet-core + address-service 生成专属充值地址及二维码；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用户通过外部钱包向该地址转账，chain-sync 服务实时同步链上数据，监控充值到账状态；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链上确认后，系统将资产划入用户资金账户，更新资产余额（PostgreSQL+Redis）；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若用户为被邀请人，触发返佣核算，通过 notification-service 推送充值到账通知。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5.5.2 时序图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5.6 支付消费模块 - 线下消费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5.6.1 业务流程</w:t>
      </w:r>
      <w:bookmarkEnd w:id="40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用户将实体卡 / 虚拟卡绑定至 Apple Pay/Google Pay，在 Visa 商户进行线下消费；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商户 POS 机发起交易请求，经 Visa 网络转发至发卡商接口，发卡商调用 U 卡发卡商对接服务；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系统校验卡片状态（正常 / 未冻结）、卡片账户余额充足，自动将加密货币兑换为消费法币；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系统扣除对应金额及手续费；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交易授权通过后，返回交易成功至 Visa 网络及商户，同时记录交易日志，推送交易通知至用户 APP。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5.6.2 时序图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72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5.7 风控合规模块 - 实时风控监控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5.7.1 业务流程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U卡平台构建风控监控系统目标是通过</w:t>
      </w:r>
      <w:r>
        <w:rPr>
          <w:rFonts w:eastAsia="等线" w:ascii="Arial" w:cs="Arial" w:hAnsi="Arial"/>
          <w:b w:val="true"/>
          <w:sz w:val="22"/>
        </w:rPr>
        <w:t>交易监控 + 行为监控</w:t>
      </w:r>
      <w:r>
        <w:rPr>
          <w:rFonts w:eastAsia="等线" w:ascii="Arial" w:cs="Arial" w:hAnsi="Arial"/>
          <w:sz w:val="22"/>
        </w:rPr>
        <w:t>双维度构建全链路反欺诈体系，实现用户操作 / 交易的实时风险识别、分级、处置，保障平台及用户资产安全。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核心围绕「风险规则引擎 + 用户风险画像」打造，交易监控聚焦充值 / 提现等资金类操作，行为监控覆盖账户操作类高风险行为，所有风控规则支持后台可视化配置、实时生效，具体流程如下：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前置准备</w:t>
      </w:r>
      <w:r>
        <w:rPr>
          <w:rFonts w:eastAsia="等线" w:ascii="Arial" w:cs="Arial" w:hAnsi="Arial"/>
          <w:sz w:val="22"/>
        </w:rPr>
        <w:t>：后台风控模块预设基础风险规则（交易阈值、制裁名单、高风险 IP 库、行为风险判定标准），并为每个用户初始化</w:t>
      </w:r>
      <w:r>
        <w:rPr>
          <w:rFonts w:eastAsia="等线" w:ascii="Arial" w:cs="Arial" w:hAnsi="Arial"/>
          <w:b w:val="true"/>
          <w:sz w:val="22"/>
        </w:rPr>
        <w:t>风险画像档案</w:t>
      </w:r>
      <w:r>
        <w:rPr>
          <w:rFonts w:eastAsia="等线" w:ascii="Arial" w:cs="Arial" w:hAnsi="Arial"/>
          <w:sz w:val="22"/>
        </w:rPr>
        <w:t>（初始风险等级为低，风险分值为 0）。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行为监控</w:t>
      </w:r>
      <w:r>
        <w:rPr>
          <w:rFonts w:eastAsia="等线" w:ascii="Arial" w:cs="Arial" w:hAnsi="Arial"/>
          <w:sz w:val="22"/>
        </w:rPr>
        <w:t>：用户在平台执行账户操作（登录 / 修改手机号 / 找回密码 / 设备更换等），操作请求经网关转发至对应业务服务，同时</w:t>
      </w:r>
      <w:r>
        <w:rPr>
          <w:rFonts w:eastAsia="等线" w:ascii="Arial" w:cs="Arial" w:hAnsi="Arial"/>
          <w:b w:val="true"/>
          <w:sz w:val="22"/>
        </w:rPr>
        <w:t>异步推送操作行为数据至风控引擎</w:t>
      </w:r>
      <w:r>
        <w:rPr>
          <w:rFonts w:eastAsia="等线" w:ascii="Arial" w:cs="Arial" w:hAnsi="Arial"/>
          <w:sz w:val="22"/>
        </w:rPr>
        <w:t>；风控引擎匹配行为风险规则，对高风险操作（如多次登录失败、异地改绑手机）进行</w:t>
      </w:r>
      <w:r>
        <w:rPr>
          <w:rFonts w:eastAsia="等线" w:ascii="Arial" w:cs="Arial" w:hAnsi="Arial"/>
          <w:b w:val="true"/>
          <w:sz w:val="22"/>
        </w:rPr>
        <w:t>实时风险分值累加</w:t>
      </w:r>
      <w:r>
        <w:rPr>
          <w:rFonts w:eastAsia="等线" w:ascii="Arial" w:cs="Arial" w:hAnsi="Arial"/>
          <w:sz w:val="22"/>
        </w:rPr>
        <w:t>，更新用户风险画像；根据风险等级触发处置动作（轻度风险：发送预警通知；中度风险：临时限制操作；重度风险：锁定账户），并记录行为风控日志。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交易监控</w:t>
      </w:r>
      <w:r>
        <w:rPr>
          <w:rFonts w:eastAsia="等线" w:ascii="Arial" w:cs="Arial" w:hAnsi="Arial"/>
          <w:sz w:val="22"/>
        </w:rPr>
        <w:t>：用户发起充值 / 提现等资金交易请求，请求经网关后，</w:t>
      </w:r>
      <w:r>
        <w:rPr>
          <w:rFonts w:eastAsia="等线" w:ascii="Arial" w:cs="Arial" w:hAnsi="Arial"/>
          <w:b w:val="true"/>
          <w:sz w:val="22"/>
        </w:rPr>
        <w:t>先同步转发至风控引擎进行前置风险校验</w:t>
      </w:r>
      <w:r>
        <w:rPr>
          <w:rFonts w:eastAsia="等线" w:ascii="Arial" w:cs="Arial" w:hAnsi="Arial"/>
          <w:sz w:val="22"/>
        </w:rPr>
        <w:t>，再由业务服务执行交易逻辑；风控引擎结合</w:t>
      </w:r>
      <w:r>
        <w:rPr>
          <w:rFonts w:eastAsia="等线" w:ascii="Arial" w:cs="Arial" w:hAnsi="Arial"/>
          <w:b w:val="true"/>
          <w:sz w:val="22"/>
        </w:rPr>
        <w:t>交易规则（阈值 / 制裁名单 / 高风险 IP）+ 用户实时风险画像</w:t>
      </w:r>
      <w:r>
        <w:rPr>
          <w:rFonts w:eastAsia="等线" w:ascii="Arial" w:cs="Arial" w:hAnsi="Arial"/>
          <w:sz w:val="22"/>
        </w:rPr>
        <w:t>进行综合判定，快速决策交易「放行 / 拦截」；放行则继续执行交易流程，拦截则直接返回交易失败并提示原因，同时累加用户风险分值、记录交易风控日志；交易完成后，风控引擎异步留存交易风险数据，持续优化用户风险画像。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风险处置与申诉</w:t>
      </w:r>
      <w:r>
        <w:rPr>
          <w:rFonts w:eastAsia="等线" w:ascii="Arial" w:cs="Arial" w:hAnsi="Arial"/>
          <w:sz w:val="22"/>
        </w:rPr>
        <w:t>：风控触发的预警 / 限制 / 锁定动作，均通过通知服务推送至用户 APP 端，明确告知风险原因；低风险（仅预警）、中风险（限制操作 + 预警）、高风险（拦截 / 锁定 + 通知）；用户对风控结果有异议可提交申诉，运营后台接收申诉工单后，人工复核风控数据及用户举证材料，复核通过则解除限制、重置风险分值，复核不通过则维持处置结果，并更新风控规则优化库。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日志与合规</w:t>
      </w:r>
      <w:r>
        <w:rPr>
          <w:rFonts w:eastAsia="等线" w:ascii="Arial" w:cs="Arial" w:hAnsi="Arial"/>
          <w:sz w:val="22"/>
        </w:rPr>
        <w:t>：所有风控操作（规则匹配、风险分级、处置动作、申诉结果）均生成</w:t>
      </w:r>
      <w:r>
        <w:rPr>
          <w:rFonts w:eastAsia="等线" w:ascii="Arial" w:cs="Arial" w:hAnsi="Arial"/>
          <w:b w:val="true"/>
          <w:sz w:val="22"/>
        </w:rPr>
        <w:t>风控日志</w:t>
      </w:r>
      <w:r>
        <w:rPr>
          <w:rFonts w:eastAsia="等线" w:ascii="Arial" w:cs="Arial" w:hAnsi="Arial"/>
          <w:sz w:val="22"/>
        </w:rPr>
        <w:t>，留存≥5 年，包含操作人、时间、IP、设备、风险原因、处置结果等关键信息，满足 AML 反洗钱、监管审计等合规要求。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5.7.2 风控规则说明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交易监控（可后台配置 / 调整）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额度阈值规则：按用户 KYC 等级设置单日 / 单月充值 / 提现累计阈值，超限则拦截；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制裁名单筛查：内置全球制裁名单库，实时匹配用户姓名 / 证件号 / 交易地址，命中则拦截；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 IP / 地区规则：内置高风险国家 / 地区 IP 库，交易发起 IP 命中则触发风险预警 / 拦截；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交易行为规则：短时间内频繁发起小额充值 / 提现、跨时段大额交易等异常行为，触发拦截；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风险画像关联规则：用户实时风险等级为中 / 高时，触发交易二次校验 / 直接拦截。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行为监控（可后台配置 / 调整）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账户登录规则：单日登录失败≥3 次、异地登录（与常用 IP / 地区不符）、新设备登录，触发预警 / 临时锁定；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敏感信息修改规则：单日多次申请修改手机号 / 邮箱、改绑手机与常用设备不符，触发限制 / 风险分值累加；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密码操作规则：短时间内多次找回 / 重置密码，触发临时限制操作；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设备操作规则：频繁更换登录设备、设备信息异常（模拟器 / ROOT 设备），触发风险预警。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5.7.3 风控核心能力</w:t>
      </w:r>
      <w:bookmarkEnd w:id="4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规则可视化</w:t>
      </w:r>
      <w:r>
        <w:rPr>
          <w:rFonts w:eastAsia="等线" w:ascii="Arial" w:cs="Arial" w:hAnsi="Arial"/>
          <w:sz w:val="22"/>
        </w:rPr>
        <w:t>：后台支持风控规则的新增、修改、删除，规则生效无需重启服务，支持灰度配置；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风险画像动态更新</w:t>
      </w:r>
      <w:r>
        <w:rPr>
          <w:rFonts w:eastAsia="等线" w:ascii="Arial" w:cs="Arial" w:hAnsi="Arial"/>
          <w:sz w:val="22"/>
        </w:rPr>
        <w:t>：基于用户行为 / 交易数据，实时累加 / 扣减风险分值，动态调整风险等级（低 / 中 / 高）；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风险分级处置</w:t>
      </w:r>
      <w:r>
        <w:rPr>
          <w:rFonts w:eastAsia="等线" w:ascii="Arial" w:cs="Arial" w:hAnsi="Arial"/>
          <w:sz w:val="22"/>
        </w:rPr>
        <w:t>：按风险分值划分低（0-20）、中（21-60）、高（61-100）三级，对应不同处置动作，精准风控；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 + 同步结合</w:t>
      </w:r>
      <w:r>
        <w:rPr>
          <w:rFonts w:eastAsia="等线" w:ascii="Arial" w:cs="Arial" w:hAnsi="Arial"/>
          <w:sz w:val="22"/>
        </w:rPr>
        <w:t>：行为监控采用</w:t>
      </w:r>
      <w:r>
        <w:rPr>
          <w:rFonts w:eastAsia="等线" w:ascii="Arial" w:cs="Arial" w:hAnsi="Arial"/>
          <w:b w:val="true"/>
          <w:sz w:val="22"/>
        </w:rPr>
        <w:t>异步推送</w:t>
      </w:r>
      <w:r>
        <w:rPr>
          <w:rFonts w:eastAsia="等线" w:ascii="Arial" w:cs="Arial" w:hAnsi="Arial"/>
          <w:sz w:val="22"/>
        </w:rPr>
        <w:t>，不影响用户正常操作体验；交易监控采用</w:t>
      </w:r>
      <w:r>
        <w:rPr>
          <w:rFonts w:eastAsia="等线" w:ascii="Arial" w:cs="Arial" w:hAnsi="Arial"/>
          <w:b w:val="true"/>
          <w:sz w:val="22"/>
        </w:rPr>
        <w:t>同步前置校验</w:t>
      </w:r>
      <w:r>
        <w:rPr>
          <w:rFonts w:eastAsia="等线" w:ascii="Arial" w:cs="Arial" w:hAnsi="Arial"/>
          <w:sz w:val="22"/>
        </w:rPr>
        <w:t>，确保资金交易风险前置拦截；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日志全链路追溯</w:t>
      </w:r>
      <w:r>
        <w:rPr>
          <w:rFonts w:eastAsia="等线" w:ascii="Arial" w:cs="Arial" w:hAnsi="Arial"/>
          <w:sz w:val="22"/>
        </w:rPr>
        <w:t>：风控日志与业务日志、交易日志关联，支持按用户 ID / 交易 ID / 风控事件溯源，便于问题排查和合规审计。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5.7.4 行为风控时序图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62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5.7.5 交易风控时序图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05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5.7.6 风控申诉处理流程（兜底，解决风控误判问题）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5.7.7 风控引擎设计要点</w:t>
      </w:r>
      <w:bookmarkEnd w:id="49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规则引擎解耦</w:t>
      </w:r>
      <w:r>
        <w:rPr>
          <w:rFonts w:eastAsia="等线" w:ascii="Arial" w:cs="Arial" w:hAnsi="Arial"/>
          <w:sz w:val="22"/>
        </w:rPr>
        <w:t>：风控规则与业务逻辑完全解耦，规则以「配置化」形式存储于数据库，支持按</w:t>
      </w:r>
      <w:r>
        <w:rPr>
          <w:rFonts w:eastAsia="等线" w:ascii="Arial" w:cs="Arial" w:hAnsi="Arial"/>
          <w:b w:val="true"/>
          <w:sz w:val="22"/>
        </w:rPr>
        <w:t xml:space="preserve">用户等级 / </w:t>
      </w:r>
      <w:r>
        <w:rPr>
          <w:rFonts w:eastAsia="等线" w:ascii="Arial" w:cs="Arial" w:hAnsi="Arial"/>
          <w:b w:val="true"/>
          <w:strike w:val="true"/>
          <w:sz w:val="22"/>
        </w:rPr>
        <w:t>KYC</w:t>
      </w:r>
      <w:r>
        <w:rPr>
          <w:rFonts w:eastAsia="等线" w:ascii="Arial" w:cs="Arial" w:hAnsi="Arial"/>
          <w:b w:val="true"/>
          <w:sz w:val="22"/>
        </w:rPr>
        <w:t xml:space="preserve"> / 地区</w:t>
      </w:r>
      <w:r>
        <w:rPr>
          <w:rFonts w:eastAsia="等线" w:ascii="Arial" w:cs="Arial" w:hAnsi="Arial"/>
          <w:sz w:val="22"/>
        </w:rPr>
        <w:t>配置不同规则集，实现精细化风控；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双缓存设计</w:t>
      </w:r>
      <w:r>
        <w:rPr>
          <w:rFonts w:eastAsia="等线" w:ascii="Arial" w:cs="Arial" w:hAnsi="Arial"/>
          <w:sz w:val="22"/>
        </w:rPr>
        <w:t>：高风险 IP 库、制裁名单、风控规则等静态数据缓存至 Redis，提升规则匹配效率；用户实时风险分值 / 等级缓存至 Redis，实现毫秒级查询；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分值动态计算</w:t>
      </w:r>
      <w:r>
        <w:rPr>
          <w:rFonts w:eastAsia="等线" w:ascii="Arial" w:cs="Arial" w:hAnsi="Arial"/>
          <w:sz w:val="22"/>
        </w:rPr>
        <w:t>：风险分值采用「累加 + 衰减」机制，高风险行为累加分值，连续 30 天无风险行为则自动衰减分值（每天衰减 5 分），避免用户长期处于高风险等级；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异步消峰</w:t>
      </w:r>
      <w:r>
        <w:rPr>
          <w:rFonts w:eastAsia="等线" w:ascii="Arial" w:cs="Arial" w:hAnsi="Arial"/>
          <w:sz w:val="22"/>
        </w:rPr>
        <w:t>：行为监控采用异步推送，通过消息队列（NATS JetStream）削峰，避免风控引擎被高并发行为数据压垮；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幂等性设计</w:t>
      </w:r>
      <w:r>
        <w:rPr>
          <w:rFonts w:eastAsia="等线" w:ascii="Arial" w:cs="Arial" w:hAnsi="Arial"/>
          <w:sz w:val="22"/>
        </w:rPr>
        <w:t>：风控引擎所有操作均做幂等性处理，避免因重复推送数据导致风险分值重复累加、风控日志重复生成；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：风控引擎对接平台监控体系，实时监控规则匹配率、风险拦截率、误判率等核心指标，指标异常时触发运营告警，便于及时调整规则。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5.8 用户资产钱包私钥加密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5.8.1 钱包私钥加密方案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AWS KMS 加密用户钱包私钥方案: </w:t>
      </w:r>
      <w:hyperlink r:id="rId21">
        <w:r>
          <w:rPr>
            <w:rFonts w:eastAsia="等线" w:ascii="Arial" w:cs="Arial" w:hAnsi="Arial"/>
            <w:color w:val="3370ff"/>
            <w:sz w:val="22"/>
          </w:rPr>
          <w:t>用户资产钱包私钥加密方案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5.8.2 业务流程时序图</w:t>
      </w:r>
      <w:bookmarkEnd w:id="5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77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六、非功能需求设计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6.1 性能需求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6.1.1 响应速度</w:t>
      </w:r>
      <w:bookmarkEnd w:id="55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首页加载时间≤2 秒，核心操作（开卡、充值、消费、冻结）响应时间≤3 秒；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链上交易确认同步时间≤5 分钟（受链上拥堵影响除外），汇率数据每 5 分钟刷新一次；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接口查询响应时间≤2 秒（如交易记录、资产余额、KYC 状态）。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6.1.2 并发能力</w:t>
      </w:r>
      <w:bookmarkEnd w:id="5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10 万 + 用户同时在线，峰值并发开卡请求≥1000 笔 / 秒；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峰值交易处理能力≥1000 笔 / 秒（消费、充值、提现），API 网关限流默认 100req/s（burst200）。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6.1.3 稳定性</w:t>
      </w:r>
      <w:bookmarkEnd w:id="57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崩溃率≤0.01%，服务器可用性≥99.9%，全年故障停机时间≤8.76 小时；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链上数据同步成功率≥99.95%，第三方接口调用失败支持自动重试（超时时间 10 秒）；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微服务故障时，通过 API 网关熔断机制，避免故障扩散，核心服务支持故障自愈。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6.1.4 兼容性</w:t>
      </w:r>
      <w:bookmarkEnd w:id="58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前端适配 iOS 12.0 及以上、Android 8.0 及以上版本，支持不同屏幕尺寸的手机设备；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后台管理系统支持主流浏览器（Chrome、Firefox、Edge、Safari），版本为最新 3 个大版本；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第三方接口对接遵循标准化协议，支持多链、多交易所、多发卡商的兼容扩展。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6.2 安全需求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6.2.1 数据加密</w:t>
      </w:r>
      <w:bookmarkEnd w:id="60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用户敏感信息（手机号、邮箱、身份证、卡号）、交易数据、支付密码采用</w:t>
      </w:r>
      <w:r>
        <w:rPr>
          <w:rFonts w:eastAsia="等线" w:ascii="Arial" w:cs="Arial" w:hAnsi="Arial"/>
          <w:b w:val="true"/>
          <w:sz w:val="22"/>
        </w:rPr>
        <w:t>AES-256</w:t>
      </w:r>
      <w:r>
        <w:rPr>
          <w:rFonts w:eastAsia="等线" w:ascii="Arial" w:cs="Arial" w:hAnsi="Arial"/>
          <w:sz w:val="22"/>
        </w:rPr>
        <w:t>加密存储；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数据传输采用 HTTPS/TLS 1.3 协议，微服务内部通信采用 gRPC 加密，第三方接口调用采用签名验证；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加密密钥定期轮换，采用 AWS KMS 进行硬件级密钥管理，防止密钥泄露。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6.2.2 身份验证</w:t>
      </w:r>
      <w:bookmarkEnd w:id="61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敏感操作（登录、支付、修改手机号 / 密码、冻结 / 解冻卡片）需</w:t>
      </w:r>
      <w:r>
        <w:rPr>
          <w:rFonts w:eastAsia="等线" w:ascii="Arial" w:cs="Arial" w:hAnsi="Arial"/>
          <w:b w:val="true"/>
          <w:sz w:val="22"/>
        </w:rPr>
        <w:t>双重验证</w:t>
      </w:r>
      <w:r>
        <w:rPr>
          <w:rFonts w:eastAsia="等线" w:ascii="Arial" w:cs="Arial" w:hAnsi="Arial"/>
          <w:sz w:val="22"/>
        </w:rPr>
        <w:t>（密码 + 验证码 / 生物识别）；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生物识别对接系统原生 SDK（iOS FaceID/TouchID、Android 指纹识别），不存储生物识别原始数据；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 / 验证码 / 生物识别失败 3 次后，临时锁定账户 / 功能 1 小时，防止暴力破解。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6.2.3 防攻击能力</w:t>
      </w:r>
      <w:bookmarkEnd w:id="62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抵御常见网络攻击：SQL 注入、XSS 跨站脚本、CSRF、DDoS、中间人攻击等；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定期开展安全渗透测试（频率≥每季度 1 次），建立安全漏洞应急响应机制，漏洞修复时长≤24 小时；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接口添加请求签名、防重放机制，充值 / 提现接口采用幂等性设计，防止重复操作。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6.2.4 日志留存</w:t>
      </w:r>
      <w:bookmarkEnd w:id="63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所有操作日志（注册、登录、KYC、开卡、交易）、风控日志、系统日志留存</w:t>
      </w:r>
      <w:r>
        <w:rPr>
          <w:rFonts w:eastAsia="等线" w:ascii="Arial" w:cs="Arial" w:hAnsi="Arial"/>
          <w:b w:val="true"/>
          <w:sz w:val="22"/>
        </w:rPr>
        <w:t>至少 5 年</w:t>
      </w:r>
      <w:r>
        <w:rPr>
          <w:rFonts w:eastAsia="等线" w:ascii="Arial" w:cs="Arial" w:hAnsi="Arial"/>
          <w:sz w:val="22"/>
        </w:rPr>
        <w:t>，满足合规审计要求；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日志包含时间、操作人、IP、设备、操作内容、结果等关键信息，采用加密存储，访问权限分级管控；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日志支持按多维度筛选、查询、导出，便于问题排查和监管机构核查。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6.3 合规需求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6.3.1 牌照合规</w:t>
      </w:r>
      <w:bookmarkEnd w:id="65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持有</w:t>
      </w:r>
      <w:r>
        <w:rPr>
          <w:rFonts w:eastAsia="等线" w:ascii="Arial" w:cs="Arial" w:hAnsi="Arial"/>
          <w:b w:val="true"/>
          <w:sz w:val="22"/>
        </w:rPr>
        <w:t>Visa 预付卡发行许可</w:t>
      </w:r>
      <w:r>
        <w:rPr>
          <w:rFonts w:eastAsia="等线" w:ascii="Arial" w:cs="Arial" w:hAnsi="Arial"/>
          <w:sz w:val="22"/>
        </w:rPr>
        <w:t>，对接正规 Visa 发卡商，遵循 Visa 交易规范；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资产托管机构具备香港信托牌照，符合香港金融监管要求；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实时跟踪全球目标市场监管政策，及时获取必要的金融及支付牌照，避免政策风险。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6.3.2 数据合规</w:t>
      </w:r>
      <w:bookmarkEnd w:id="6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</w:t>
      </w:r>
      <w:r>
        <w:rPr>
          <w:rFonts w:eastAsia="等线" w:ascii="Arial" w:cs="Arial" w:hAnsi="Arial"/>
          <w:b w:val="true"/>
          <w:sz w:val="22"/>
        </w:rPr>
        <w:t>AML 反洗钱规则</w:t>
      </w:r>
      <w:r>
        <w:rPr>
          <w:rFonts w:eastAsia="等线" w:ascii="Arial" w:cs="Arial" w:hAnsi="Arial"/>
          <w:sz w:val="22"/>
        </w:rPr>
        <w:t>：单笔≥1 万美元交易自动上报监管系统，记录交易全轨迹，支持监管查询；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</w:t>
      </w:r>
      <w:r>
        <w:rPr>
          <w:rFonts w:eastAsia="等线" w:ascii="Arial" w:cs="Arial" w:hAnsi="Arial"/>
          <w:b w:val="true"/>
          <w:sz w:val="22"/>
        </w:rPr>
        <w:t>GDPR 通用数据保护条例</w:t>
      </w:r>
      <w:r>
        <w:rPr>
          <w:rFonts w:eastAsia="等线" w:ascii="Arial" w:cs="Arial" w:hAnsi="Arial"/>
          <w:sz w:val="22"/>
        </w:rPr>
        <w:t>：用户数据最小化收集，明确告知数据使用用途，支持用户申请数据删除（保留合规所需数据）；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 KYC 实名认证要求：个人用户完成身份证 + 人脸识别，企业用户完成营业执照 + 法人认证，审核数据留存≥5 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6.3.3 条款合规</w:t>
      </w:r>
      <w:bookmarkEnd w:id="67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公示清晰的服务条款、隐私政策、手续费规则（消费、提现、兑换、补卡等），无霸王条款、无隐藏费用；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条款内容通俗易懂，支持多语言展示，用户需明确确认同意后，方可使用产品功能；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手续费规则变更时，提前 7 天通过 APP、邮件等渠道通知用户，保障用户知情权。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6.3.4 审计合规</w:t>
      </w:r>
      <w:bookmarkEnd w:id="68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定期接受</w:t>
      </w:r>
      <w:r>
        <w:rPr>
          <w:rFonts w:eastAsia="等线" w:ascii="Arial" w:cs="Arial" w:hAnsi="Arial"/>
          <w:b w:val="true"/>
          <w:sz w:val="22"/>
        </w:rPr>
        <w:t>第三方合规审计</w:t>
      </w:r>
      <w:r>
        <w:rPr>
          <w:rFonts w:eastAsia="等线" w:ascii="Arial" w:cs="Arial" w:hAnsi="Arial"/>
          <w:sz w:val="22"/>
        </w:rPr>
        <w:t>（频率≥每年 1 次），审计范围涵盖数据安全、资产托管、交易合规、风控体系等；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留存完整的审计报告，支持监管机构、用户查询，根据审计结果优化合规流程和系统设计；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内部建立合规审计团队，每月开展内部合规自查，及时发现并整改合规问题。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6.4 运营需求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6.4.1 多语言支持</w:t>
      </w:r>
      <w:bookmarkEnd w:id="70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7 种主流语言：中文（简 / 繁）、英文、</w:t>
      </w:r>
      <w:r>
        <w:rPr>
          <w:rFonts w:eastAsia="等线" w:ascii="Arial" w:cs="Arial" w:hAnsi="Arial"/>
          <w:strike w:val="true"/>
          <w:sz w:val="22"/>
        </w:rPr>
        <w:t>日文、韩文、泰语、印尼语、越南语</w:t>
      </w:r>
      <w:r>
        <w:rPr>
          <w:rFonts w:eastAsia="等线" w:ascii="Arial" w:cs="Arial" w:hAnsi="Arial"/>
          <w:sz w:val="22"/>
        </w:rPr>
        <w:t>，适配全球化运营；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语言切换流畅，无界面错乱、文字截断，新增语种支持快速配置（无需重启系统）；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多语言内容专业校对，符合当地语言习惯和金融术语规范。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6.4.2 客服支持</w:t>
      </w:r>
      <w:bookmarkEnd w:id="71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24/7 多语言在线客服</w:t>
      </w:r>
      <w:r>
        <w:rPr>
          <w:rFonts w:eastAsia="等线" w:ascii="Arial" w:cs="Arial" w:hAnsi="Arial"/>
          <w:sz w:val="22"/>
        </w:rPr>
        <w:t>，支持 APP 内咨询、Telegram 对接，客服响应时间≤10 分钟，问题解决率≥90%；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客服系统对接工单管理，用户问题生成唯一工单，跟踪处理进度，支持用户查询工单状态；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建立常见问题（FAQ）库，覆盖注册、KYC、开卡、充值、消费等全流程，降低客服压力。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6.4.3 活动配置</w:t>
      </w:r>
      <w:bookmarkEnd w:id="72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支持运营人员快速配置各类运营活动：开卡优惠、充值返利、返佣比例调整、手续费减免等；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活动配置后实时生效，无需重启系统，支持按用户等级、地域、时间进行灰度配置；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活动数据可视化监控，覆盖参与人数、交易规模、活动转化率等指标，支持导出分析。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6.4.4 数据监控</w:t>
      </w:r>
      <w:bookmarkEnd w:id="73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提供核心业务数据监控面板，覆盖用户增长（注册、KYC、开卡）、交易规模（充值、消费、提现）、手续费收入、风控预警等；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数据实时更新（≤5 分钟），支持多维度筛选、钻取分析，异常数据触发自动告警（短信 / APP 推送）；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支持数据导出为 Excel/PDF 格式，便于运营人员进行深度分析和报表制作。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七、部署与运维规划</w:t>
      </w:r>
      <w:bookmarkEnd w:id="7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7.1 部署环境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产品依托</w:t>
      </w:r>
      <w:r>
        <w:rPr>
          <w:rFonts w:eastAsia="等线" w:ascii="Arial" w:cs="Arial" w:hAnsi="Arial"/>
          <w:b w:val="true"/>
          <w:sz w:val="22"/>
        </w:rPr>
        <w:t>AWS 云服务</w:t>
      </w:r>
      <w:r>
        <w:rPr>
          <w:rFonts w:eastAsia="等线" w:ascii="Arial" w:cs="Arial" w:hAnsi="Arial"/>
          <w:sz w:val="22"/>
        </w:rPr>
        <w:t>进行部署，采用云原生架构，核心部署组件包括：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EC2</w:t>
      </w:r>
      <w:r>
        <w:rPr>
          <w:rFonts w:eastAsia="等线" w:ascii="Arial" w:cs="Arial" w:hAnsi="Arial"/>
          <w:sz w:val="22"/>
        </w:rPr>
        <w:t>：微服务部署节点，按服务类型拆分不同规格的 EC2 实例，支持弹性扩容；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RDS for PostgreSQL</w:t>
      </w:r>
      <w:r>
        <w:rPr>
          <w:rFonts w:eastAsia="等线" w:ascii="Arial" w:cs="Arial" w:hAnsi="Arial"/>
          <w:sz w:val="22"/>
        </w:rPr>
        <w:t>：关系型数据存储，开启主从复制，实现数据容灾；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ElastiCache for Redis</w:t>
      </w:r>
      <w:r>
        <w:rPr>
          <w:rFonts w:eastAsia="等线" w:ascii="Arial" w:cs="Arial" w:hAnsi="Arial"/>
          <w:sz w:val="22"/>
        </w:rPr>
        <w:t>：内存缓存，开启集群模式，支撑高并发缓存访问；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</w:t>
      </w:r>
      <w:r>
        <w:rPr>
          <w:rFonts w:eastAsia="等线" w:ascii="Arial" w:cs="Arial" w:hAnsi="Arial"/>
          <w:sz w:val="22"/>
        </w:rPr>
        <w:t>：静态资源存储（前端包、用户上传的 KYC 照片、日志文件等）；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CloudWatch</w:t>
      </w:r>
      <w:r>
        <w:rPr>
          <w:rFonts w:eastAsia="等线" w:ascii="Arial" w:cs="Arial" w:hAnsi="Arial"/>
          <w:sz w:val="22"/>
        </w:rPr>
        <w:t>：系统监控、日志收集、告警通知；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Route 53</w:t>
      </w:r>
      <w:r>
        <w:rPr>
          <w:rFonts w:eastAsia="等线" w:ascii="Arial" w:cs="Arial" w:hAnsi="Arial"/>
          <w:sz w:val="22"/>
        </w:rPr>
        <w:t>：域名解析，配合 Kong Gateway 实现多地域访问。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7.2 部署策略</w:t>
      </w:r>
      <w:bookmarkEnd w:id="76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微服务独立部署</w:t>
      </w:r>
      <w:r>
        <w:rPr>
          <w:rFonts w:eastAsia="等线" w:ascii="Arial" w:cs="Arial" w:hAnsi="Arial"/>
          <w:sz w:val="22"/>
        </w:rPr>
        <w:t>：各微服务通过 Docker 容器化打包，实现一键部署、扩容、回滚；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：新功能 / 版本发布时，先向小部分用户（如 10%）推送，验证稳定性后全量发布；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多地域部署</w:t>
      </w:r>
      <w:r>
        <w:rPr>
          <w:rFonts w:eastAsia="等线" w:ascii="Arial" w:cs="Arial" w:hAnsi="Arial"/>
          <w:sz w:val="22"/>
        </w:rPr>
        <w:t>：核心服务部署在香港、新加坡等多地域 AWS 节点，实现就近访问，降低延迟，提升可用性。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7.3 运维监控</w:t>
      </w:r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7.3.1 系统监控</w:t>
      </w:r>
      <w:bookmarkEnd w:id="78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监控指标：CPU、内存、磁盘、网络带宽、接口 QPS、响应时间、错误率；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监控工具：CloudWatch、Prometheus+Grafana，指标数据实时展示，异常指标触发告警（阈值可配置）；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告警方式：短信、APP 推送、邮件、Telegram，按告警级别（紧急 / 重要 / 普通）区分通知对象。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7.3.2 日志管理</w:t>
      </w:r>
      <w:bookmarkEnd w:id="79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统一日志收集：通过 ELK（Elasticsearch+Logstash+Kibana）实现所有微服务、中间件的日志统一收集、存储、查询；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日志分类：访问日志、业务日志、异常日志、风控日志，支持按请求 ID、用户 ID、服务名等多维度检索；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日志存储：日志文件在 S3 中存储≥5 年，支持日志导出和离线分析。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7.3.3 故障处理</w:t>
      </w:r>
      <w:bookmarkEnd w:id="80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故障发现</w:t>
      </w:r>
      <w:r>
        <w:rPr>
          <w:rFonts w:eastAsia="等线" w:ascii="Arial" w:cs="Arial" w:hAnsi="Arial"/>
          <w:sz w:val="22"/>
        </w:rPr>
        <w:t>：通过监控指标、日志异常、用户反馈多渠道发现故障，紧急故障（如服务崩溃、交易失败）触发秒级告警；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故障定位</w:t>
      </w:r>
      <w:r>
        <w:rPr>
          <w:rFonts w:eastAsia="等线" w:ascii="Arial" w:cs="Arial" w:hAnsi="Arial"/>
          <w:sz w:val="22"/>
        </w:rPr>
        <w:t>：通过 Jaeger 分布式链路追踪、日志检索，快速定位故障节点和原因；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故障恢复</w:t>
      </w:r>
      <w:r>
        <w:rPr>
          <w:rFonts w:eastAsia="等线" w:ascii="Arial" w:cs="Arial" w:hAnsi="Arial"/>
          <w:sz w:val="22"/>
        </w:rPr>
        <w:t>：核心服务支持主从切换、自动扩容，故障恢复时长≤5 分钟，恢复后进行故障复盘，形成优化方案。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八、文档附则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9.1 文档版本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本文档版本为</w:t>
      </w:r>
      <w:r>
        <w:rPr>
          <w:rFonts w:eastAsia="等线" w:ascii="Arial" w:cs="Arial" w:hAnsi="Arial"/>
          <w:b w:val="true"/>
          <w:sz w:val="22"/>
        </w:rPr>
        <w:t>V1.0</w:t>
      </w:r>
      <w:r>
        <w:rPr>
          <w:rFonts w:eastAsia="等线" w:ascii="Arial" w:cs="Arial" w:hAnsi="Arial"/>
          <w:sz w:val="22"/>
        </w:rPr>
        <w:t>，发布于 2026 年 02 月 15 日，适用于 U 卡产品首期研发和部署。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9.2 文档更新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产品功能、技术选型、架构设计发生变更时，将及时更新本文档，更新后标注新版本号，并记录更新内容和时间。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9.3 文档归属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 U 卡产品内部技术文档，未经授权不得外传，版权归 U 卡产品研发团队所有。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9.4 联系方式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若对本文档有任何疑问，可联系产品研发团队：XXX@xxx.com。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36">
    <w:lvl>
      <w:numFmt w:val="bullet"/>
      <w:suff w:val="tab"/>
      <w:lvlText w:val="•"/>
      <w:rPr>
        <w:color w:val="3370ff"/>
      </w:rPr>
    </w:lvl>
  </w:abstractNum>
  <w:abstractNum w:abstractNumId="74337">
    <w:lvl>
      <w:numFmt w:val="bullet"/>
      <w:suff w:val="tab"/>
      <w:lvlText w:val="•"/>
      <w:rPr>
        <w:color w:val="3370ff"/>
      </w:rPr>
    </w:lvl>
  </w:abstractNum>
  <w:abstractNum w:abstractNumId="74338">
    <w:lvl>
      <w:numFmt w:val="bullet"/>
      <w:suff w:val="tab"/>
      <w:lvlText w:val="•"/>
      <w:rPr>
        <w:color w:val="3370ff"/>
      </w:rPr>
    </w:lvl>
  </w:abstractNum>
  <w:abstractNum w:abstractNumId="74339">
    <w:lvl>
      <w:numFmt w:val="bullet"/>
      <w:suff w:val="tab"/>
      <w:lvlText w:val="•"/>
      <w:rPr>
        <w:color w:val="3370ff"/>
      </w:rPr>
    </w:lvl>
  </w:abstractNum>
  <w:abstractNum w:abstractNumId="74340">
    <w:lvl>
      <w:numFmt w:val="bullet"/>
      <w:suff w:val="tab"/>
      <w:lvlText w:val="•"/>
      <w:rPr>
        <w:color w:val="3370ff"/>
      </w:rPr>
    </w:lvl>
  </w:abstractNum>
  <w:abstractNum w:abstractNumId="74341">
    <w:lvl>
      <w:numFmt w:val="bullet"/>
      <w:suff w:val="tab"/>
      <w:lvlText w:val="•"/>
      <w:rPr>
        <w:color w:val="3370ff"/>
      </w:rPr>
    </w:lvl>
  </w:abstractNum>
  <w:abstractNum w:abstractNumId="74342">
    <w:lvl>
      <w:numFmt w:val="bullet"/>
      <w:suff w:val="tab"/>
      <w:lvlText w:val="•"/>
      <w:rPr>
        <w:color w:val="3370ff"/>
      </w:rPr>
    </w:lvl>
  </w:abstractNum>
  <w:abstractNum w:abstractNumId="74343">
    <w:lvl>
      <w:numFmt w:val="bullet"/>
      <w:suff w:val="tab"/>
      <w:lvlText w:val="•"/>
      <w:rPr>
        <w:color w:val="3370ff"/>
      </w:rPr>
    </w:lvl>
  </w:abstractNum>
  <w:abstractNum w:abstractNumId="74344">
    <w:lvl>
      <w:numFmt w:val="bullet"/>
      <w:suff w:val="tab"/>
      <w:lvlText w:val="•"/>
      <w:rPr>
        <w:color w:val="3370ff"/>
      </w:rPr>
    </w:lvl>
  </w:abstractNum>
  <w:abstractNum w:abstractNumId="74345">
    <w:lvl>
      <w:numFmt w:val="bullet"/>
      <w:suff w:val="tab"/>
      <w:lvlText w:val="•"/>
      <w:rPr>
        <w:color w:val="3370ff"/>
      </w:rPr>
    </w:lvl>
  </w:abstractNum>
  <w:abstractNum w:abstractNumId="74346">
    <w:lvl>
      <w:numFmt w:val="bullet"/>
      <w:suff w:val="tab"/>
      <w:lvlText w:val="•"/>
      <w:rPr>
        <w:color w:val="3370ff"/>
      </w:rPr>
    </w:lvl>
  </w:abstractNum>
  <w:abstractNum w:abstractNumId="74347">
    <w:lvl>
      <w:numFmt w:val="bullet"/>
      <w:suff w:val="tab"/>
      <w:lvlText w:val="•"/>
      <w:rPr>
        <w:color w:val="3370ff"/>
      </w:rPr>
    </w:lvl>
  </w:abstractNum>
  <w:abstractNum w:abstractNumId="74348">
    <w:lvl>
      <w:numFmt w:val="bullet"/>
      <w:suff w:val="tab"/>
      <w:lvlText w:val="•"/>
      <w:rPr>
        <w:color w:val="3370ff"/>
      </w:rPr>
    </w:lvl>
  </w:abstractNum>
  <w:abstractNum w:abstractNumId="74349">
    <w:lvl>
      <w:numFmt w:val="bullet"/>
      <w:suff w:val="tab"/>
      <w:lvlText w:val="•"/>
      <w:rPr>
        <w:color w:val="3370ff"/>
      </w:rPr>
    </w:lvl>
  </w:abstractNum>
  <w:abstractNum w:abstractNumId="74350">
    <w:lvl>
      <w:numFmt w:val="bullet"/>
      <w:suff w:val="tab"/>
      <w:lvlText w:val="•"/>
      <w:rPr>
        <w:color w:val="3370ff"/>
      </w:rPr>
    </w:lvl>
  </w:abstractNum>
  <w:abstractNum w:abstractNumId="74351">
    <w:lvl>
      <w:numFmt w:val="bullet"/>
      <w:suff w:val="tab"/>
      <w:lvlText w:val="•"/>
      <w:rPr>
        <w:color w:val="3370ff"/>
      </w:rPr>
    </w:lvl>
  </w:abstractNum>
  <w:abstractNum w:abstractNumId="74352">
    <w:lvl>
      <w:numFmt w:val="bullet"/>
      <w:suff w:val="tab"/>
      <w:lvlText w:val="•"/>
      <w:rPr>
        <w:color w:val="3370ff"/>
      </w:rPr>
    </w:lvl>
  </w:abstractNum>
  <w:abstractNum w:abstractNumId="74353">
    <w:lvl>
      <w:start w:val="1"/>
      <w:numFmt w:val="decimal"/>
      <w:suff w:val="tab"/>
      <w:lvlText w:val="%1."/>
      <w:rPr>
        <w:color w:val="3370ff"/>
      </w:rPr>
    </w:lvl>
  </w:abstractNum>
  <w:abstractNum w:abstractNumId="74354">
    <w:lvl>
      <w:start w:val="2"/>
      <w:numFmt w:val="decimal"/>
      <w:suff w:val="tab"/>
      <w:lvlText w:val="%1."/>
      <w:rPr>
        <w:color w:val="3370ff"/>
      </w:rPr>
    </w:lvl>
  </w:abstractNum>
  <w:abstractNum w:abstractNumId="74355">
    <w:lvl>
      <w:start w:val="3"/>
      <w:numFmt w:val="decimal"/>
      <w:suff w:val="tab"/>
      <w:lvlText w:val="%1."/>
      <w:rPr>
        <w:color w:val="3370ff"/>
      </w:rPr>
    </w:lvl>
  </w:abstractNum>
  <w:abstractNum w:abstractNumId="74356">
    <w:lvl>
      <w:start w:val="4"/>
      <w:numFmt w:val="decimal"/>
      <w:suff w:val="tab"/>
      <w:lvlText w:val="%1."/>
      <w:rPr>
        <w:color w:val="3370ff"/>
      </w:rPr>
    </w:lvl>
  </w:abstractNum>
  <w:abstractNum w:abstractNumId="74357">
    <w:lvl>
      <w:start w:val="5"/>
      <w:numFmt w:val="decimal"/>
      <w:suff w:val="tab"/>
      <w:lvlText w:val="%1."/>
      <w:rPr>
        <w:color w:val="3370ff"/>
      </w:rPr>
    </w:lvl>
  </w:abstractNum>
  <w:abstractNum w:abstractNumId="74358">
    <w:lvl>
      <w:start w:val="6"/>
      <w:numFmt w:val="decimal"/>
      <w:suff w:val="tab"/>
      <w:lvlText w:val="%1."/>
      <w:rPr>
        <w:color w:val="3370ff"/>
      </w:rPr>
    </w:lvl>
  </w:abstractNum>
  <w:abstractNum w:abstractNumId="74359">
    <w:lvl>
      <w:start w:val="7"/>
      <w:numFmt w:val="decimal"/>
      <w:suff w:val="tab"/>
      <w:lvlText w:val="%1."/>
      <w:rPr>
        <w:color w:val="3370ff"/>
      </w:rPr>
    </w:lvl>
  </w:abstractNum>
  <w:abstractNum w:abstractNumId="74360">
    <w:lvl>
      <w:start w:val="8"/>
      <w:numFmt w:val="decimal"/>
      <w:suff w:val="tab"/>
      <w:lvlText w:val="%1."/>
      <w:rPr>
        <w:color w:val="3370ff"/>
      </w:rPr>
    </w:lvl>
  </w:abstractNum>
  <w:abstractNum w:abstractNumId="74361">
    <w:lvl>
      <w:start w:val="9"/>
      <w:numFmt w:val="decimal"/>
      <w:suff w:val="tab"/>
      <w:lvlText w:val="%1."/>
      <w:rPr>
        <w:color w:val="3370ff"/>
      </w:rPr>
    </w:lvl>
  </w:abstractNum>
  <w:abstractNum w:abstractNumId="74362">
    <w:lvl>
      <w:start w:val="10"/>
      <w:numFmt w:val="decimal"/>
      <w:suff w:val="tab"/>
      <w:lvlText w:val="%1."/>
      <w:rPr>
        <w:color w:val="3370ff"/>
      </w:rPr>
    </w:lvl>
  </w:abstractNum>
  <w:abstractNum w:abstractNumId="74363">
    <w:lvl>
      <w:start w:val="1"/>
      <w:numFmt w:val="decimal"/>
      <w:suff w:val="tab"/>
      <w:lvlText w:val="%1."/>
      <w:rPr>
        <w:color w:val="3370ff"/>
      </w:rPr>
    </w:lvl>
  </w:abstractNum>
  <w:abstractNum w:abstractNumId="74364">
    <w:lvl>
      <w:start w:val="2"/>
      <w:numFmt w:val="decimal"/>
      <w:suff w:val="tab"/>
      <w:lvlText w:val="%1."/>
      <w:rPr>
        <w:color w:val="3370ff"/>
      </w:rPr>
    </w:lvl>
  </w:abstractNum>
  <w:abstractNum w:abstractNumId="74365">
    <w:lvl>
      <w:start w:val="3"/>
      <w:numFmt w:val="decimal"/>
      <w:suff w:val="tab"/>
      <w:lvlText w:val="%1."/>
      <w:rPr>
        <w:color w:val="3370ff"/>
      </w:rPr>
    </w:lvl>
  </w:abstractNum>
  <w:abstractNum w:abstractNumId="74366">
    <w:lvl>
      <w:start w:val="1"/>
      <w:numFmt w:val="decimal"/>
      <w:suff w:val="tab"/>
      <w:lvlText w:val="%1."/>
      <w:rPr>
        <w:color w:val="3370ff"/>
      </w:rPr>
    </w:lvl>
  </w:abstractNum>
  <w:abstractNum w:abstractNumId="74367">
    <w:lvl>
      <w:start w:val="2"/>
      <w:numFmt w:val="decimal"/>
      <w:suff w:val="tab"/>
      <w:lvlText w:val="%1."/>
      <w:rPr>
        <w:color w:val="3370ff"/>
      </w:rPr>
    </w:lvl>
  </w:abstractNum>
  <w:abstractNum w:abstractNumId="74368">
    <w:lvl>
      <w:start w:val="3"/>
      <w:numFmt w:val="decimal"/>
      <w:suff w:val="tab"/>
      <w:lvlText w:val="%1."/>
      <w:rPr>
        <w:color w:val="3370ff"/>
      </w:rPr>
    </w:lvl>
  </w:abstractNum>
  <w:abstractNum w:abstractNumId="74369">
    <w:lvl>
      <w:start w:val="4"/>
      <w:numFmt w:val="decimal"/>
      <w:suff w:val="tab"/>
      <w:lvlText w:val="%1."/>
      <w:rPr>
        <w:color w:val="3370ff"/>
      </w:rPr>
    </w:lvl>
  </w:abstractNum>
  <w:abstractNum w:abstractNumId="74370">
    <w:lvl>
      <w:start w:val="5"/>
      <w:numFmt w:val="decimal"/>
      <w:suff w:val="tab"/>
      <w:lvlText w:val="%1."/>
      <w:rPr>
        <w:color w:val="3370ff"/>
      </w:rPr>
    </w:lvl>
  </w:abstractNum>
  <w:abstractNum w:abstractNumId="74371">
    <w:lvl>
      <w:numFmt w:val="bullet"/>
      <w:suff w:val="tab"/>
      <w:lvlText w:val="•"/>
      <w:rPr>
        <w:color w:val="3370ff"/>
      </w:rPr>
    </w:lvl>
  </w:abstractNum>
  <w:abstractNum w:abstractNumId="74372">
    <w:lvl>
      <w:numFmt w:val="bullet"/>
      <w:suff w:val="tab"/>
      <w:lvlText w:val="•"/>
      <w:rPr>
        <w:color w:val="3370ff"/>
      </w:rPr>
    </w:lvl>
  </w:abstractNum>
  <w:abstractNum w:abstractNumId="74373">
    <w:lvl>
      <w:numFmt w:val="bullet"/>
      <w:suff w:val="tab"/>
      <w:lvlText w:val="•"/>
      <w:rPr>
        <w:color w:val="3370ff"/>
      </w:rPr>
    </w:lvl>
  </w:abstractNum>
  <w:abstractNum w:abstractNumId="74374">
    <w:lvl>
      <w:numFmt w:val="bullet"/>
      <w:suff w:val="tab"/>
      <w:lvlText w:val="•"/>
      <w:rPr>
        <w:color w:val="3370ff"/>
      </w:rPr>
    </w:lvl>
  </w:abstractNum>
  <w:abstractNum w:abstractNumId="74375">
    <w:lvl>
      <w:start w:val="1"/>
      <w:numFmt w:val="decimal"/>
      <w:suff w:val="tab"/>
      <w:lvlText w:val="%1."/>
      <w:rPr>
        <w:color w:val="3370ff"/>
      </w:rPr>
    </w:lvl>
  </w:abstractNum>
  <w:abstractNum w:abstractNumId="74376">
    <w:lvl>
      <w:start w:val="2"/>
      <w:numFmt w:val="decimal"/>
      <w:suff w:val="tab"/>
      <w:lvlText w:val="%1."/>
      <w:rPr>
        <w:color w:val="3370ff"/>
      </w:rPr>
    </w:lvl>
  </w:abstractNum>
  <w:abstractNum w:abstractNumId="74377">
    <w:lvl>
      <w:start w:val="3"/>
      <w:numFmt w:val="decimal"/>
      <w:suff w:val="tab"/>
      <w:lvlText w:val="%1."/>
      <w:rPr>
        <w:color w:val="3370ff"/>
      </w:rPr>
    </w:lvl>
  </w:abstractNum>
  <w:abstractNum w:abstractNumId="74378">
    <w:lvl>
      <w:start w:val="4"/>
      <w:numFmt w:val="decimal"/>
      <w:suff w:val="tab"/>
      <w:lvlText w:val="%1."/>
      <w:rPr>
        <w:color w:val="3370ff"/>
      </w:rPr>
    </w:lvl>
  </w:abstractNum>
  <w:abstractNum w:abstractNumId="74379">
    <w:lvl>
      <w:start w:val="5"/>
      <w:numFmt w:val="decimal"/>
      <w:suff w:val="tab"/>
      <w:lvlText w:val="%1."/>
      <w:rPr>
        <w:color w:val="3370ff"/>
      </w:rPr>
    </w:lvl>
  </w:abstractNum>
  <w:abstractNum w:abstractNumId="74380">
    <w:lvl>
      <w:start w:val="6"/>
      <w:numFmt w:val="decimal"/>
      <w:suff w:val="tab"/>
      <w:lvlText w:val="%1."/>
      <w:rPr>
        <w:color w:val="3370ff"/>
      </w:rPr>
    </w:lvl>
  </w:abstractNum>
  <w:abstractNum w:abstractNumId="74381">
    <w:lvl>
      <w:start w:val="7"/>
      <w:numFmt w:val="decimal"/>
      <w:suff w:val="tab"/>
      <w:lvlText w:val="%1."/>
      <w:rPr>
        <w:color w:val="3370ff"/>
      </w:rPr>
    </w:lvl>
  </w:abstractNum>
  <w:abstractNum w:abstractNumId="74382">
    <w:lvl>
      <w:start w:val="1"/>
      <w:numFmt w:val="lowerLetter"/>
      <w:suff w:val="tab"/>
      <w:lvlText w:val="%1."/>
      <w:rPr>
        <w:color w:val="3370ff"/>
      </w:rPr>
    </w:lvl>
  </w:abstractNum>
  <w:abstractNum w:abstractNumId="74383">
    <w:lvl>
      <w:start w:val="2"/>
      <w:numFmt w:val="lowerLetter"/>
      <w:suff w:val="tab"/>
      <w:lvlText w:val="%1."/>
      <w:rPr>
        <w:color w:val="3370ff"/>
      </w:rPr>
    </w:lvl>
  </w:abstractNum>
  <w:abstractNum w:abstractNumId="74384">
    <w:lvl>
      <w:start w:val="8"/>
      <w:numFmt w:val="decimal"/>
      <w:suff w:val="tab"/>
      <w:lvlText w:val="%1."/>
      <w:rPr>
        <w:color w:val="3370ff"/>
      </w:rPr>
    </w:lvl>
  </w:abstractNum>
  <w:abstractNum w:abstractNumId="74385">
    <w:lvl>
      <w:start w:val="9"/>
      <w:numFmt w:val="decimal"/>
      <w:suff w:val="tab"/>
      <w:lvlText w:val="%1."/>
      <w:rPr>
        <w:color w:val="3370ff"/>
      </w:rPr>
    </w:lvl>
  </w:abstractNum>
  <w:abstractNum w:abstractNumId="74386">
    <w:lvl>
      <w:start w:val="1"/>
      <w:numFmt w:val="decimal"/>
      <w:suff w:val="tab"/>
      <w:lvlText w:val="%1."/>
      <w:rPr>
        <w:color w:val="3370ff"/>
      </w:rPr>
    </w:lvl>
  </w:abstractNum>
  <w:abstractNum w:abstractNumId="74387">
    <w:lvl>
      <w:start w:val="2"/>
      <w:numFmt w:val="decimal"/>
      <w:suff w:val="tab"/>
      <w:lvlText w:val="%1."/>
      <w:rPr>
        <w:color w:val="3370ff"/>
      </w:rPr>
    </w:lvl>
  </w:abstractNum>
  <w:abstractNum w:abstractNumId="74388">
    <w:lvl>
      <w:start w:val="3"/>
      <w:numFmt w:val="decimal"/>
      <w:suff w:val="tab"/>
      <w:lvlText w:val="%1."/>
      <w:rPr>
        <w:color w:val="3370ff"/>
      </w:rPr>
    </w:lvl>
  </w:abstractNum>
  <w:abstractNum w:abstractNumId="74389">
    <w:lvl>
      <w:numFmt w:val="bullet"/>
      <w:suff w:val="tab"/>
      <w:lvlText w:val="•"/>
      <w:rPr>
        <w:color w:val="3370ff"/>
      </w:rPr>
    </w:lvl>
  </w:abstractNum>
  <w:abstractNum w:abstractNumId="74390">
    <w:lvl>
      <w:numFmt w:val="bullet"/>
      <w:suff w:val="tab"/>
      <w:lvlText w:val="•"/>
      <w:rPr>
        <w:color w:val="3370ff"/>
      </w:rPr>
    </w:lvl>
  </w:abstractNum>
  <w:abstractNum w:abstractNumId="74391">
    <w:lvl>
      <w:numFmt w:val="bullet"/>
      <w:suff w:val="tab"/>
      <w:lvlText w:val="•"/>
      <w:rPr>
        <w:color w:val="3370ff"/>
      </w:rPr>
    </w:lvl>
  </w:abstractNum>
  <w:abstractNum w:abstractNumId="74392">
    <w:lvl>
      <w:numFmt w:val="bullet"/>
      <w:suff w:val="tab"/>
      <w:lvlText w:val="•"/>
      <w:rPr>
        <w:color w:val="3370ff"/>
      </w:rPr>
    </w:lvl>
  </w:abstractNum>
  <w:abstractNum w:abstractNumId="74393">
    <w:lvl>
      <w:numFmt w:val="bullet"/>
      <w:suff w:val="tab"/>
      <w:lvlText w:val="•"/>
      <w:rPr>
        <w:color w:val="3370ff"/>
      </w:rPr>
    </w:lvl>
  </w:abstractNum>
  <w:abstractNum w:abstractNumId="74394">
    <w:lvl>
      <w:start w:val="1"/>
      <w:numFmt w:val="decimal"/>
      <w:suff w:val="tab"/>
      <w:lvlText w:val="%1."/>
      <w:rPr>
        <w:color w:val="3370ff"/>
      </w:rPr>
    </w:lvl>
  </w:abstractNum>
  <w:abstractNum w:abstractNumId="74395">
    <w:lvl>
      <w:start w:val="2"/>
      <w:numFmt w:val="decimal"/>
      <w:suff w:val="tab"/>
      <w:lvlText w:val="%1."/>
      <w:rPr>
        <w:color w:val="3370ff"/>
      </w:rPr>
    </w:lvl>
  </w:abstractNum>
  <w:abstractNum w:abstractNumId="74396">
    <w:lvl>
      <w:start w:val="3"/>
      <w:numFmt w:val="decimal"/>
      <w:suff w:val="tab"/>
      <w:lvlText w:val="%1."/>
      <w:rPr>
        <w:color w:val="3370ff"/>
      </w:rPr>
    </w:lvl>
  </w:abstractNum>
  <w:abstractNum w:abstractNumId="74397">
    <w:lvl>
      <w:start w:val="4"/>
      <w:numFmt w:val="decimal"/>
      <w:suff w:val="tab"/>
      <w:lvlText w:val="%1."/>
      <w:rPr>
        <w:color w:val="3370ff"/>
      </w:rPr>
    </w:lvl>
  </w:abstractNum>
  <w:abstractNum w:abstractNumId="74398">
    <w:lvl>
      <w:start w:val="5"/>
      <w:numFmt w:val="decimal"/>
      <w:suff w:val="tab"/>
      <w:lvlText w:val="%1."/>
      <w:rPr>
        <w:color w:val="3370ff"/>
      </w:rPr>
    </w:lvl>
  </w:abstractNum>
  <w:abstractNum w:abstractNumId="74399">
    <w:lvl>
      <w:start w:val="6"/>
      <w:numFmt w:val="decimal"/>
      <w:suff w:val="tab"/>
      <w:lvlText w:val="%1."/>
      <w:rPr>
        <w:color w:val="3370ff"/>
      </w:rPr>
    </w:lvl>
  </w:abstractNum>
  <w:abstractNum w:abstractNumId="74400">
    <w:lvl>
      <w:start w:val="7"/>
      <w:numFmt w:val="decimal"/>
      <w:suff w:val="tab"/>
      <w:lvlText w:val="%1."/>
      <w:rPr>
        <w:color w:val="3370ff"/>
      </w:rPr>
    </w:lvl>
  </w:abstractNum>
  <w:abstractNum w:abstractNumId="74401">
    <w:lvl>
      <w:start w:val="8"/>
      <w:numFmt w:val="decimal"/>
      <w:suff w:val="tab"/>
      <w:lvlText w:val="%1."/>
      <w:rPr>
        <w:color w:val="3370ff"/>
      </w:rPr>
    </w:lvl>
  </w:abstractNum>
  <w:abstractNum w:abstractNumId="74402">
    <w:lvl>
      <w:start w:val="1"/>
      <w:numFmt w:val="decimal"/>
      <w:suff w:val="tab"/>
      <w:lvlText w:val="%1."/>
      <w:rPr>
        <w:color w:val="3370ff"/>
      </w:rPr>
    </w:lvl>
  </w:abstractNum>
  <w:abstractNum w:abstractNumId="74403">
    <w:lvl>
      <w:start w:val="2"/>
      <w:numFmt w:val="decimal"/>
      <w:suff w:val="tab"/>
      <w:lvlText w:val="%1."/>
      <w:rPr>
        <w:color w:val="3370ff"/>
      </w:rPr>
    </w:lvl>
  </w:abstractNum>
  <w:abstractNum w:abstractNumId="74404">
    <w:lvl>
      <w:start w:val="3"/>
      <w:numFmt w:val="decimal"/>
      <w:suff w:val="tab"/>
      <w:lvlText w:val="%1."/>
      <w:rPr>
        <w:color w:val="3370ff"/>
      </w:rPr>
    </w:lvl>
  </w:abstractNum>
  <w:abstractNum w:abstractNumId="74405">
    <w:lvl>
      <w:start w:val="4"/>
      <w:numFmt w:val="decimal"/>
      <w:suff w:val="tab"/>
      <w:lvlText w:val="%1."/>
      <w:rPr>
        <w:color w:val="3370ff"/>
      </w:rPr>
    </w:lvl>
  </w:abstractNum>
  <w:abstractNum w:abstractNumId="74406">
    <w:lvl>
      <w:start w:val="5"/>
      <w:numFmt w:val="decimal"/>
      <w:suff w:val="tab"/>
      <w:lvlText w:val="%1."/>
      <w:rPr>
        <w:color w:val="3370ff"/>
      </w:rPr>
    </w:lvl>
  </w:abstractNum>
  <w:abstractNum w:abstractNumId="74407">
    <w:lvl>
      <w:start w:val="1"/>
      <w:numFmt w:val="decimal"/>
      <w:suff w:val="tab"/>
      <w:lvlText w:val="%1."/>
      <w:rPr>
        <w:color w:val="3370ff"/>
      </w:rPr>
    </w:lvl>
  </w:abstractNum>
  <w:abstractNum w:abstractNumId="74408">
    <w:lvl>
      <w:start w:val="2"/>
      <w:numFmt w:val="decimal"/>
      <w:suff w:val="tab"/>
      <w:lvlText w:val="%1."/>
      <w:rPr>
        <w:color w:val="3370ff"/>
      </w:rPr>
    </w:lvl>
  </w:abstractNum>
  <w:abstractNum w:abstractNumId="74409">
    <w:lvl>
      <w:start w:val="3"/>
      <w:numFmt w:val="decimal"/>
      <w:suff w:val="tab"/>
      <w:lvlText w:val="%1."/>
      <w:rPr>
        <w:color w:val="3370ff"/>
      </w:rPr>
    </w:lvl>
  </w:abstractNum>
  <w:abstractNum w:abstractNumId="74410">
    <w:lvl>
      <w:start w:val="4"/>
      <w:numFmt w:val="decimal"/>
      <w:suff w:val="tab"/>
      <w:lvlText w:val="%1."/>
      <w:rPr>
        <w:color w:val="3370ff"/>
      </w:rPr>
    </w:lvl>
  </w:abstractNum>
  <w:abstractNum w:abstractNumId="74411">
    <w:lvl>
      <w:start w:val="5"/>
      <w:numFmt w:val="decimal"/>
      <w:suff w:val="tab"/>
      <w:lvlText w:val="%1."/>
      <w:rPr>
        <w:color w:val="3370ff"/>
      </w:rPr>
    </w:lvl>
  </w:abstractNum>
  <w:abstractNum w:abstractNumId="74412">
    <w:lvl>
      <w:start w:val="1"/>
      <w:numFmt w:val="decimal"/>
      <w:suff w:val="tab"/>
      <w:lvlText w:val="%1."/>
      <w:rPr>
        <w:color w:val="3370ff"/>
      </w:rPr>
    </w:lvl>
  </w:abstractNum>
  <w:abstractNum w:abstractNumId="74413">
    <w:lvl>
      <w:start w:val="2"/>
      <w:numFmt w:val="decimal"/>
      <w:suff w:val="tab"/>
      <w:lvlText w:val="%1."/>
      <w:rPr>
        <w:color w:val="3370ff"/>
      </w:rPr>
    </w:lvl>
  </w:abstractNum>
  <w:abstractNum w:abstractNumId="74414">
    <w:lvl>
      <w:start w:val="3"/>
      <w:numFmt w:val="decimal"/>
      <w:suff w:val="tab"/>
      <w:lvlText w:val="%1."/>
      <w:rPr>
        <w:color w:val="3370ff"/>
      </w:rPr>
    </w:lvl>
  </w:abstractNum>
  <w:abstractNum w:abstractNumId="74415">
    <w:lvl>
      <w:start w:val="4"/>
      <w:numFmt w:val="decimal"/>
      <w:suff w:val="tab"/>
      <w:lvlText w:val="%1."/>
      <w:rPr>
        <w:color w:val="3370ff"/>
      </w:rPr>
    </w:lvl>
  </w:abstractNum>
  <w:abstractNum w:abstractNumId="74416">
    <w:lvl>
      <w:start w:val="5"/>
      <w:numFmt w:val="decimal"/>
      <w:suff w:val="tab"/>
      <w:lvlText w:val="%1."/>
      <w:rPr>
        <w:color w:val="3370ff"/>
      </w:rPr>
    </w:lvl>
  </w:abstractNum>
  <w:abstractNum w:abstractNumId="74417">
    <w:lvl>
      <w:numFmt w:val="bullet"/>
      <w:suff w:val="tab"/>
      <w:lvlText w:val="•"/>
      <w:rPr>
        <w:color w:val="3370ff"/>
      </w:rPr>
    </w:lvl>
  </w:abstractNum>
  <w:abstractNum w:abstractNumId="74418">
    <w:lvl>
      <w:numFmt w:val="bullet"/>
      <w:suff w:val="tab"/>
      <w:lvlText w:val="•"/>
      <w:rPr>
        <w:color w:val="3370ff"/>
      </w:rPr>
    </w:lvl>
  </w:abstractNum>
  <w:abstractNum w:abstractNumId="74419">
    <w:lvl>
      <w:numFmt w:val="bullet"/>
      <w:suff w:val="tab"/>
      <w:lvlText w:val="•"/>
      <w:rPr>
        <w:color w:val="3370ff"/>
      </w:rPr>
    </w:lvl>
  </w:abstractNum>
  <w:abstractNum w:abstractNumId="74420">
    <w:lvl>
      <w:numFmt w:val="bullet"/>
      <w:suff w:val="tab"/>
      <w:lvlText w:val="•"/>
      <w:rPr>
        <w:color w:val="3370ff"/>
      </w:rPr>
    </w:lvl>
  </w:abstractNum>
  <w:abstractNum w:abstractNumId="74421">
    <w:lvl>
      <w:numFmt w:val="bullet"/>
      <w:suff w:val="tab"/>
      <w:lvlText w:val="•"/>
      <w:rPr>
        <w:color w:val="3370ff"/>
      </w:rPr>
    </w:lvl>
  </w:abstractNum>
  <w:abstractNum w:abstractNumId="74422">
    <w:lvl>
      <w:numFmt w:val="bullet"/>
      <w:suff w:val="tab"/>
      <w:lvlText w:val="•"/>
      <w:rPr>
        <w:color w:val="3370ff"/>
      </w:rPr>
    </w:lvl>
  </w:abstractNum>
  <w:abstractNum w:abstractNumId="74423">
    <w:lvl>
      <w:numFmt w:val="bullet"/>
      <w:suff w:val="tab"/>
      <w:lvlText w:val="•"/>
      <w:rPr>
        <w:color w:val="3370ff"/>
      </w:rPr>
    </w:lvl>
  </w:abstractNum>
  <w:abstractNum w:abstractNumId="74424">
    <w:lvl>
      <w:numFmt w:val="bullet"/>
      <w:suff w:val="tab"/>
      <w:lvlText w:val="•"/>
      <w:rPr>
        <w:color w:val="3370ff"/>
      </w:rPr>
    </w:lvl>
  </w:abstractNum>
  <w:abstractNum w:abstractNumId="74425">
    <w:lvl>
      <w:numFmt w:val="bullet"/>
      <w:suff w:val="tab"/>
      <w:lvlText w:val="•"/>
      <w:rPr>
        <w:color w:val="3370ff"/>
      </w:rPr>
    </w:lvl>
  </w:abstractNum>
  <w:abstractNum w:abstractNumId="74426">
    <w:lvl>
      <w:numFmt w:val="bullet"/>
      <w:suff w:val="tab"/>
      <w:lvlText w:val="•"/>
      <w:rPr>
        <w:color w:val="3370ff"/>
      </w:rPr>
    </w:lvl>
  </w:abstractNum>
  <w:abstractNum w:abstractNumId="74427">
    <w:lvl>
      <w:numFmt w:val="bullet"/>
      <w:suff w:val="tab"/>
      <w:lvlText w:val="•"/>
      <w:rPr>
        <w:color w:val="3370ff"/>
      </w:rPr>
    </w:lvl>
  </w:abstractNum>
  <w:abstractNum w:abstractNumId="74428">
    <w:lvl>
      <w:numFmt w:val="bullet"/>
      <w:suff w:val="tab"/>
      <w:lvlText w:val="•"/>
      <w:rPr>
        <w:color w:val="3370ff"/>
      </w:rPr>
    </w:lvl>
  </w:abstractNum>
  <w:abstractNum w:abstractNumId="74429">
    <w:lvl>
      <w:numFmt w:val="bullet"/>
      <w:suff w:val="tab"/>
      <w:lvlText w:val="•"/>
      <w:rPr>
        <w:color w:val="3370ff"/>
      </w:rPr>
    </w:lvl>
  </w:abstractNum>
  <w:abstractNum w:abstractNumId="74430">
    <w:lvl>
      <w:numFmt w:val="bullet"/>
      <w:suff w:val="tab"/>
      <w:lvlText w:val="•"/>
      <w:rPr>
        <w:color w:val="3370ff"/>
      </w:rPr>
    </w:lvl>
  </w:abstractNum>
  <w:abstractNum w:abstractNumId="74431">
    <w:lvl>
      <w:start w:val="1"/>
      <w:numFmt w:val="decimal"/>
      <w:suff w:val="tab"/>
      <w:lvlText w:val="%1."/>
      <w:rPr>
        <w:color w:val="3370ff"/>
      </w:rPr>
    </w:lvl>
  </w:abstractNum>
  <w:abstractNum w:abstractNumId="74432">
    <w:lvl>
      <w:start w:val="2"/>
      <w:numFmt w:val="decimal"/>
      <w:suff w:val="tab"/>
      <w:lvlText w:val="%1."/>
      <w:rPr>
        <w:color w:val="3370ff"/>
      </w:rPr>
    </w:lvl>
  </w:abstractNum>
  <w:abstractNum w:abstractNumId="74433">
    <w:lvl>
      <w:start w:val="3"/>
      <w:numFmt w:val="decimal"/>
      <w:suff w:val="tab"/>
      <w:lvlText w:val="%1."/>
      <w:rPr>
        <w:color w:val="3370ff"/>
      </w:rPr>
    </w:lvl>
  </w:abstractNum>
  <w:abstractNum w:abstractNumId="74434">
    <w:lvl>
      <w:start w:val="4"/>
      <w:numFmt w:val="decimal"/>
      <w:suff w:val="tab"/>
      <w:lvlText w:val="%1."/>
      <w:rPr>
        <w:color w:val="3370ff"/>
      </w:rPr>
    </w:lvl>
  </w:abstractNum>
  <w:abstractNum w:abstractNumId="74435">
    <w:lvl>
      <w:start w:val="5"/>
      <w:numFmt w:val="decimal"/>
      <w:suff w:val="tab"/>
      <w:lvlText w:val="%1."/>
      <w:rPr>
        <w:color w:val="3370ff"/>
      </w:rPr>
    </w:lvl>
  </w:abstractNum>
  <w:abstractNum w:abstractNumId="74436">
    <w:lvl>
      <w:start w:val="6"/>
      <w:numFmt w:val="decimal"/>
      <w:suff w:val="tab"/>
      <w:lvlText w:val="%1."/>
      <w:rPr>
        <w:color w:val="3370ff"/>
      </w:rPr>
    </w:lvl>
  </w:abstractNum>
  <w:abstractNum w:abstractNumId="74437">
    <w:lvl>
      <w:numFmt w:val="bullet"/>
      <w:suff w:val="tab"/>
      <w:lvlText w:val="•"/>
      <w:rPr>
        <w:color w:val="3370ff"/>
      </w:rPr>
    </w:lvl>
  </w:abstractNum>
  <w:abstractNum w:abstractNumId="74438">
    <w:lvl>
      <w:numFmt w:val="bullet"/>
      <w:suff w:val="tab"/>
      <w:lvlText w:val="•"/>
      <w:rPr>
        <w:color w:val="3370ff"/>
      </w:rPr>
    </w:lvl>
  </w:abstractNum>
  <w:abstractNum w:abstractNumId="74439">
    <w:lvl>
      <w:numFmt w:val="bullet"/>
      <w:suff w:val="tab"/>
      <w:lvlText w:val="•"/>
      <w:rPr>
        <w:color w:val="3370ff"/>
      </w:rPr>
    </w:lvl>
  </w:abstractNum>
  <w:abstractNum w:abstractNumId="74440">
    <w:lvl>
      <w:numFmt w:val="bullet"/>
      <w:suff w:val="tab"/>
      <w:lvlText w:val="•"/>
      <w:rPr>
        <w:color w:val="3370ff"/>
      </w:rPr>
    </w:lvl>
  </w:abstractNum>
  <w:abstractNum w:abstractNumId="74441">
    <w:lvl>
      <w:numFmt w:val="bullet"/>
      <w:suff w:val="tab"/>
      <w:lvlText w:val="•"/>
      <w:rPr>
        <w:color w:val="3370ff"/>
      </w:rPr>
    </w:lvl>
  </w:abstractNum>
  <w:abstractNum w:abstractNumId="74442">
    <w:lvl>
      <w:numFmt w:val="bullet"/>
      <w:suff w:val="tab"/>
      <w:lvlText w:val="•"/>
      <w:rPr>
        <w:color w:val="3370ff"/>
      </w:rPr>
    </w:lvl>
  </w:abstractNum>
  <w:abstractNum w:abstractNumId="74443">
    <w:lvl>
      <w:numFmt w:val="bullet"/>
      <w:suff w:val="tab"/>
      <w:lvlText w:val="•"/>
      <w:rPr>
        <w:color w:val="3370ff"/>
      </w:rPr>
    </w:lvl>
  </w:abstractNum>
  <w:abstractNum w:abstractNumId="74444">
    <w:lvl>
      <w:numFmt w:val="bullet"/>
      <w:suff w:val="tab"/>
      <w:lvlText w:val="•"/>
      <w:rPr>
        <w:color w:val="3370ff"/>
      </w:rPr>
    </w:lvl>
  </w:abstractNum>
  <w:abstractNum w:abstractNumId="74445">
    <w:lvl>
      <w:numFmt w:val="bullet"/>
      <w:suff w:val="tab"/>
      <w:lvlText w:val="•"/>
      <w:rPr>
        <w:color w:val="3370ff"/>
      </w:rPr>
    </w:lvl>
  </w:abstractNum>
  <w:abstractNum w:abstractNumId="74446">
    <w:lvl>
      <w:numFmt w:val="bullet"/>
      <w:suff w:val="tab"/>
      <w:lvlText w:val="•"/>
      <w:rPr>
        <w:color w:val="3370ff"/>
      </w:rPr>
    </w:lvl>
  </w:abstractNum>
  <w:abstractNum w:abstractNumId="74447">
    <w:lvl>
      <w:numFmt w:val="bullet"/>
      <w:suff w:val="tab"/>
      <w:lvlText w:val="•"/>
      <w:rPr>
        <w:color w:val="3370ff"/>
      </w:rPr>
    </w:lvl>
  </w:abstractNum>
  <w:abstractNum w:abstractNumId="74448">
    <w:lvl>
      <w:numFmt w:val="bullet"/>
      <w:suff w:val="tab"/>
      <w:lvlText w:val="•"/>
      <w:rPr>
        <w:color w:val="3370ff"/>
      </w:rPr>
    </w:lvl>
  </w:abstractNum>
  <w:abstractNum w:abstractNumId="74449">
    <w:lvl>
      <w:numFmt w:val="bullet"/>
      <w:suff w:val="tab"/>
      <w:lvlText w:val="•"/>
      <w:rPr>
        <w:color w:val="3370ff"/>
      </w:rPr>
    </w:lvl>
  </w:abstractNum>
  <w:abstractNum w:abstractNumId="74450">
    <w:lvl>
      <w:numFmt w:val="bullet"/>
      <w:suff w:val="tab"/>
      <w:lvlText w:val="•"/>
      <w:rPr>
        <w:color w:val="3370ff"/>
      </w:rPr>
    </w:lvl>
  </w:abstractNum>
  <w:abstractNum w:abstractNumId="74451">
    <w:lvl>
      <w:numFmt w:val="bullet"/>
      <w:suff w:val="tab"/>
      <w:lvlText w:val="•"/>
      <w:rPr>
        <w:color w:val="3370ff"/>
      </w:rPr>
    </w:lvl>
  </w:abstractNum>
  <w:abstractNum w:abstractNumId="74452">
    <w:lvl>
      <w:numFmt w:val="bullet"/>
      <w:suff w:val="tab"/>
      <w:lvlText w:val="•"/>
      <w:rPr>
        <w:color w:val="3370ff"/>
      </w:rPr>
    </w:lvl>
  </w:abstractNum>
  <w:abstractNum w:abstractNumId="74453">
    <w:lvl>
      <w:numFmt w:val="bullet"/>
      <w:suff w:val="tab"/>
      <w:lvlText w:val="•"/>
      <w:rPr>
        <w:color w:val="3370ff"/>
      </w:rPr>
    </w:lvl>
  </w:abstractNum>
  <w:abstractNum w:abstractNumId="74454">
    <w:lvl>
      <w:numFmt w:val="bullet"/>
      <w:suff w:val="tab"/>
      <w:lvlText w:val="•"/>
      <w:rPr>
        <w:color w:val="3370ff"/>
      </w:rPr>
    </w:lvl>
  </w:abstractNum>
  <w:abstractNum w:abstractNumId="74455">
    <w:lvl>
      <w:numFmt w:val="bullet"/>
      <w:suff w:val="tab"/>
      <w:lvlText w:val="•"/>
      <w:rPr>
        <w:color w:val="3370ff"/>
      </w:rPr>
    </w:lvl>
  </w:abstractNum>
  <w:abstractNum w:abstractNumId="74456">
    <w:lvl>
      <w:numFmt w:val="bullet"/>
      <w:suff w:val="tab"/>
      <w:lvlText w:val="•"/>
      <w:rPr>
        <w:color w:val="3370ff"/>
      </w:rPr>
    </w:lvl>
  </w:abstractNum>
  <w:abstractNum w:abstractNumId="74457">
    <w:lvl>
      <w:numFmt w:val="bullet"/>
      <w:suff w:val="tab"/>
      <w:lvlText w:val="•"/>
      <w:rPr>
        <w:color w:val="3370ff"/>
      </w:rPr>
    </w:lvl>
  </w:abstractNum>
  <w:abstractNum w:abstractNumId="74458">
    <w:lvl>
      <w:numFmt w:val="bullet"/>
      <w:suff w:val="tab"/>
      <w:lvlText w:val="•"/>
      <w:rPr>
        <w:color w:val="3370ff"/>
      </w:rPr>
    </w:lvl>
  </w:abstractNum>
  <w:abstractNum w:abstractNumId="74459">
    <w:lvl>
      <w:numFmt w:val="bullet"/>
      <w:suff w:val="tab"/>
      <w:lvlText w:val="•"/>
      <w:rPr>
        <w:color w:val="3370ff"/>
      </w:rPr>
    </w:lvl>
  </w:abstractNum>
  <w:abstractNum w:abstractNumId="74460">
    <w:lvl>
      <w:numFmt w:val="bullet"/>
      <w:suff w:val="tab"/>
      <w:lvlText w:val="•"/>
      <w:rPr>
        <w:color w:val="3370ff"/>
      </w:rPr>
    </w:lvl>
  </w:abstractNum>
  <w:abstractNum w:abstractNumId="74461">
    <w:lvl>
      <w:numFmt w:val="bullet"/>
      <w:suff w:val="tab"/>
      <w:lvlText w:val="•"/>
      <w:rPr>
        <w:color w:val="3370ff"/>
      </w:rPr>
    </w:lvl>
  </w:abstractNum>
  <w:abstractNum w:abstractNumId="74462">
    <w:lvl>
      <w:numFmt w:val="bullet"/>
      <w:suff w:val="tab"/>
      <w:lvlText w:val="•"/>
      <w:rPr>
        <w:color w:val="3370ff"/>
      </w:rPr>
    </w:lvl>
  </w:abstractNum>
  <w:abstractNum w:abstractNumId="74463">
    <w:lvl>
      <w:numFmt w:val="bullet"/>
      <w:suff w:val="tab"/>
      <w:lvlText w:val="•"/>
      <w:rPr>
        <w:color w:val="3370ff"/>
      </w:rPr>
    </w:lvl>
  </w:abstractNum>
  <w:abstractNum w:abstractNumId="74464">
    <w:lvl>
      <w:numFmt w:val="bullet"/>
      <w:suff w:val="tab"/>
      <w:lvlText w:val="•"/>
      <w:rPr>
        <w:color w:val="3370ff"/>
      </w:rPr>
    </w:lvl>
  </w:abstractNum>
  <w:abstractNum w:abstractNumId="74465">
    <w:lvl>
      <w:numFmt w:val="bullet"/>
      <w:suff w:val="tab"/>
      <w:lvlText w:val="•"/>
      <w:rPr>
        <w:color w:val="3370ff"/>
      </w:rPr>
    </w:lvl>
  </w:abstractNum>
  <w:abstractNum w:abstractNumId="74466">
    <w:lvl>
      <w:numFmt w:val="bullet"/>
      <w:suff w:val="tab"/>
      <w:lvlText w:val="•"/>
      <w:rPr>
        <w:color w:val="3370ff"/>
      </w:rPr>
    </w:lvl>
  </w:abstractNum>
  <w:abstractNum w:abstractNumId="74467">
    <w:lvl>
      <w:numFmt w:val="bullet"/>
      <w:suff w:val="tab"/>
      <w:lvlText w:val="•"/>
      <w:rPr>
        <w:color w:val="3370ff"/>
      </w:rPr>
    </w:lvl>
  </w:abstractNum>
  <w:abstractNum w:abstractNumId="74468">
    <w:lvl>
      <w:numFmt w:val="bullet"/>
      <w:suff w:val="tab"/>
      <w:lvlText w:val="•"/>
      <w:rPr>
        <w:color w:val="3370ff"/>
      </w:rPr>
    </w:lvl>
  </w:abstractNum>
  <w:abstractNum w:abstractNumId="74469">
    <w:lvl>
      <w:numFmt w:val="bullet"/>
      <w:suff w:val="tab"/>
      <w:lvlText w:val="•"/>
      <w:rPr>
        <w:color w:val="3370ff"/>
      </w:rPr>
    </w:lvl>
  </w:abstractNum>
  <w:abstractNum w:abstractNumId="74470">
    <w:lvl>
      <w:numFmt w:val="bullet"/>
      <w:suff w:val="tab"/>
      <w:lvlText w:val="•"/>
      <w:rPr>
        <w:color w:val="3370ff"/>
      </w:rPr>
    </w:lvl>
  </w:abstractNum>
  <w:abstractNum w:abstractNumId="74471">
    <w:lvl>
      <w:numFmt w:val="bullet"/>
      <w:suff w:val="tab"/>
      <w:lvlText w:val="•"/>
      <w:rPr>
        <w:color w:val="3370ff"/>
      </w:rPr>
    </w:lvl>
  </w:abstractNum>
  <w:abstractNum w:abstractNumId="74472">
    <w:lvl>
      <w:numFmt w:val="bullet"/>
      <w:suff w:val="tab"/>
      <w:lvlText w:val="•"/>
      <w:rPr>
        <w:color w:val="3370ff"/>
      </w:rPr>
    </w:lvl>
  </w:abstractNum>
  <w:abstractNum w:abstractNumId="74473">
    <w:lvl>
      <w:numFmt w:val="bullet"/>
      <w:suff w:val="tab"/>
      <w:lvlText w:val="•"/>
      <w:rPr>
        <w:color w:val="3370ff"/>
      </w:rPr>
    </w:lvl>
  </w:abstractNum>
  <w:abstractNum w:abstractNumId="74474">
    <w:lvl>
      <w:numFmt w:val="bullet"/>
      <w:suff w:val="tab"/>
      <w:lvlText w:val="•"/>
      <w:rPr>
        <w:color w:val="3370ff"/>
      </w:rPr>
    </w:lvl>
  </w:abstractNum>
  <w:abstractNum w:abstractNumId="74475">
    <w:lvl>
      <w:numFmt w:val="bullet"/>
      <w:suff w:val="tab"/>
      <w:lvlText w:val="•"/>
      <w:rPr>
        <w:color w:val="3370ff"/>
      </w:rPr>
    </w:lvl>
  </w:abstractNum>
  <w:abstractNum w:abstractNumId="74476">
    <w:lvl>
      <w:numFmt w:val="bullet"/>
      <w:suff w:val="tab"/>
      <w:lvlText w:val="•"/>
      <w:rPr>
        <w:color w:val="3370ff"/>
      </w:rPr>
    </w:lvl>
  </w:abstractNum>
  <w:abstractNum w:abstractNumId="74477">
    <w:lvl>
      <w:numFmt w:val="bullet"/>
      <w:suff w:val="tab"/>
      <w:lvlText w:val="•"/>
      <w:rPr>
        <w:color w:val="3370ff"/>
      </w:rPr>
    </w:lvl>
  </w:abstractNum>
  <w:abstractNum w:abstractNumId="74478">
    <w:lvl>
      <w:numFmt w:val="bullet"/>
      <w:suff w:val="tab"/>
      <w:lvlText w:val="•"/>
      <w:rPr>
        <w:color w:val="3370ff"/>
      </w:rPr>
    </w:lvl>
  </w:abstractNum>
  <w:abstractNum w:abstractNumId="74479">
    <w:lvl>
      <w:numFmt w:val="bullet"/>
      <w:suff w:val="tab"/>
      <w:lvlText w:val="•"/>
      <w:rPr>
        <w:color w:val="3370ff"/>
      </w:rPr>
    </w:lvl>
  </w:abstractNum>
  <w:abstractNum w:abstractNumId="74480">
    <w:lvl>
      <w:numFmt w:val="bullet"/>
      <w:suff w:val="tab"/>
      <w:lvlText w:val="•"/>
      <w:rPr>
        <w:color w:val="3370ff"/>
      </w:rPr>
    </w:lvl>
  </w:abstractNum>
  <w:abstractNum w:abstractNumId="74481">
    <w:lvl>
      <w:numFmt w:val="bullet"/>
      <w:suff w:val="tab"/>
      <w:lvlText w:val="•"/>
      <w:rPr>
        <w:color w:val="3370ff"/>
      </w:rPr>
    </w:lvl>
  </w:abstractNum>
  <w:abstractNum w:abstractNumId="74482">
    <w:lvl>
      <w:numFmt w:val="bullet"/>
      <w:suff w:val="tab"/>
      <w:lvlText w:val="•"/>
      <w:rPr>
        <w:color w:val="3370ff"/>
      </w:rPr>
    </w:lvl>
  </w:abstractNum>
  <w:abstractNum w:abstractNumId="74483">
    <w:lvl>
      <w:numFmt w:val="bullet"/>
      <w:suff w:val="tab"/>
      <w:lvlText w:val="•"/>
      <w:rPr>
        <w:color w:val="3370ff"/>
      </w:rPr>
    </w:lvl>
  </w:abstractNum>
  <w:abstractNum w:abstractNumId="74484">
    <w:lvl>
      <w:numFmt w:val="bullet"/>
      <w:suff w:val="tab"/>
      <w:lvlText w:val="•"/>
      <w:rPr>
        <w:color w:val="3370ff"/>
      </w:rPr>
    </w:lvl>
  </w:abstractNum>
  <w:abstractNum w:abstractNumId="74485">
    <w:lvl>
      <w:numFmt w:val="bullet"/>
      <w:suff w:val="tab"/>
      <w:lvlText w:val="•"/>
      <w:rPr>
        <w:color w:val="3370ff"/>
      </w:rPr>
    </w:lvl>
  </w:abstractNum>
  <w:abstractNum w:abstractNumId="74486">
    <w:lvl>
      <w:numFmt w:val="bullet"/>
      <w:suff w:val="tab"/>
      <w:lvlText w:val="•"/>
      <w:rPr>
        <w:color w:val="3370ff"/>
      </w:rPr>
    </w:lvl>
  </w:abstractNum>
  <w:abstractNum w:abstractNumId="74487">
    <w:lvl>
      <w:numFmt w:val="bullet"/>
      <w:suff w:val="tab"/>
      <w:lvlText w:val="•"/>
      <w:rPr>
        <w:color w:val="3370ff"/>
      </w:rPr>
    </w:lvl>
  </w:abstractNum>
  <w:abstractNum w:abstractNumId="74488">
    <w:lvl>
      <w:numFmt w:val="bullet"/>
      <w:suff w:val="tab"/>
      <w:lvlText w:val="•"/>
      <w:rPr>
        <w:color w:val="3370ff"/>
      </w:rPr>
    </w:lvl>
  </w:abstractNum>
  <w:abstractNum w:abstractNumId="74489">
    <w:lvl>
      <w:numFmt w:val="bullet"/>
      <w:suff w:val="tab"/>
      <w:lvlText w:val="•"/>
      <w:rPr>
        <w:color w:val="3370ff"/>
      </w:rPr>
    </w:lvl>
  </w:abstractNum>
  <w:abstractNum w:abstractNumId="74490">
    <w:lvl>
      <w:numFmt w:val="bullet"/>
      <w:suff w:val="tab"/>
      <w:lvlText w:val="•"/>
      <w:rPr>
        <w:color w:val="3370ff"/>
      </w:rPr>
    </w:lvl>
  </w:abstractNum>
  <w:abstractNum w:abstractNumId="74491">
    <w:lvl>
      <w:numFmt w:val="bullet"/>
      <w:suff w:val="tab"/>
      <w:lvlText w:val="•"/>
      <w:rPr>
        <w:color w:val="3370ff"/>
      </w:rPr>
    </w:lvl>
  </w:abstractNum>
  <w:abstractNum w:abstractNumId="74492">
    <w:lvl>
      <w:numFmt w:val="bullet"/>
      <w:suff w:val="tab"/>
      <w:lvlText w:val="•"/>
      <w:rPr>
        <w:color w:val="3370ff"/>
      </w:rPr>
    </w:lvl>
  </w:abstractNum>
  <w:abstractNum w:abstractNumId="74493">
    <w:lvl>
      <w:numFmt w:val="bullet"/>
      <w:suff w:val="tab"/>
      <w:lvlText w:val="•"/>
      <w:rPr>
        <w:color w:val="3370ff"/>
      </w:rPr>
    </w:lvl>
  </w:abstractNum>
  <w:abstractNum w:abstractNumId="74494">
    <w:lvl>
      <w:numFmt w:val="bullet"/>
      <w:suff w:val="tab"/>
      <w:lvlText w:val="•"/>
      <w:rPr>
        <w:color w:val="3370ff"/>
      </w:rPr>
    </w:lvl>
  </w:abstractNum>
  <w:abstractNum w:abstractNumId="74495">
    <w:lvl>
      <w:numFmt w:val="bullet"/>
      <w:suff w:val="tab"/>
      <w:lvlText w:val="•"/>
      <w:rPr>
        <w:color w:val="3370ff"/>
      </w:rPr>
    </w:lvl>
  </w:abstractNum>
  <w:abstractNum w:abstractNumId="74496">
    <w:lvl>
      <w:numFmt w:val="bullet"/>
      <w:suff w:val="tab"/>
      <w:lvlText w:val="•"/>
      <w:rPr>
        <w:color w:val="3370ff"/>
      </w:rPr>
    </w:lvl>
  </w:abstractNum>
  <w:abstractNum w:abstractNumId="74497">
    <w:lvl>
      <w:numFmt w:val="bullet"/>
      <w:suff w:val="tab"/>
      <w:lvlText w:val="•"/>
      <w:rPr>
        <w:color w:val="3370ff"/>
      </w:rPr>
    </w:lvl>
  </w:abstractNum>
  <w:abstractNum w:abstractNumId="74498">
    <w:lvl>
      <w:numFmt w:val="bullet"/>
      <w:suff w:val="tab"/>
      <w:lvlText w:val="•"/>
      <w:rPr>
        <w:color w:val="3370ff"/>
      </w:rPr>
    </w:lvl>
  </w:abstractNum>
  <w:abstractNum w:abstractNumId="74499">
    <w:lvl>
      <w:numFmt w:val="bullet"/>
      <w:suff w:val="tab"/>
      <w:lvlText w:val="•"/>
      <w:rPr>
        <w:color w:val="3370ff"/>
      </w:rPr>
    </w:lvl>
  </w:abstractNum>
  <w:abstractNum w:abstractNumId="74500">
    <w:lvl>
      <w:numFmt w:val="bullet"/>
      <w:suff w:val="tab"/>
      <w:lvlText w:val="•"/>
      <w:rPr>
        <w:color w:val="3370ff"/>
      </w:rPr>
    </w:lvl>
  </w:abstractNum>
  <w:abstractNum w:abstractNumId="74501">
    <w:lvl>
      <w:numFmt w:val="bullet"/>
      <w:suff w:val="tab"/>
      <w:lvlText w:val="•"/>
      <w:rPr>
        <w:color w:val="3370ff"/>
      </w:rPr>
    </w:lvl>
  </w:abstractNum>
  <w:num w:numId="1">
    <w:abstractNumId w:val="74336"/>
  </w:num>
  <w:num w:numId="2">
    <w:abstractNumId w:val="74337"/>
  </w:num>
  <w:num w:numId="3">
    <w:abstractNumId w:val="74338"/>
  </w:num>
  <w:num w:numId="4">
    <w:abstractNumId w:val="74339"/>
  </w:num>
  <w:num w:numId="5">
    <w:abstractNumId w:val="74340"/>
  </w:num>
  <w:num w:numId="6">
    <w:abstractNumId w:val="74341"/>
  </w:num>
  <w:num w:numId="7">
    <w:abstractNumId w:val="74342"/>
  </w:num>
  <w:num w:numId="8">
    <w:abstractNumId w:val="74343"/>
  </w:num>
  <w:num w:numId="9">
    <w:abstractNumId w:val="74344"/>
  </w:num>
  <w:num w:numId="10">
    <w:abstractNumId w:val="74345"/>
  </w:num>
  <w:num w:numId="11">
    <w:abstractNumId w:val="74346"/>
  </w:num>
  <w:num w:numId="12">
    <w:abstractNumId w:val="74347"/>
  </w:num>
  <w:num w:numId="13">
    <w:abstractNumId w:val="74348"/>
  </w:num>
  <w:num w:numId="14">
    <w:abstractNumId w:val="74349"/>
  </w:num>
  <w:num w:numId="15">
    <w:abstractNumId w:val="74350"/>
  </w:num>
  <w:num w:numId="16">
    <w:abstractNumId w:val="74351"/>
  </w:num>
  <w:num w:numId="17">
    <w:abstractNumId w:val="74352"/>
  </w:num>
  <w:num w:numId="18">
    <w:abstractNumId w:val="74353"/>
  </w:num>
  <w:num w:numId="19">
    <w:abstractNumId w:val="74354"/>
  </w:num>
  <w:num w:numId="20">
    <w:abstractNumId w:val="74355"/>
  </w:num>
  <w:num w:numId="21">
    <w:abstractNumId w:val="74356"/>
  </w:num>
  <w:num w:numId="22">
    <w:abstractNumId w:val="74357"/>
  </w:num>
  <w:num w:numId="23">
    <w:abstractNumId w:val="74358"/>
  </w:num>
  <w:num w:numId="24">
    <w:abstractNumId w:val="74359"/>
  </w:num>
  <w:num w:numId="25">
    <w:abstractNumId w:val="74360"/>
  </w:num>
  <w:num w:numId="26">
    <w:abstractNumId w:val="74361"/>
  </w:num>
  <w:num w:numId="27">
    <w:abstractNumId w:val="74362"/>
  </w:num>
  <w:num w:numId="28">
    <w:abstractNumId w:val="74363"/>
  </w:num>
  <w:num w:numId="29">
    <w:abstractNumId w:val="74364"/>
  </w:num>
  <w:num w:numId="30">
    <w:abstractNumId w:val="74365"/>
  </w:num>
  <w:num w:numId="31">
    <w:abstractNumId w:val="74366"/>
  </w:num>
  <w:num w:numId="32">
    <w:abstractNumId w:val="74367"/>
  </w:num>
  <w:num w:numId="33">
    <w:abstractNumId w:val="74368"/>
  </w:num>
  <w:num w:numId="34">
    <w:abstractNumId w:val="74369"/>
  </w:num>
  <w:num w:numId="35">
    <w:abstractNumId w:val="74370"/>
  </w:num>
  <w:num w:numId="36">
    <w:abstractNumId w:val="74371"/>
  </w:num>
  <w:num w:numId="37">
    <w:abstractNumId w:val="74372"/>
  </w:num>
  <w:num w:numId="38">
    <w:abstractNumId w:val="74373"/>
  </w:num>
  <w:num w:numId="39">
    <w:abstractNumId w:val="74374"/>
  </w:num>
  <w:num w:numId="40">
    <w:abstractNumId w:val="74375"/>
  </w:num>
  <w:num w:numId="41">
    <w:abstractNumId w:val="74376"/>
  </w:num>
  <w:num w:numId="42">
    <w:abstractNumId w:val="74377"/>
  </w:num>
  <w:num w:numId="43">
    <w:abstractNumId w:val="74378"/>
  </w:num>
  <w:num w:numId="44">
    <w:abstractNumId w:val="74379"/>
  </w:num>
  <w:num w:numId="45">
    <w:abstractNumId w:val="74380"/>
  </w:num>
  <w:num w:numId="46">
    <w:abstractNumId w:val="74381"/>
  </w:num>
  <w:num w:numId="47">
    <w:abstractNumId w:val="74382"/>
  </w:num>
  <w:num w:numId="48">
    <w:abstractNumId w:val="74383"/>
  </w:num>
  <w:num w:numId="49">
    <w:abstractNumId w:val="74384"/>
  </w:num>
  <w:num w:numId="50">
    <w:abstractNumId w:val="74385"/>
  </w:num>
  <w:num w:numId="51">
    <w:abstractNumId w:val="74386"/>
  </w:num>
  <w:num w:numId="52">
    <w:abstractNumId w:val="74387"/>
  </w:num>
  <w:num w:numId="53">
    <w:abstractNumId w:val="74388"/>
  </w:num>
  <w:num w:numId="54">
    <w:abstractNumId w:val="74389"/>
  </w:num>
  <w:num w:numId="55">
    <w:abstractNumId w:val="74390"/>
  </w:num>
  <w:num w:numId="56">
    <w:abstractNumId w:val="74391"/>
  </w:num>
  <w:num w:numId="57">
    <w:abstractNumId w:val="74392"/>
  </w:num>
  <w:num w:numId="58">
    <w:abstractNumId w:val="74393"/>
  </w:num>
  <w:num w:numId="59">
    <w:abstractNumId w:val="74394"/>
  </w:num>
  <w:num w:numId="60">
    <w:abstractNumId w:val="74395"/>
  </w:num>
  <w:num w:numId="61">
    <w:abstractNumId w:val="74396"/>
  </w:num>
  <w:num w:numId="62">
    <w:abstractNumId w:val="74397"/>
  </w:num>
  <w:num w:numId="63">
    <w:abstractNumId w:val="74398"/>
  </w:num>
  <w:num w:numId="64">
    <w:abstractNumId w:val="74399"/>
  </w:num>
  <w:num w:numId="65">
    <w:abstractNumId w:val="74400"/>
  </w:num>
  <w:num w:numId="66">
    <w:abstractNumId w:val="74401"/>
  </w:num>
  <w:num w:numId="67">
    <w:abstractNumId w:val="74402"/>
  </w:num>
  <w:num w:numId="68">
    <w:abstractNumId w:val="74403"/>
  </w:num>
  <w:num w:numId="69">
    <w:abstractNumId w:val="74404"/>
  </w:num>
  <w:num w:numId="70">
    <w:abstractNumId w:val="74405"/>
  </w:num>
  <w:num w:numId="71">
    <w:abstractNumId w:val="74406"/>
  </w:num>
  <w:num w:numId="72">
    <w:abstractNumId w:val="74407"/>
  </w:num>
  <w:num w:numId="73">
    <w:abstractNumId w:val="74408"/>
  </w:num>
  <w:num w:numId="74">
    <w:abstractNumId w:val="74409"/>
  </w:num>
  <w:num w:numId="75">
    <w:abstractNumId w:val="74410"/>
  </w:num>
  <w:num w:numId="76">
    <w:abstractNumId w:val="74411"/>
  </w:num>
  <w:num w:numId="77">
    <w:abstractNumId w:val="74412"/>
  </w:num>
  <w:num w:numId="78">
    <w:abstractNumId w:val="74413"/>
  </w:num>
  <w:num w:numId="79">
    <w:abstractNumId w:val="74414"/>
  </w:num>
  <w:num w:numId="80">
    <w:abstractNumId w:val="74415"/>
  </w:num>
  <w:num w:numId="81">
    <w:abstractNumId w:val="74416"/>
  </w:num>
  <w:num w:numId="82">
    <w:abstractNumId w:val="74417"/>
  </w:num>
  <w:num w:numId="83">
    <w:abstractNumId w:val="74418"/>
  </w:num>
  <w:num w:numId="84">
    <w:abstractNumId w:val="74419"/>
  </w:num>
  <w:num w:numId="85">
    <w:abstractNumId w:val="74420"/>
  </w:num>
  <w:num w:numId="86">
    <w:abstractNumId w:val="74421"/>
  </w:num>
  <w:num w:numId="87">
    <w:abstractNumId w:val="74422"/>
  </w:num>
  <w:num w:numId="88">
    <w:abstractNumId w:val="74423"/>
  </w:num>
  <w:num w:numId="89">
    <w:abstractNumId w:val="74424"/>
  </w:num>
  <w:num w:numId="90">
    <w:abstractNumId w:val="74425"/>
  </w:num>
  <w:num w:numId="91">
    <w:abstractNumId w:val="74426"/>
  </w:num>
  <w:num w:numId="92">
    <w:abstractNumId w:val="74427"/>
  </w:num>
  <w:num w:numId="93">
    <w:abstractNumId w:val="74428"/>
  </w:num>
  <w:num w:numId="94">
    <w:abstractNumId w:val="74429"/>
  </w:num>
  <w:num w:numId="95">
    <w:abstractNumId w:val="74430"/>
  </w:num>
  <w:num w:numId="96">
    <w:abstractNumId w:val="74431"/>
  </w:num>
  <w:num w:numId="97">
    <w:abstractNumId w:val="74432"/>
  </w:num>
  <w:num w:numId="98">
    <w:abstractNumId w:val="74433"/>
  </w:num>
  <w:num w:numId="99">
    <w:abstractNumId w:val="74434"/>
  </w:num>
  <w:num w:numId="100">
    <w:abstractNumId w:val="74435"/>
  </w:num>
  <w:num w:numId="101">
    <w:abstractNumId w:val="74436"/>
  </w:num>
  <w:num w:numId="102">
    <w:abstractNumId w:val="74437"/>
  </w:num>
  <w:num w:numId="103">
    <w:abstractNumId w:val="74438"/>
  </w:num>
  <w:num w:numId="104">
    <w:abstractNumId w:val="74439"/>
  </w:num>
  <w:num w:numId="105">
    <w:abstractNumId w:val="74440"/>
  </w:num>
  <w:num w:numId="106">
    <w:abstractNumId w:val="74441"/>
  </w:num>
  <w:num w:numId="107">
    <w:abstractNumId w:val="74442"/>
  </w:num>
  <w:num w:numId="108">
    <w:abstractNumId w:val="74443"/>
  </w:num>
  <w:num w:numId="109">
    <w:abstractNumId w:val="74444"/>
  </w:num>
  <w:num w:numId="110">
    <w:abstractNumId w:val="74445"/>
  </w:num>
  <w:num w:numId="111">
    <w:abstractNumId w:val="74446"/>
  </w:num>
  <w:num w:numId="112">
    <w:abstractNumId w:val="74447"/>
  </w:num>
  <w:num w:numId="113">
    <w:abstractNumId w:val="74448"/>
  </w:num>
  <w:num w:numId="114">
    <w:abstractNumId w:val="74449"/>
  </w:num>
  <w:num w:numId="115">
    <w:abstractNumId w:val="74450"/>
  </w:num>
  <w:num w:numId="116">
    <w:abstractNumId w:val="74451"/>
  </w:num>
  <w:num w:numId="117">
    <w:abstractNumId w:val="74452"/>
  </w:num>
  <w:num w:numId="118">
    <w:abstractNumId w:val="74453"/>
  </w:num>
  <w:num w:numId="119">
    <w:abstractNumId w:val="74454"/>
  </w:num>
  <w:num w:numId="120">
    <w:abstractNumId w:val="74455"/>
  </w:num>
  <w:num w:numId="121">
    <w:abstractNumId w:val="74456"/>
  </w:num>
  <w:num w:numId="122">
    <w:abstractNumId w:val="74457"/>
  </w:num>
  <w:num w:numId="123">
    <w:abstractNumId w:val="74458"/>
  </w:num>
  <w:num w:numId="124">
    <w:abstractNumId w:val="74459"/>
  </w:num>
  <w:num w:numId="125">
    <w:abstractNumId w:val="74460"/>
  </w:num>
  <w:num w:numId="126">
    <w:abstractNumId w:val="74461"/>
  </w:num>
  <w:num w:numId="127">
    <w:abstractNumId w:val="74462"/>
  </w:num>
  <w:num w:numId="128">
    <w:abstractNumId w:val="74463"/>
  </w:num>
  <w:num w:numId="129">
    <w:abstractNumId w:val="74464"/>
  </w:num>
  <w:num w:numId="130">
    <w:abstractNumId w:val="74465"/>
  </w:num>
  <w:num w:numId="131">
    <w:abstractNumId w:val="74466"/>
  </w:num>
  <w:num w:numId="132">
    <w:abstractNumId w:val="74467"/>
  </w:num>
  <w:num w:numId="133">
    <w:abstractNumId w:val="74468"/>
  </w:num>
  <w:num w:numId="134">
    <w:abstractNumId w:val="74469"/>
  </w:num>
  <w:num w:numId="135">
    <w:abstractNumId w:val="74470"/>
  </w:num>
  <w:num w:numId="136">
    <w:abstractNumId w:val="74471"/>
  </w:num>
  <w:num w:numId="137">
    <w:abstractNumId w:val="74472"/>
  </w:num>
  <w:num w:numId="138">
    <w:abstractNumId w:val="74473"/>
  </w:num>
  <w:num w:numId="139">
    <w:abstractNumId w:val="74474"/>
  </w:num>
  <w:num w:numId="140">
    <w:abstractNumId w:val="74475"/>
  </w:num>
  <w:num w:numId="141">
    <w:abstractNumId w:val="74476"/>
  </w:num>
  <w:num w:numId="142">
    <w:abstractNumId w:val="74477"/>
  </w:num>
  <w:num w:numId="143">
    <w:abstractNumId w:val="74478"/>
  </w:num>
  <w:num w:numId="144">
    <w:abstractNumId w:val="74479"/>
  </w:num>
  <w:num w:numId="145">
    <w:abstractNumId w:val="74480"/>
  </w:num>
  <w:num w:numId="146">
    <w:abstractNumId w:val="74481"/>
  </w:num>
  <w:num w:numId="147">
    <w:abstractNumId w:val="74482"/>
  </w:num>
  <w:num w:numId="148">
    <w:abstractNumId w:val="74483"/>
  </w:num>
  <w:num w:numId="149">
    <w:abstractNumId w:val="74484"/>
  </w:num>
  <w:num w:numId="150">
    <w:abstractNumId w:val="74485"/>
  </w:num>
  <w:num w:numId="151">
    <w:abstractNumId w:val="74486"/>
  </w:num>
  <w:num w:numId="152">
    <w:abstractNumId w:val="74487"/>
  </w:num>
  <w:num w:numId="153">
    <w:abstractNumId w:val="74488"/>
  </w:num>
  <w:num w:numId="154">
    <w:abstractNumId w:val="74489"/>
  </w:num>
  <w:num w:numId="155">
    <w:abstractNumId w:val="74490"/>
  </w:num>
  <w:num w:numId="156">
    <w:abstractNumId w:val="74491"/>
  </w:num>
  <w:num w:numId="157">
    <w:abstractNumId w:val="74492"/>
  </w:num>
  <w:num w:numId="158">
    <w:abstractNumId w:val="74493"/>
  </w:num>
  <w:num w:numId="159">
    <w:abstractNumId w:val="74494"/>
  </w:num>
  <w:num w:numId="160">
    <w:abstractNumId w:val="74495"/>
  </w:num>
  <w:num w:numId="161">
    <w:abstractNumId w:val="74496"/>
  </w:num>
  <w:num w:numId="162">
    <w:abstractNumId w:val="74497"/>
  </w:num>
  <w:num w:numId="163">
    <w:abstractNumId w:val="74498"/>
  </w:num>
  <w:num w:numId="164">
    <w:abstractNumId w:val="74499"/>
  </w:num>
  <w:num w:numId="165">
    <w:abstractNumId w:val="74500"/>
  </w:num>
  <w:num w:numId="166">
    <w:abstractNumId w:val="745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https://sjpm1eckbpc2.jp.larksuite.com/wiki/NFoVwAHajioNz7kcUicjXIvMpAh" TargetMode="External" Type="http://schemas.openxmlformats.org/officeDocument/2006/relationships/hyperlink"/><Relationship Id="rId14" Target="media/image6.png" Type="http://schemas.openxmlformats.org/officeDocument/2006/relationships/image"/><Relationship Id="rId15" Target="https://sjpm1eckbpc2.jp.larksuite.com/wiki/TWl7wBaijiTDzrkRb1GjtmKhpWc" TargetMode="External" Type="http://schemas.openxmlformats.org/officeDocument/2006/relationships/hyperlink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https://sjpm1eckbpc2.jp.larksuite.com/wiki/FFO2w3S5Niczlqkvtjrjpdw8pUf" TargetMode="External" Type="http://schemas.openxmlformats.org/officeDocument/2006/relationships/hyperlink"/><Relationship Id="rId22" Target="media/image12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2026-03-06T07:47:03Z</dcterms:created>
  <dc:creator>Apache POI</dc:creator>
</cp:coreProperties>
</file>