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Ustar 全角色资金业务流程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一、角色与账户划分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1.1. 资金账户</w:t>
      </w:r>
      <w:r>
        <w:rPr>
          <w:rFonts w:eastAsia="等线" w:ascii="Arial" w:cs="Arial" w:hAnsi="Arial"/>
          <w:b w:val="true"/>
          <w:sz w:val="30"/>
        </w:rPr>
        <w:t>角色体系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1875"/>
        <w:gridCol w:w="2625"/>
        <w:gridCol w:w="244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账户名称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资金来源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业务场景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风险点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用户卡账户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用户资金账户手动 / 自动划转的资金；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2. 邀请新用户开卡 / 划转的返现资金（可直接划入？）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理财赎回 / 结息的原路返回资金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实体卡：刷卡、ATM 操作、移动支付线上 / 线下消费；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虚拟卡：移动支付线上消费；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作为美金消费场景的余额校验基础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开卡费用仅要求用充值 USDT 支付，未明确支付后的资金核销、监管流程，存在费用资金挪用风险；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虚拟卡自动绑定无额外验证环节，若用户账户信息泄露，易出现虚拟卡被盗用、资金划转风险；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用户资金账户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用户充值（经充值地址归集后入账）；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ff67a"/>
              </w:rPr>
              <w:t>2. 邀请新用户开卡 / 划转的返现资金？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理财业务的结息、产品出售所得及本金赎回资金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作为用户核心资金池，支持向用户卡账户划转资金；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支持用户直接购买理财产品；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接收各类收益、返现资金，是用户资金流转核心节点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1.返现资金可自由进入该账户，未明确返现的触发条件审核、金额校验规则，存在恶意刷返现套取平台资金的漏洞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平台冷钱包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用户充值（经用户充值地址归集而来）. 用户充值到账后满足风控条件(地址内余额 &gt; 100 U),自动转至冷钱包.或定时转至冷钱包.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管理平台所有用户充值的核心资金；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向平台热钱包划转资金，补足用户提币的资金缺口；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可向 Bitgo 保险账户划转资金进行第三方托管；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 是平台资金归集、调配的核心账户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冷钱包资金盘点、对账机制，无法及时发现资金流失、账实不符问题；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平台热钱包（提币账户）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用户从资金账户发起提币申请，从此账户转至用户指定的钱包地址。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用户资金账户里数字货币可以提到自己的钱包地址或者交易所中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定时观测热钱包账户里的余额，否则会导致用户提币失败；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StraitsX 美金账户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平台预存的消费美金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对接线下实体商家与电商平台，完成美金场景支付；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接收平台的美金预存资金，生成美金消费账户；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向平台推送用户美金消费待支付通知，配合完成消费校验与资金结算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平台预存额度管控规则未明确，存在预存资金过多导致资金闲置或不足影响消费的问题，也存在预存资金被违规挪用风险；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等线" w:ascii="Arial" w:cs="Arial" w:hAnsi="Arial"/>
                <w:sz w:val="22"/>
              </w:rPr>
              <w:t>应建立</w:t>
            </w:r>
            <w:r>
              <w:rPr>
                <w:rFonts w:eastAsia="等线" w:ascii="Arial" w:cs="Arial" w:hAnsi="Arial"/>
                <w:sz w:val="22"/>
              </w:rPr>
              <w:t>消费异常监控机制，若用户卡账户余额校验失效，易出现超余额消费、平台垫资风险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Bitgo 保险账户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从平台冷 / 热钱包划转的资金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为平台资金提供第三方托管服务，保障资金安全；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 对托管资金进行公示，提升资金透明度；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 为机构用户提供商务开户接入托管服务的入口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 xml:space="preserve">1.2. </w:t>
      </w:r>
      <w:r>
        <w:rPr>
          <w:rFonts w:eastAsia="等线" w:ascii="Arial" w:cs="Arial" w:hAnsi="Arial"/>
          <w:b w:val="true"/>
          <w:sz w:val="30"/>
        </w:rPr>
        <w:t>资金业务流程图：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053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1.3. 角色参与业务时序图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二、核心业务流程拆解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用户注册与资金进入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用户注册</w:t>
      </w:r>
      <w:r>
        <w:rPr>
          <w:rFonts w:eastAsia="等线" w:ascii="Arial" w:cs="Arial" w:hAnsi="Arial"/>
          <w:sz w:val="22"/>
        </w:rPr>
        <w:t>：用户完成注册后，系统自动生成</w:t>
      </w:r>
      <w:r>
        <w:rPr>
          <w:rFonts w:eastAsia="等线" w:ascii="Arial" w:cs="Arial" w:hAnsi="Arial"/>
          <w:b w:val="true"/>
          <w:sz w:val="22"/>
        </w:rPr>
        <w:t>用户资金账户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邀请用户</w:t>
      </w:r>
      <w:r>
        <w:rPr>
          <w:rFonts w:eastAsia="等线" w:ascii="Arial" w:cs="Arial" w:hAnsi="Arial"/>
          <w:sz w:val="22"/>
        </w:rPr>
        <w:t>：老用户邀请新用户开卡和划转到卡账户，可获得返现，返现直接进入</w:t>
      </w:r>
      <w:r>
        <w:rPr>
          <w:rFonts w:eastAsia="等线" w:ascii="Arial" w:cs="Arial" w:hAnsi="Arial"/>
          <w:b w:val="true"/>
          <w:sz w:val="22"/>
        </w:rPr>
        <w:t>用户资金账户（或卡账户）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用户充值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用户通过 “充值USDT”的方式将资金转入用户对应的充值地址，同时资金账户增加余额。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平台通过用户资金归集到平台冷钱包（一部分钱会提到平台热钱包中用户提币）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卡账户开通与资金划转</w:t>
      </w:r>
      <w:bookmarkEnd w:id="6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申请卡片</w:t>
      </w:r>
      <w:r>
        <w:rPr>
          <w:rFonts w:eastAsia="等线" w:ascii="Arial" w:cs="Arial" w:hAnsi="Arial"/>
          <w:sz w:val="22"/>
        </w:rPr>
        <w:t>：用户申请实体卡或虚拟卡，需支付$100或$10的开卡费用，开卡费用需通过充值的USDT完成支付。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绑定卡片</w:t>
      </w:r>
      <w:r>
        <w:rPr>
          <w:rFonts w:eastAsia="等线" w:ascii="Arial" w:cs="Arial" w:hAnsi="Arial"/>
          <w:sz w:val="22"/>
        </w:rPr>
        <w:t>：申请成功后，用户根据提示操作将实体卡与</w:t>
      </w:r>
      <w:r>
        <w:rPr>
          <w:rFonts w:eastAsia="等线" w:ascii="Arial" w:cs="Arial" w:hAnsi="Arial"/>
          <w:b w:val="true"/>
          <w:sz w:val="22"/>
        </w:rPr>
        <w:t>用户账户</w:t>
      </w:r>
      <w:r>
        <w:rPr>
          <w:rFonts w:eastAsia="等线" w:ascii="Arial" w:cs="Arial" w:hAnsi="Arial"/>
          <w:sz w:val="22"/>
        </w:rPr>
        <w:t>绑定（虚拟卡自动绑定）。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资金划转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用户可从</w:t>
      </w:r>
      <w:r>
        <w:rPr>
          <w:rFonts w:eastAsia="等线" w:ascii="Arial" w:cs="Arial" w:hAnsi="Arial"/>
          <w:b w:val="true"/>
          <w:sz w:val="22"/>
        </w:rPr>
        <w:t>用户资金账户</w:t>
      </w:r>
      <w:r>
        <w:rPr>
          <w:rFonts w:eastAsia="等线" w:ascii="Arial" w:cs="Arial" w:hAnsi="Arial"/>
          <w:sz w:val="22"/>
        </w:rPr>
        <w:t>自动 / 手动划转资金至</w:t>
      </w:r>
      <w:r>
        <w:rPr>
          <w:rFonts w:eastAsia="等线" w:ascii="Arial" w:cs="Arial" w:hAnsi="Arial"/>
          <w:b w:val="true"/>
          <w:sz w:val="22"/>
        </w:rPr>
        <w:t>用户卡账户</w:t>
      </w:r>
      <w:r>
        <w:rPr>
          <w:rFonts w:eastAsia="等线" w:ascii="Arial" w:cs="Arial" w:hAnsi="Arial"/>
          <w:sz w:val="22"/>
        </w:rPr>
        <w:t>（实体卡 / 虚拟卡）。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邀请用户开卡或划转的返现也可直接划转至卡账户。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消费场景</w:t>
      </w:r>
      <w:bookmarkEnd w:id="7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实体卡消费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通过刷卡 / ATM 等方式，直接使用</w:t>
      </w:r>
      <w:r>
        <w:rPr>
          <w:rFonts w:eastAsia="等线" w:ascii="Arial" w:cs="Arial" w:hAnsi="Arial"/>
          <w:b w:val="true"/>
          <w:sz w:val="22"/>
        </w:rPr>
        <w:t>实体卡</w:t>
      </w:r>
      <w:r>
        <w:rPr>
          <w:rFonts w:eastAsia="等线" w:ascii="Arial" w:cs="Arial" w:hAnsi="Arial"/>
          <w:sz w:val="22"/>
        </w:rPr>
        <w:t>进行消费，或通过移动支付完成线上消费。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虚拟卡消费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通过移动支付，使用</w:t>
      </w:r>
      <w:r>
        <w:rPr>
          <w:rFonts w:eastAsia="等线" w:ascii="Arial" w:cs="Arial" w:hAnsi="Arial"/>
          <w:b w:val="true"/>
          <w:sz w:val="22"/>
        </w:rPr>
        <w:t>虚拟卡</w:t>
      </w:r>
      <w:r>
        <w:rPr>
          <w:rFonts w:eastAsia="等线" w:ascii="Arial" w:cs="Arial" w:hAnsi="Arial"/>
          <w:sz w:val="22"/>
        </w:rPr>
        <w:t>进行线上消费。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平台美金消费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平台将消费美金存至</w:t>
      </w:r>
      <w:r>
        <w:rPr>
          <w:rFonts w:eastAsia="等线" w:ascii="Arial" w:cs="Arial" w:hAnsi="Arial"/>
          <w:b w:val="true"/>
          <w:sz w:val="22"/>
        </w:rPr>
        <w:t>StraitsX 美金账户</w:t>
      </w:r>
      <w:r>
        <w:rPr>
          <w:rFonts w:eastAsia="等线" w:ascii="Arial" w:cs="Arial" w:hAnsi="Arial"/>
          <w:sz w:val="22"/>
        </w:rPr>
        <w:t>，生成 “美金消费账户（平台预存）”。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StraitsX 美金账户</w:t>
      </w:r>
      <w:r>
        <w:rPr>
          <w:rFonts w:eastAsia="等线" w:ascii="Arial" w:cs="Arial" w:hAnsi="Arial"/>
          <w:sz w:val="22"/>
        </w:rPr>
        <w:t>可用于支付线下实体商家或电商平台。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用户发起消费请求，</w:t>
      </w:r>
      <w:r>
        <w:rPr>
          <w:rFonts w:eastAsia="等线" w:ascii="Arial" w:cs="Arial" w:hAnsi="Arial"/>
          <w:b w:val="true"/>
          <w:sz w:val="22"/>
        </w:rPr>
        <w:t>StraitsX</w:t>
      </w:r>
      <w:r>
        <w:rPr>
          <w:rFonts w:eastAsia="等线" w:ascii="Arial" w:cs="Arial" w:hAnsi="Arial"/>
          <w:sz w:val="22"/>
        </w:rPr>
        <w:t>通知平台一笔待支付的订单，平台校验用户卡账户余额，消费完成后，消费信息流推送给用户。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理财业务</w:t>
      </w:r>
      <w:bookmarkEnd w:id="8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购买理财</w:t>
      </w:r>
      <w:r>
        <w:rPr>
          <w:rFonts w:eastAsia="等线" w:ascii="Arial" w:cs="Arial" w:hAnsi="Arial"/>
          <w:sz w:val="22"/>
        </w:rPr>
        <w:t>：用户从</w:t>
      </w:r>
      <w:r>
        <w:rPr>
          <w:rFonts w:eastAsia="等线" w:ascii="Arial" w:cs="Arial" w:hAnsi="Arial"/>
          <w:b w:val="true"/>
          <w:sz w:val="22"/>
        </w:rPr>
        <w:t>用户资金账户或卡账户</w:t>
      </w:r>
      <w:r>
        <w:rPr>
          <w:rFonts w:eastAsia="等线" w:ascii="Arial" w:cs="Arial" w:hAnsi="Arial"/>
          <w:sz w:val="22"/>
        </w:rPr>
        <w:t>购买理财产品。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理财收益与赎回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理财产生的结息或产品出售所得，原路返回至</w:t>
      </w:r>
      <w:r>
        <w:rPr>
          <w:rFonts w:eastAsia="等线" w:ascii="Arial" w:cs="Arial" w:hAnsi="Arial"/>
          <w:b w:val="true"/>
          <w:sz w:val="22"/>
        </w:rPr>
        <w:t>用户资金账户或卡账户。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用户也可选择赎回理财本金，资金同样原路返回。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提币与资金托管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提币到钱包地址</w:t>
      </w:r>
      <w:r>
        <w:rPr>
          <w:rFonts w:eastAsia="等线" w:ascii="Arial" w:cs="Arial" w:hAnsi="Arial"/>
          <w:sz w:val="22"/>
        </w:rPr>
        <w:t>：用户发起提币申请，币从平台热钱包将 USDT 提取到外部钱包地址。</w:t>
      </w:r>
      <w:r>
        <w:rPr>
          <w:rFonts w:eastAsia="等线" w:ascii="Arial" w:cs="Arial" w:hAnsi="Arial"/>
          <w:sz w:val="22"/>
          <w:shd w:fill="fff67a"/>
        </w:rPr>
        <w:t>PS：如果热提钱包不足，需要从冷钱包划入。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第三方托管</w:t>
      </w:r>
      <w:r>
        <w:rPr>
          <w:rFonts w:eastAsia="等线" w:ascii="Arial" w:cs="Arial" w:hAnsi="Arial"/>
          <w:sz w:val="22"/>
          <w:shd w:fill="fff67a"/>
        </w:rPr>
        <w:t>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根据运营需要将</w:t>
      </w:r>
      <w:r>
        <w:rPr>
          <w:rFonts w:eastAsia="等线" w:ascii="Arial" w:cs="Arial" w:hAnsi="Arial"/>
          <w:b w:val="true"/>
          <w:sz w:val="22"/>
        </w:rPr>
        <w:t>平台冷钱包的资金</w:t>
      </w:r>
      <w:r>
        <w:rPr>
          <w:rFonts w:eastAsia="等线" w:ascii="Arial" w:cs="Arial" w:hAnsi="Arial"/>
          <w:sz w:val="22"/>
        </w:rPr>
        <w:t>划转至</w:t>
      </w:r>
      <w:r>
        <w:rPr>
          <w:rFonts w:eastAsia="等线" w:ascii="Arial" w:cs="Arial" w:hAnsi="Arial"/>
          <w:b w:val="true"/>
          <w:sz w:val="22"/>
        </w:rPr>
        <w:t>Bitgo 保险账户</w:t>
      </w:r>
      <w:r>
        <w:rPr>
          <w:rFonts w:eastAsia="等线" w:ascii="Arial" w:cs="Arial" w:hAnsi="Arial"/>
          <w:sz w:val="22"/>
        </w:rPr>
        <w:t>的 “第三方托管公示账户”。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该账户由 Bitgo 提供保险服务，确保资金安全并进行公示。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商务开户</w:t>
      </w:r>
      <w:r>
        <w:rPr>
          <w:rFonts w:eastAsia="等线" w:ascii="Arial" w:cs="Arial" w:hAnsi="Arial"/>
          <w:sz w:val="22"/>
        </w:rPr>
        <w:t>：机构用户在 Bitgo 完成商务开户，接入托管服务。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三、关键资金流向</w:t>
      </w:r>
      <w:bookmarkEnd w:id="10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用户充值</w:t>
      </w:r>
      <w:r>
        <w:rPr>
          <w:rFonts w:eastAsia="等线" w:ascii="Arial" w:cs="Arial" w:hAnsi="Arial"/>
          <w:sz w:val="22"/>
        </w:rPr>
        <w:t>：用户 →  用户充值地址（后续归集到平台冷钱包）→ 用户资金账户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卡消费</w:t>
      </w:r>
      <w:r>
        <w:rPr>
          <w:rFonts w:eastAsia="等线" w:ascii="Arial" w:cs="Arial" w:hAnsi="Arial"/>
          <w:sz w:val="22"/>
        </w:rPr>
        <w:t>：用户资金账户 → 用户卡账户 → 消费场景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理财</w:t>
      </w:r>
      <w:r>
        <w:rPr>
          <w:rFonts w:eastAsia="等线" w:ascii="Arial" w:cs="Arial" w:hAnsi="Arial"/>
          <w:sz w:val="22"/>
        </w:rPr>
        <w:t>：用户资金账户 → 购买理财 → 结息 / 出售 → 用户资金账户/卡账户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提币</w:t>
      </w:r>
      <w:r>
        <w:rPr>
          <w:rFonts w:eastAsia="等线" w:ascii="Arial" w:cs="Arial" w:hAnsi="Arial"/>
          <w:sz w:val="22"/>
        </w:rPr>
        <w:t>：用户发起提币申请 → 平台热钱包 （如不足提醒从平台冷钱包划转）→ 用户外部钱包地址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美金消费</w:t>
      </w:r>
      <w:r>
        <w:rPr>
          <w:rFonts w:eastAsia="等线" w:ascii="Arial" w:cs="Arial" w:hAnsi="Arial"/>
          <w:sz w:val="22"/>
        </w:rPr>
        <w:t>：用户发起消费申请 → 校验用户余额 （StraitsX通知平台消费金额） → StraitsX 美金账户 → 线下 / 电商消费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资金托管</w:t>
      </w:r>
      <w:r>
        <w:rPr>
          <w:rFonts w:eastAsia="等线" w:ascii="Arial" w:cs="Arial" w:hAnsi="Arial"/>
          <w:sz w:val="22"/>
        </w:rPr>
        <w:t>：平台冷/热钱包 → Bitgo 保险账户（第三方托管）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四、用户关键资金流向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普通用户： </w:t>
      </w:r>
      <w:r>
        <w:rPr>
          <w:rFonts w:eastAsia="等线" w:ascii="Arial" w:cs="Arial" w:hAnsi="Arial"/>
          <w:sz w:val="22"/>
        </w:rPr>
        <w:t>充值 → 用户地址 → （归集）平台冷钱包 → 资金账户 → 划转至卡账户 → 消费/理财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 xml:space="preserve">B端用户（邀请）： </w:t>
      </w:r>
      <w:r>
        <w:rPr>
          <w:rFonts w:eastAsia="等线" w:ascii="Arial" w:cs="Arial" w:hAnsi="Arial"/>
          <w:sz w:val="22"/>
          <w:shd w:fill="fff67a"/>
        </w:rPr>
        <w:t>邀请用户→ 开卡返现 → 资金账户 → 理财/提币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 xml:space="preserve">B端用户（邀请）： </w:t>
      </w:r>
      <w:r>
        <w:rPr>
          <w:rFonts w:eastAsia="等线" w:ascii="Arial" w:cs="Arial" w:hAnsi="Arial"/>
          <w:sz w:val="22"/>
          <w:shd w:fill="fff67a"/>
        </w:rPr>
        <w:t>邀请用户→ 用户划转至卡账户返现 → 资金账户 → 理财/提币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待讨论：与上面的方案不同就是返现的钱留在哪个账户？以下方案要求必须持有卡账户才可以邀请返现：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 xml:space="preserve">B端用户（邀请）： </w:t>
      </w:r>
      <w:r>
        <w:rPr>
          <w:rFonts w:eastAsia="等线" w:ascii="Arial" w:cs="Arial" w:hAnsi="Arial"/>
          <w:sz w:val="22"/>
          <w:shd w:fill="fff67a"/>
        </w:rPr>
        <w:t>邀请用户→ 开卡返现 → 卡账户 → 理财/提币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 xml:space="preserve">B端用户（邀请）： </w:t>
      </w:r>
      <w:r>
        <w:rPr>
          <w:rFonts w:eastAsia="等线" w:ascii="Arial" w:cs="Arial" w:hAnsi="Arial"/>
          <w:sz w:val="22"/>
          <w:shd w:fill="fff67a"/>
        </w:rPr>
        <w:t>邀请用户→ 用户划转至卡账户返现 → 卡账户 → 理财/提币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用户的卡账户是否支持转账（虚拟卡和实体卡的划转或转给其他人）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973">
    <w:lvl>
      <w:start w:val="1"/>
      <w:numFmt w:val="decimal"/>
      <w:suff w:val="tab"/>
      <w:lvlText w:val="%1."/>
      <w:rPr>
        <w:color w:val="3370ff"/>
      </w:rPr>
    </w:lvl>
  </w:abstractNum>
  <w:abstractNum w:abstractNumId="85974">
    <w:lvl>
      <w:start w:val="2"/>
      <w:numFmt w:val="decimal"/>
      <w:suff w:val="tab"/>
      <w:lvlText w:val="%1."/>
      <w:rPr>
        <w:color w:val="3370ff"/>
      </w:rPr>
    </w:lvl>
  </w:abstractNum>
  <w:abstractNum w:abstractNumId="85975">
    <w:lvl>
      <w:start w:val="3"/>
      <w:numFmt w:val="decimal"/>
      <w:suff w:val="tab"/>
      <w:lvlText w:val="%1."/>
      <w:rPr>
        <w:color w:val="3370ff"/>
      </w:rPr>
    </w:lvl>
  </w:abstractNum>
  <w:abstractNum w:abstractNumId="85976">
    <w:lvl>
      <w:numFmt w:val="bullet"/>
      <w:suff w:val="tab"/>
      <w:lvlText w:val="￮"/>
      <w:rPr>
        <w:color w:val="3370ff"/>
      </w:rPr>
    </w:lvl>
  </w:abstractNum>
  <w:abstractNum w:abstractNumId="85977">
    <w:lvl>
      <w:numFmt w:val="bullet"/>
      <w:suff w:val="tab"/>
      <w:lvlText w:val="￮"/>
      <w:rPr>
        <w:color w:val="3370ff"/>
      </w:rPr>
    </w:lvl>
  </w:abstractNum>
  <w:abstractNum w:abstractNumId="85978">
    <w:lvl>
      <w:start w:val="1"/>
      <w:numFmt w:val="decimal"/>
      <w:suff w:val="tab"/>
      <w:lvlText w:val="%1."/>
      <w:rPr>
        <w:color w:val="3370ff"/>
      </w:rPr>
    </w:lvl>
  </w:abstractNum>
  <w:abstractNum w:abstractNumId="85979">
    <w:lvl>
      <w:start w:val="2"/>
      <w:numFmt w:val="decimal"/>
      <w:suff w:val="tab"/>
      <w:lvlText w:val="%1."/>
      <w:rPr>
        <w:color w:val="3370ff"/>
      </w:rPr>
    </w:lvl>
  </w:abstractNum>
  <w:abstractNum w:abstractNumId="85980">
    <w:lvl>
      <w:start w:val="3"/>
      <w:numFmt w:val="decimal"/>
      <w:suff w:val="tab"/>
      <w:lvlText w:val="%1."/>
      <w:rPr>
        <w:color w:val="3370ff"/>
      </w:rPr>
    </w:lvl>
  </w:abstractNum>
  <w:abstractNum w:abstractNumId="85981">
    <w:lvl>
      <w:numFmt w:val="bullet"/>
      <w:suff w:val="tab"/>
      <w:lvlText w:val="￮"/>
      <w:rPr>
        <w:color w:val="3370ff"/>
      </w:rPr>
    </w:lvl>
  </w:abstractNum>
  <w:abstractNum w:abstractNumId="85982">
    <w:lvl>
      <w:numFmt w:val="bullet"/>
      <w:suff w:val="tab"/>
      <w:lvlText w:val="￮"/>
      <w:rPr>
        <w:color w:val="3370ff"/>
      </w:rPr>
    </w:lvl>
  </w:abstractNum>
  <w:abstractNum w:abstractNumId="85983">
    <w:lvl>
      <w:start w:val="1"/>
      <w:numFmt w:val="decimal"/>
      <w:suff w:val="tab"/>
      <w:lvlText w:val="%1."/>
      <w:rPr>
        <w:color w:val="3370ff"/>
      </w:rPr>
    </w:lvl>
  </w:abstractNum>
  <w:abstractNum w:abstractNumId="85984">
    <w:lvl>
      <w:numFmt w:val="bullet"/>
      <w:suff w:val="tab"/>
      <w:lvlText w:val="￮"/>
      <w:rPr>
        <w:color w:val="3370ff"/>
      </w:rPr>
    </w:lvl>
  </w:abstractNum>
  <w:abstractNum w:abstractNumId="85985">
    <w:lvl>
      <w:start w:val="2"/>
      <w:numFmt w:val="decimal"/>
      <w:suff w:val="tab"/>
      <w:lvlText w:val="%1."/>
      <w:rPr>
        <w:color w:val="3370ff"/>
      </w:rPr>
    </w:lvl>
  </w:abstractNum>
  <w:abstractNum w:abstractNumId="85986">
    <w:lvl>
      <w:numFmt w:val="bullet"/>
      <w:suff w:val="tab"/>
      <w:lvlText w:val="￮"/>
      <w:rPr>
        <w:color w:val="3370ff"/>
      </w:rPr>
    </w:lvl>
  </w:abstractNum>
  <w:abstractNum w:abstractNumId="85987">
    <w:lvl>
      <w:start w:val="3"/>
      <w:numFmt w:val="decimal"/>
      <w:suff w:val="tab"/>
      <w:lvlText w:val="%1."/>
      <w:rPr>
        <w:color w:val="3370ff"/>
      </w:rPr>
    </w:lvl>
  </w:abstractNum>
  <w:abstractNum w:abstractNumId="85988">
    <w:lvl>
      <w:numFmt w:val="bullet"/>
      <w:suff w:val="tab"/>
      <w:lvlText w:val="￮"/>
      <w:rPr>
        <w:color w:val="3370ff"/>
      </w:rPr>
    </w:lvl>
  </w:abstractNum>
  <w:abstractNum w:abstractNumId="85989">
    <w:lvl>
      <w:numFmt w:val="bullet"/>
      <w:suff w:val="tab"/>
      <w:lvlText w:val="￮"/>
      <w:rPr>
        <w:color w:val="3370ff"/>
      </w:rPr>
    </w:lvl>
  </w:abstractNum>
  <w:abstractNum w:abstractNumId="85990">
    <w:lvl>
      <w:numFmt w:val="bullet"/>
      <w:suff w:val="tab"/>
      <w:lvlText w:val="￮"/>
      <w:rPr>
        <w:color w:val="3370ff"/>
      </w:rPr>
    </w:lvl>
  </w:abstractNum>
  <w:abstractNum w:abstractNumId="85991">
    <w:lvl>
      <w:start w:val="1"/>
      <w:numFmt w:val="decimal"/>
      <w:suff w:val="tab"/>
      <w:lvlText w:val="%1."/>
      <w:rPr>
        <w:color w:val="3370ff"/>
      </w:rPr>
    </w:lvl>
  </w:abstractNum>
  <w:abstractNum w:abstractNumId="85992">
    <w:lvl>
      <w:start w:val="2"/>
      <w:numFmt w:val="decimal"/>
      <w:suff w:val="tab"/>
      <w:lvlText w:val="%1."/>
      <w:rPr>
        <w:color w:val="3370ff"/>
      </w:rPr>
    </w:lvl>
  </w:abstractNum>
  <w:abstractNum w:abstractNumId="85993">
    <w:lvl>
      <w:numFmt w:val="bullet"/>
      <w:suff w:val="tab"/>
      <w:lvlText w:val="￮"/>
      <w:rPr>
        <w:color w:val="3370ff"/>
      </w:rPr>
    </w:lvl>
  </w:abstractNum>
  <w:abstractNum w:abstractNumId="85994">
    <w:lvl>
      <w:numFmt w:val="bullet"/>
      <w:suff w:val="tab"/>
      <w:lvlText w:val="￮"/>
      <w:rPr>
        <w:color w:val="3370ff"/>
      </w:rPr>
    </w:lvl>
  </w:abstractNum>
  <w:abstractNum w:abstractNumId="85995">
    <w:lvl>
      <w:start w:val="1"/>
      <w:numFmt w:val="decimal"/>
      <w:suff w:val="tab"/>
      <w:lvlText w:val="%1."/>
      <w:rPr>
        <w:color w:val="3370ff"/>
      </w:rPr>
    </w:lvl>
  </w:abstractNum>
  <w:abstractNum w:abstractNumId="85996">
    <w:lvl>
      <w:start w:val="2"/>
      <w:numFmt w:val="decimal"/>
      <w:suff w:val="tab"/>
      <w:lvlText w:val="%1."/>
      <w:rPr>
        <w:color w:val="3370ff"/>
      </w:rPr>
    </w:lvl>
  </w:abstractNum>
  <w:abstractNum w:abstractNumId="85997">
    <w:lvl>
      <w:numFmt w:val="bullet"/>
      <w:suff w:val="tab"/>
      <w:lvlText w:val="￮"/>
      <w:rPr>
        <w:color w:val="3370ff"/>
      </w:rPr>
    </w:lvl>
  </w:abstractNum>
  <w:abstractNum w:abstractNumId="85998">
    <w:lvl>
      <w:numFmt w:val="bullet"/>
      <w:suff w:val="tab"/>
      <w:lvlText w:val="￮"/>
      <w:rPr>
        <w:color w:val="3370ff"/>
      </w:rPr>
    </w:lvl>
  </w:abstractNum>
  <w:abstractNum w:abstractNumId="85999">
    <w:lvl>
      <w:start w:val="3"/>
      <w:numFmt w:val="decimal"/>
      <w:suff w:val="tab"/>
      <w:lvlText w:val="%1."/>
      <w:rPr>
        <w:color w:val="3370ff"/>
      </w:rPr>
    </w:lvl>
  </w:abstractNum>
  <w:abstractNum w:abstractNumId="86000">
    <w:lvl>
      <w:start w:val="1"/>
      <w:numFmt w:val="decimal"/>
      <w:suff w:val="tab"/>
      <w:lvlText w:val="%1."/>
      <w:rPr>
        <w:color w:val="3370ff"/>
      </w:rPr>
    </w:lvl>
  </w:abstractNum>
  <w:abstractNum w:abstractNumId="86001">
    <w:lvl>
      <w:start w:val="2"/>
      <w:numFmt w:val="decimal"/>
      <w:suff w:val="tab"/>
      <w:lvlText w:val="%1."/>
      <w:rPr>
        <w:color w:val="3370ff"/>
      </w:rPr>
    </w:lvl>
  </w:abstractNum>
  <w:abstractNum w:abstractNumId="86002">
    <w:lvl>
      <w:start w:val="3"/>
      <w:numFmt w:val="decimal"/>
      <w:suff w:val="tab"/>
      <w:lvlText w:val="%1."/>
      <w:rPr>
        <w:color w:val="3370ff"/>
      </w:rPr>
    </w:lvl>
  </w:abstractNum>
  <w:abstractNum w:abstractNumId="86003">
    <w:lvl>
      <w:start w:val="4"/>
      <w:numFmt w:val="decimal"/>
      <w:suff w:val="tab"/>
      <w:lvlText w:val="%1."/>
      <w:rPr>
        <w:color w:val="3370ff"/>
      </w:rPr>
    </w:lvl>
  </w:abstractNum>
  <w:abstractNum w:abstractNumId="86004">
    <w:lvl>
      <w:start w:val="5"/>
      <w:numFmt w:val="decimal"/>
      <w:suff w:val="tab"/>
      <w:lvlText w:val="%1."/>
      <w:rPr>
        <w:color w:val="3370ff"/>
      </w:rPr>
    </w:lvl>
  </w:abstractNum>
  <w:abstractNum w:abstractNumId="86005">
    <w:lvl>
      <w:start w:val="6"/>
      <w:numFmt w:val="decimal"/>
      <w:suff w:val="tab"/>
      <w:lvlText w:val="%1."/>
      <w:rPr>
        <w:color w:val="3370ff"/>
      </w:rPr>
    </w:lvl>
  </w:abstractNum>
  <w:abstractNum w:abstractNumId="86006">
    <w:lvl>
      <w:start w:val="1"/>
      <w:numFmt w:val="decimal"/>
      <w:suff w:val="tab"/>
      <w:lvlText w:val="%1."/>
      <w:rPr>
        <w:color w:val="3370ff"/>
      </w:rPr>
    </w:lvl>
  </w:abstractNum>
  <w:abstractNum w:abstractNumId="86007">
    <w:lvl>
      <w:start w:val="2"/>
      <w:numFmt w:val="decimal"/>
      <w:suff w:val="tab"/>
      <w:lvlText w:val="%1."/>
      <w:rPr>
        <w:color w:val="3370ff"/>
      </w:rPr>
    </w:lvl>
  </w:abstractNum>
  <w:abstractNum w:abstractNumId="86008">
    <w:lvl>
      <w:start w:val="3"/>
      <w:numFmt w:val="decimal"/>
      <w:suff w:val="tab"/>
      <w:lvlText w:val="%1."/>
      <w:rPr>
        <w:color w:val="3370ff"/>
      </w:rPr>
    </w:lvl>
  </w:abstractNum>
  <w:abstractNum w:abstractNumId="86009">
    <w:lvl>
      <w:start w:val="1"/>
      <w:numFmt w:val="decimal"/>
      <w:suff w:val="tab"/>
      <w:lvlText w:val="%1."/>
      <w:rPr>
        <w:color w:val="3370ff"/>
      </w:rPr>
    </w:lvl>
  </w:abstractNum>
  <w:abstractNum w:abstractNumId="86010">
    <w:lvl>
      <w:start w:val="2"/>
      <w:numFmt w:val="decimal"/>
      <w:suff w:val="tab"/>
      <w:lvlText w:val="%1."/>
      <w:rPr>
        <w:color w:val="3370ff"/>
      </w:rPr>
    </w:lvl>
  </w:abstractNum>
  <w:abstractNum w:abstractNumId="8601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5973"/>
  </w:num>
  <w:num w:numId="2">
    <w:abstractNumId w:val="85974"/>
  </w:num>
  <w:num w:numId="3">
    <w:abstractNumId w:val="85975"/>
  </w:num>
  <w:num w:numId="4">
    <w:abstractNumId w:val="85976"/>
  </w:num>
  <w:num w:numId="5">
    <w:abstractNumId w:val="85977"/>
  </w:num>
  <w:num w:numId="6">
    <w:abstractNumId w:val="85978"/>
  </w:num>
  <w:num w:numId="7">
    <w:abstractNumId w:val="85979"/>
  </w:num>
  <w:num w:numId="8">
    <w:abstractNumId w:val="85980"/>
  </w:num>
  <w:num w:numId="9">
    <w:abstractNumId w:val="85981"/>
  </w:num>
  <w:num w:numId="10">
    <w:abstractNumId w:val="85982"/>
  </w:num>
  <w:num w:numId="11">
    <w:abstractNumId w:val="85983"/>
  </w:num>
  <w:num w:numId="12">
    <w:abstractNumId w:val="85984"/>
  </w:num>
  <w:num w:numId="13">
    <w:abstractNumId w:val="85985"/>
  </w:num>
  <w:num w:numId="14">
    <w:abstractNumId w:val="85986"/>
  </w:num>
  <w:num w:numId="15">
    <w:abstractNumId w:val="85987"/>
  </w:num>
  <w:num w:numId="16">
    <w:abstractNumId w:val="85988"/>
  </w:num>
  <w:num w:numId="17">
    <w:abstractNumId w:val="85989"/>
  </w:num>
  <w:num w:numId="18">
    <w:abstractNumId w:val="85990"/>
  </w:num>
  <w:num w:numId="19">
    <w:abstractNumId w:val="85991"/>
  </w:num>
  <w:num w:numId="20">
    <w:abstractNumId w:val="85992"/>
  </w:num>
  <w:num w:numId="21">
    <w:abstractNumId w:val="85993"/>
  </w:num>
  <w:num w:numId="22">
    <w:abstractNumId w:val="85994"/>
  </w:num>
  <w:num w:numId="23">
    <w:abstractNumId w:val="85995"/>
  </w:num>
  <w:num w:numId="24">
    <w:abstractNumId w:val="85996"/>
  </w:num>
  <w:num w:numId="25">
    <w:abstractNumId w:val="85997"/>
  </w:num>
  <w:num w:numId="26">
    <w:abstractNumId w:val="85998"/>
  </w:num>
  <w:num w:numId="27">
    <w:abstractNumId w:val="85999"/>
  </w:num>
  <w:num w:numId="28">
    <w:abstractNumId w:val="86000"/>
  </w:num>
  <w:num w:numId="29">
    <w:abstractNumId w:val="86001"/>
  </w:num>
  <w:num w:numId="30">
    <w:abstractNumId w:val="86002"/>
  </w:num>
  <w:num w:numId="31">
    <w:abstractNumId w:val="86003"/>
  </w:num>
  <w:num w:numId="32">
    <w:abstractNumId w:val="86004"/>
  </w:num>
  <w:num w:numId="33">
    <w:abstractNumId w:val="86005"/>
  </w:num>
  <w:num w:numId="34">
    <w:abstractNumId w:val="86006"/>
  </w:num>
  <w:num w:numId="35">
    <w:abstractNumId w:val="86007"/>
  </w:num>
  <w:num w:numId="36">
    <w:abstractNumId w:val="86008"/>
  </w:num>
  <w:num w:numId="37">
    <w:abstractNumId w:val="86009"/>
  </w:num>
  <w:num w:numId="38">
    <w:abstractNumId w:val="86010"/>
  </w:num>
  <w:num w:numId="39">
    <w:abstractNumId w:val="860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2026-03-06T07:46:11Z</dcterms:created>
  <dc:creator>Apache POI</dc:creator>
</cp:coreProperties>
</file>