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2026 智能制造行业峰会——轻量化改造方案白皮书（摘要）</w:t>
      </w:r>
    </w:p>
    <w:p>
      <w:r>
        <w:t>一、背景。行业数字化改造投入同比增长 23%，但中小企业设备联网率不足 40%，数据标准不统一是主要瓶颈。</w:t>
      </w:r>
    </w:p>
    <w:p>
      <w:r>
        <w:t>二、方案。提出三级改造路径：单点设备联网、车间级 MES 部署、工厂级数据中台建设，平均投资回收期约 14 个月。</w:t>
      </w:r>
    </w:p>
    <w:p>
      <w:r>
        <w:t>三、行动项。组委会于 9 月 30 日前发布白皮书初稿；试点工厂报名通道 8 月 15 日开放；补贴申报辅导会 9 月 10 日线上举行。</w:t>
      </w:r>
    </w:p>
  </w:body>
</w:document>
</file>