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E6BFF"/>
          <w:sz w:val="44"/>
        </w:rPr>
        <w:t>预结算结算类型功能更新文档（v4）</w:t>
      </w:r>
    </w:p>
    <w:p>
      <w:pPr>
        <w:jc w:val="center"/>
      </w:pPr>
      <w:r>
        <w:rPr>
          <w:b w:val="0"/>
          <w:color w:val="86909C"/>
          <w:sz w:val="20"/>
        </w:rPr>
        <w:t>更新日期：2026-08-19  |  版本：v4  |  文件：TaskDetail.vue</w:t>
      </w:r>
    </w:p>
    <w:p/>
    <w:p>
      <w:pPr>
        <w:pBdr>
          <w:left w:val="single" w:sz="24" w:space="8" w:color="1e6bff"/>
        </w:pBdr>
      </w:pPr>
      <w:r>
        <w:rPr>
          <w:rFonts w:ascii="微软雅黑" w:hAnsi="微软雅黑" w:eastAsia="微软雅黑"/>
          <w:b/>
          <w:color w:val="1E6BFF"/>
          <w:sz w:val="32"/>
        </w:rPr>
        <w:t>一、更新概览</w:t>
      </w:r>
    </w:p>
    <w:p>
      <w:r>
        <w:rPr>
          <w:b w:val="0"/>
          <w:sz w:val="20"/>
        </w:rPr>
        <w:t>本次更新围绕「预结算」和「结算类型」功能展开，核心改动是在预结算弹窗中新增「部分预结算」按钮，并在三个列表中新增「结算类型」列。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模块</w:t>
            </w:r>
          </w:p>
        </w:tc>
        <w:tc>
          <w:tcPr>
            <w:tcW w:type="dxa" w:w="3135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文件</w:t>
            </w:r>
          </w:p>
        </w:tc>
        <w:tc>
          <w:tcPr>
            <w:tcW w:type="dxa" w:w="3135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更新内容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预结算弹窗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TaskDetail.vue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新增「部分预结算」按钮 [NEW]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人员列表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TaskDetail.vue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新增「结算类型」列 [NEW]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确认结算列表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TaskDetail.vue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新增「结算类型」列 [NEW]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结算确认弹窗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TaskDetail.vue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新增「结算类型」列 [NEW]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提交逻辑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TaskDetail.vue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confirmPreSettle 函数支持结算类型参数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数据结构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TaskDetail.vue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成员数据新增 settleType 字段</w:t>
            </w:r>
          </w:p>
        </w:tc>
      </w:tr>
    </w:tbl>
    <w:p>
      <w:pPr>
        <w:pBdr>
          <w:left w:val="single" w:sz="24" w:space="8" w:color="409eff"/>
          <w:bottom w:val="single" w:sz="4" w:space="4" w:color="e5e6eb"/>
        </w:pBdr>
        <w:shd w:val="clear" w:fill="ecf5ff"/>
      </w:pPr>
      <w:r>
        <w:rPr>
          <w:b w:val="0"/>
          <w:color w:val="4E5969"/>
          <w:sz w:val="20"/>
        </w:rPr>
        <w:t>🔗 访问地址：https://zhc1231.github.io/mjyy-zht/#/company/task-detail/1</w:t>
      </w:r>
    </w:p>
    <w:p>
      <w:pPr>
        <w:pBdr>
          <w:left w:val="single" w:sz="24" w:space="8" w:color="1e6bff"/>
        </w:pBdr>
      </w:pPr>
      <w:r>
        <w:rPr>
          <w:rFonts w:ascii="微软雅黑" w:hAnsi="微软雅黑" w:eastAsia="微软雅黑"/>
          <w:b/>
          <w:color w:val="1E6BFF"/>
          <w:sz w:val="32"/>
        </w:rPr>
        <w:t>二、预结算弹窗 - 新增「部分预结算」按钮</w:t>
      </w:r>
    </w:p>
    <w:p>
      <w:r>
        <w:rPr>
          <w:b w:val="0"/>
          <w:sz w:val="20"/>
        </w:rPr>
        <w:t>预结算弹窗底部从原来的 1 个按钮扩展为 2 个按钮，左右并排：</w:t>
      </w:r>
    </w:p>
    <w:p>
      <w:pPr>
        <w:jc w:val="right"/>
      </w:pPr>
      <w:r>
        <w:rPr>
          <w:b/>
          <w:color w:val="FFFFFF"/>
          <w:sz w:val="22"/>
          <w:shd w:val="clear" w:fill="e6a23c"/>
        </w:rPr>
        <w:t xml:space="preserve"> [部分预结算] </w:t>
      </w:r>
      <w:r>
        <w:rPr>
          <w:b/>
          <w:color w:val="FFFFFF"/>
          <w:sz w:val="22"/>
          <w:shd w:val="clear" w:fill="409eff"/>
        </w:rPr>
        <w:t xml:space="preserve">  [提交预结算] </w:t>
      </w:r>
    </w:p>
    <w:p>
      <w:r>
        <w:rPr>
          <w:rFonts w:ascii="微软雅黑" w:hAnsi="微软雅黑" w:eastAsia="微软雅黑"/>
          <w:b/>
          <w:color w:val="4E5969"/>
          <w:sz w:val="26"/>
        </w:rPr>
        <w:t>按钮对照表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按钮</w:t>
            </w:r>
          </w:p>
        </w:tc>
        <w:tc>
          <w:tcPr>
            <w:tcW w:type="dxa" w:w="1568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类型</w:t>
            </w:r>
          </w:p>
        </w:tc>
        <w:tc>
          <w:tcPr>
            <w:tcW w:type="dxa" w:w="1568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颜色</w:t>
            </w:r>
          </w:p>
        </w:tc>
        <w:tc>
          <w:tcPr>
            <w:tcW w:type="dxa" w:w="1568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图标</w:t>
            </w:r>
          </w:p>
        </w:tc>
        <w:tc>
          <w:tcPr>
            <w:tcW w:type="dxa" w:w="1568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调用函数</w:t>
            </w:r>
          </w:p>
        </w:tc>
        <w:tc>
          <w:tcPr>
            <w:tcW w:type="dxa" w:w="1568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结算类型</w:t>
            </w:r>
          </w:p>
        </w:tc>
      </w:tr>
      <w:tr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部分预结算 [NEW]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warning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橙色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Wallet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confirmPreSettle('部分结算')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部分结算</w:t>
            </w:r>
          </w:p>
        </w:tc>
      </w:tr>
      <w:tr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提交预结算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primary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蓝色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Check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confirmPreSettle('全部结算')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全部结算</w:t>
            </w:r>
          </w:p>
        </w:tc>
      </w:tr>
    </w:tbl>
    <w:p>
      <w:r>
        <w:rPr>
          <w:rFonts w:ascii="微软雅黑" w:hAnsi="微软雅黑" w:eastAsia="微软雅黑"/>
          <w:b/>
          <w:color w:val="4E5969"/>
          <w:sz w:val="26"/>
        </w:rPr>
        <w:t>按钮代码</w:t>
      </w:r>
    </w:p>
    <w:p>
      <w:pPr>
        <w:shd w:val="clear" w:fill="1e1e2e"/>
        <w:pBdr>
          <w:top w:val="single" w:sz="4" w:space="4" w:color="1e1e2e"/>
          <w:bottom w:val="single" w:sz="4" w:space="4" w:color="1e1e2e"/>
          <w:left w:val="single" w:sz="4" w:space="4" w:color="1e1e2e"/>
          <w:right w:val="single" w:sz="4" w:space="4" w:color="1e1e2e"/>
        </w:pBdr>
      </w:pPr>
      <w:r>
        <w:rPr>
          <w:rFonts w:ascii="Consolas" w:hAnsi="Consolas"/>
          <w:color w:val="CDD6F4"/>
          <w:sz w:val="18"/>
        </w:rPr>
        <w:t>&lt;div class="settle-bottom"&gt;</w:t>
        <w:br/>
        <w:t xml:space="preserve">  &lt;el-button type="warning" size="large" @click="confirmPreSettle('部分结算')"&gt;</w:t>
        <w:br/>
        <w:t xml:space="preserve">    &lt;el-icon&gt;&lt;Wallet /&gt;&lt;/el-icon&gt; 部分预结算</w:t>
        <w:br/>
        <w:t xml:space="preserve">  &lt;/el-button&gt;</w:t>
        <w:br/>
        <w:t xml:space="preserve">  &lt;el-button type="primary" size="large" @click="confirmPreSettle('全部结算')"&gt;</w:t>
        <w:br/>
        <w:t xml:space="preserve">    &lt;el-icon&gt;&lt;Check /&gt;&lt;/el-icon&gt; 提交预结算</w:t>
        <w:br/>
        <w:t xml:space="preserve">  &lt;/el-button&gt;</w:t>
        <w:br/>
        <w:t>&lt;/div&gt;</w:t>
      </w:r>
    </w:p>
    <w:p>
      <w:pPr>
        <w:pBdr>
          <w:left w:val="single" w:sz="24" w:space="8" w:color="1e6bff"/>
        </w:pBdr>
      </w:pPr>
      <w:r>
        <w:rPr>
          <w:rFonts w:ascii="微软雅黑" w:hAnsi="微软雅黑" w:eastAsia="微软雅黑"/>
          <w:b/>
          <w:color w:val="1E6BFF"/>
          <w:sz w:val="32"/>
        </w:rPr>
        <w:t>三、结算类型字段定义</w:t>
      </w:r>
    </w:p>
    <w:p>
      <w:r>
        <w:rPr>
          <w:rFonts w:ascii="微软雅黑" w:hAnsi="微软雅黑" w:eastAsia="微软雅黑"/>
          <w:b/>
          <w:color w:val="4E5969"/>
          <w:sz w:val="26"/>
        </w:rPr>
        <w:t>字段说明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字段名</w:t>
            </w:r>
          </w:p>
        </w:tc>
        <w:tc>
          <w:tcPr>
            <w:tcW w:type="dxa" w:w="235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类型</w:t>
            </w:r>
          </w:p>
        </w:tc>
        <w:tc>
          <w:tcPr>
            <w:tcW w:type="dxa" w:w="235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可选值</w:t>
            </w:r>
          </w:p>
        </w:tc>
        <w:tc>
          <w:tcPr>
            <w:tcW w:type="dxa" w:w="235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说明</w:t>
            </w:r>
          </w:p>
        </w:tc>
      </w:tr>
      <w:tr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settleType</w:t>
            </w:r>
          </w:p>
        </w:tc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String</w:t>
            </w:r>
          </w:p>
        </w:tc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全部结算 / 部分结算 / (空)</w:t>
            </w:r>
          </w:p>
        </w:tc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标记该人员的结算类型，空值表示未预结算</w:t>
            </w:r>
          </w:p>
        </w:tc>
      </w:tr>
    </w:tbl>
    <w:p>
      <w:r>
        <w:rPr>
          <w:rFonts w:ascii="微软雅黑" w:hAnsi="微软雅黑" w:eastAsia="微软雅黑"/>
          <w:b/>
          <w:color w:val="4E5969"/>
          <w:sz w:val="26"/>
        </w:rPr>
        <w:t>初始数据示例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人员</w:t>
            </w:r>
          </w:p>
        </w:tc>
        <w:tc>
          <w:tcPr>
            <w:tcW w:type="dxa" w:w="1568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预结算金额</w:t>
            </w:r>
          </w:p>
        </w:tc>
        <w:tc>
          <w:tcPr>
            <w:tcW w:type="dxa" w:w="1568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settleType</w:t>
            </w:r>
          </w:p>
        </w:tc>
        <w:tc>
          <w:tcPr>
            <w:tcW w:type="dxa" w:w="1568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开户状态</w:t>
            </w:r>
          </w:p>
        </w:tc>
        <w:tc>
          <w:tcPr>
            <w:tcW w:type="dxa" w:w="1568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说明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赵宏程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6,000.00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全部结算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已开户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任务负责人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张三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150.00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全部结算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已开户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设计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李四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180.00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(空)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未开户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未开户无法结算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王五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0.00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(空)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未开户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未预结算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赵六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0.00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全部结算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已开户</w:t>
            </w:r>
          </w:p>
        </w:tc>
        <w:tc>
          <w:tcPr>
            <w:tcW w:type="dxa" w:w="1568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已结算完成</w:t>
            </w:r>
          </w:p>
        </w:tc>
        <w:tc>
          <w:tcPr>
            <w:tcW w:type="dxa" w:w="1568"/>
          </w:tcPr>
          <w:p/>
        </w:tc>
      </w:tr>
    </w:tbl>
    <w:p>
      <w:pPr>
        <w:pBdr>
          <w:left w:val="single" w:sz="24" w:space="8" w:color="e6a23c"/>
          <w:bottom w:val="single" w:sz="4" w:space="4" w:color="e5e6eb"/>
        </w:pBdr>
        <w:shd w:val="clear" w:fill="fdf6ec"/>
      </w:pPr>
      <w:r>
        <w:rPr>
          <w:b w:val="0"/>
          <w:color w:val="4E5969"/>
          <w:sz w:val="20"/>
        </w:rPr>
        <w:t>📌 新增成员默认 settleType: ''（空值），预结算提交后才写入对应类型</w:t>
      </w:r>
    </w:p>
    <w:p>
      <w:pPr>
        <w:pBdr>
          <w:left w:val="single" w:sz="24" w:space="8" w:color="1e6bff"/>
        </w:pBdr>
      </w:pPr>
      <w:r>
        <w:rPr>
          <w:rFonts w:ascii="微软雅黑" w:hAnsi="微软雅黑" w:eastAsia="微软雅黑"/>
          <w:b/>
          <w:color w:val="1E6BFF"/>
          <w:sz w:val="32"/>
        </w:rPr>
        <w:t>四、三个列表新增「结算类型」列</w:t>
      </w:r>
    </w:p>
    <w:p>
      <w:r>
        <w:rPr>
          <w:rFonts w:ascii="微软雅黑" w:hAnsi="微软雅黑" w:eastAsia="微软雅黑"/>
          <w:b/>
          <w:color w:val="4E5969"/>
          <w:sz w:val="26"/>
        </w:rPr>
        <w:t>4.1 人员列表（members tab）</w:t>
      </w:r>
    </w:p>
    <w:p>
      <w:r>
        <w:rPr>
          <w:b w:val="0"/>
          <w:sz w:val="20"/>
        </w:rPr>
        <w:t>在「实结金额」列之后、「结算时间」列之前新增「结算类型」列：</w:t>
      </w:r>
    </w:p>
    <w:p>
      <w:r>
        <w:rPr>
          <w:b w:val="0"/>
          <w:color w:val="86909C"/>
          <w:sz w:val="16"/>
        </w:rPr>
        <w:t xml:space="preserve">姓名 → 手机号 → 身份证号 → 工种 → 加入时间 → 成员状态 → 任务状态 → 应结算 → 预结算 → 实结金额 → </w:t>
      </w:r>
      <w:r>
        <w:rPr>
          <w:b/>
          <w:color w:val="409EFF"/>
          <w:sz w:val="16"/>
        </w:rPr>
        <w:t>【结算类型 NEW】</w:t>
      </w:r>
      <w:r>
        <w:rPr>
          <w:b w:val="0"/>
          <w:color w:val="86909C"/>
          <w:sz w:val="16"/>
        </w:rPr>
        <w:t xml:space="preserve"> → 结算时间 → 灵工确认 → 是否开户 → 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姓名</w:t>
            </w:r>
          </w:p>
        </w:tc>
        <w:tc>
          <w:tcPr>
            <w:tcW w:type="dxa" w:w="188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预结算</w:t>
            </w:r>
          </w:p>
        </w:tc>
        <w:tc>
          <w:tcPr>
            <w:tcW w:type="dxa" w:w="188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实结金额</w:t>
            </w:r>
          </w:p>
        </w:tc>
        <w:tc>
          <w:tcPr>
            <w:tcW w:type="dxa" w:w="188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结算类型 [NEW]</w:t>
            </w:r>
          </w:p>
        </w:tc>
        <w:tc>
          <w:tcPr>
            <w:tcW w:type="dxa" w:w="188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结算时间</w:t>
            </w:r>
          </w:p>
        </w:tc>
      </w:tr>
      <w:tr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赵宏程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6,000.00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全部结算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-</w:t>
            </w:r>
          </w:p>
        </w:tc>
      </w:tr>
      <w:tr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张三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150.00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全部结算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-</w:t>
            </w:r>
          </w:p>
        </w:tc>
      </w:tr>
      <w:tr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李四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180.00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-</w:t>
            </w:r>
          </w:p>
        </w:tc>
      </w:tr>
      <w:tr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赵六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0.00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100.00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全部结算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2026-08-01</w:t>
            </w:r>
          </w:p>
        </w:tc>
      </w:tr>
    </w:tbl>
    <w:p>
      <w:r>
        <w:rPr>
          <w:rFonts w:ascii="微软雅黑" w:hAnsi="微软雅黑" w:eastAsia="微软雅黑"/>
          <w:b/>
          <w:color w:val="4E5969"/>
          <w:sz w:val="26"/>
        </w:rPr>
        <w:t>4.2 确认结算列表（confirm-settle tab）</w:t>
      </w:r>
    </w:p>
    <w:p>
      <w:r>
        <w:rPr>
          <w:b w:val="0"/>
          <w:sz w:val="20"/>
        </w:rPr>
        <w:t>在「预结算金额」列之后、「增值税及附加」列之前新增「结算类型」列：</w:t>
      </w:r>
    </w:p>
    <w:p>
      <w:r>
        <w:rPr>
          <w:b w:val="0"/>
          <w:color w:val="86909C"/>
          <w:sz w:val="16"/>
        </w:rPr>
        <w:t xml:space="preserve">选择 → 姓名 → 身份证号 → 预结算金额 → </w:t>
      </w:r>
      <w:r>
        <w:rPr>
          <w:b/>
          <w:color w:val="409EFF"/>
          <w:sz w:val="16"/>
        </w:rPr>
        <w:t>【结算类型 NEW】</w:t>
      </w:r>
      <w:r>
        <w:rPr>
          <w:b w:val="0"/>
          <w:color w:val="86909C"/>
          <w:sz w:val="16"/>
        </w:rPr>
        <w:t xml:space="preserve"> → 增值税及附加 → 个税金额 → 到账金额 → 实付金额 → 备注 → 灵工确认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姓名</w:t>
            </w:r>
          </w:p>
        </w:tc>
        <w:tc>
          <w:tcPr>
            <w:tcW w:type="dxa" w:w="1344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预结算金额</w:t>
            </w:r>
          </w:p>
        </w:tc>
        <w:tc>
          <w:tcPr>
            <w:tcW w:type="dxa" w:w="1344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结算类型 [NEW]</w:t>
            </w:r>
          </w:p>
        </w:tc>
        <w:tc>
          <w:tcPr>
            <w:tcW w:type="dxa" w:w="1344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增值税</w:t>
            </w:r>
          </w:p>
        </w:tc>
        <w:tc>
          <w:tcPr>
            <w:tcW w:type="dxa" w:w="1344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个税</w:t>
            </w:r>
          </w:p>
        </w:tc>
        <w:tc>
          <w:tcPr>
            <w:tcW w:type="dxa" w:w="1344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到账金额</w:t>
            </w:r>
          </w:p>
        </w:tc>
        <w:tc>
          <w:tcPr>
            <w:tcW w:type="dxa" w:w="1344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实付金额</w:t>
            </w:r>
          </w:p>
        </w:tc>
      </w:tr>
      <w:tr>
        <w:tc>
          <w:tcPr>
            <w:tcW w:type="dxa" w:w="1344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赵宏程</w:t>
            </w:r>
          </w:p>
        </w:tc>
        <w:tc>
          <w:tcPr>
            <w:tcW w:type="dxa" w:w="1344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6,000.00</w:t>
            </w:r>
          </w:p>
        </w:tc>
        <w:tc>
          <w:tcPr>
            <w:tcW w:type="dxa" w:w="1344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全部结算</w:t>
            </w:r>
          </w:p>
        </w:tc>
        <w:tc>
          <w:tcPr>
            <w:tcW w:type="dxa" w:w="1344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60.00</w:t>
            </w:r>
          </w:p>
        </w:tc>
        <w:tc>
          <w:tcPr>
            <w:tcW w:type="dxa" w:w="1344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24.00</w:t>
            </w:r>
          </w:p>
        </w:tc>
        <w:tc>
          <w:tcPr>
            <w:tcW w:type="dxa" w:w="1344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5,976.00</w:t>
            </w:r>
          </w:p>
        </w:tc>
        <w:tc>
          <w:tcPr>
            <w:tcW w:type="dxa" w:w="1344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6,060.00</w:t>
            </w:r>
          </w:p>
        </w:tc>
      </w:tr>
    </w:tbl>
    <w:p>
      <w:r>
        <w:rPr>
          <w:rFonts w:ascii="微软雅黑" w:hAnsi="微软雅黑" w:eastAsia="微软雅黑"/>
          <w:b/>
          <w:color w:val="4E5969"/>
          <w:sz w:val="26"/>
        </w:rPr>
        <w:t>4.3 结算确认弹窗</w:t>
      </w:r>
    </w:p>
    <w:p>
      <w:r>
        <w:rPr>
          <w:b w:val="0"/>
          <w:sz w:val="20"/>
        </w:rPr>
        <w:t>与确认结算列表保持一致，在「预结算金额」列之后新增「结算类型」列：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姓名</w:t>
            </w:r>
          </w:p>
        </w:tc>
        <w:tc>
          <w:tcPr>
            <w:tcW w:type="dxa" w:w="1176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身份证号</w:t>
            </w:r>
          </w:p>
        </w:tc>
        <w:tc>
          <w:tcPr>
            <w:tcW w:type="dxa" w:w="1176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预结算金额</w:t>
            </w:r>
          </w:p>
        </w:tc>
        <w:tc>
          <w:tcPr>
            <w:tcW w:type="dxa" w:w="1176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结算类型 [NEW]</w:t>
            </w:r>
          </w:p>
        </w:tc>
        <w:tc>
          <w:tcPr>
            <w:tcW w:type="dxa" w:w="1176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增值税</w:t>
            </w:r>
          </w:p>
        </w:tc>
        <w:tc>
          <w:tcPr>
            <w:tcW w:type="dxa" w:w="1176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个税</w:t>
            </w:r>
          </w:p>
        </w:tc>
        <w:tc>
          <w:tcPr>
            <w:tcW w:type="dxa" w:w="1176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到账金额</w:t>
            </w:r>
          </w:p>
        </w:tc>
        <w:tc>
          <w:tcPr>
            <w:tcW w:type="dxa" w:w="1176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实付金额</w:t>
            </w:r>
          </w:p>
        </w:tc>
      </w:tr>
      <w:tr>
        <w:tc>
          <w:tcPr>
            <w:tcW w:type="dxa" w:w="1176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赵宏程</w:t>
            </w:r>
          </w:p>
        </w:tc>
        <w:tc>
          <w:tcPr>
            <w:tcW w:type="dxa" w:w="1176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331002****1234</w:t>
            </w:r>
          </w:p>
        </w:tc>
        <w:tc>
          <w:tcPr>
            <w:tcW w:type="dxa" w:w="1176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6,000.00</w:t>
            </w:r>
          </w:p>
        </w:tc>
        <w:tc>
          <w:tcPr>
            <w:tcW w:type="dxa" w:w="1176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全部结算</w:t>
            </w:r>
          </w:p>
        </w:tc>
        <w:tc>
          <w:tcPr>
            <w:tcW w:type="dxa" w:w="1176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60.00</w:t>
            </w:r>
          </w:p>
        </w:tc>
        <w:tc>
          <w:tcPr>
            <w:tcW w:type="dxa" w:w="1176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24.00</w:t>
            </w:r>
          </w:p>
        </w:tc>
        <w:tc>
          <w:tcPr>
            <w:tcW w:type="dxa" w:w="1176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5,976.00</w:t>
            </w:r>
          </w:p>
        </w:tc>
        <w:tc>
          <w:tcPr>
            <w:tcW w:type="dxa" w:w="1176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6,060.00</w:t>
            </w:r>
          </w:p>
        </w:tc>
      </w:tr>
    </w:tbl>
    <w:p>
      <w:pPr>
        <w:pBdr>
          <w:left w:val="single" w:sz="24" w:space="8" w:color="1e6bff"/>
        </w:pBdr>
      </w:pPr>
      <w:r>
        <w:rPr>
          <w:rFonts w:ascii="微软雅黑" w:hAnsi="微软雅黑" w:eastAsia="微软雅黑"/>
          <w:b/>
          <w:color w:val="1E6BFF"/>
          <w:sz w:val="32"/>
        </w:rPr>
        <w:t>五、结算类型标签样式</w:t>
      </w:r>
    </w:p>
    <w:p>
      <w:r>
        <w:rPr>
          <w:b w:val="0"/>
          <w:sz w:val="20"/>
        </w:rPr>
        <w:t>三个列表中的「结算类型」列使用 Element Plus 的 el-tag 组件渲染：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结算类型</w:t>
            </w:r>
          </w:p>
        </w:tc>
        <w:tc>
          <w:tcPr>
            <w:tcW w:type="dxa" w:w="235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type 属性</w:t>
            </w:r>
          </w:p>
        </w:tc>
        <w:tc>
          <w:tcPr>
            <w:tcW w:type="dxa" w:w="235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颜色</w:t>
            </w:r>
          </w:p>
        </w:tc>
        <w:tc>
          <w:tcPr>
            <w:tcW w:type="dxa" w:w="235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效果</w:t>
            </w:r>
          </w:p>
        </w:tc>
      </w:tr>
      <w:tr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全部结算</w:t>
            </w:r>
          </w:p>
        </w:tc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type="primary"</w:t>
            </w:r>
          </w:p>
        </w:tc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蓝底蓝字</w:t>
            </w:r>
          </w:p>
        </w:tc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[全部结算] 蓝色标签</w:t>
            </w:r>
          </w:p>
        </w:tc>
      </w:tr>
      <w:tr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部分结算</w:t>
            </w:r>
          </w:p>
        </w:tc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type="warning"</w:t>
            </w:r>
          </w:p>
        </w:tc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橙底橙字</w:t>
            </w:r>
          </w:p>
        </w:tc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[部分结算] 橙色标签</w:t>
            </w:r>
          </w:p>
        </w:tc>
      </w:tr>
      <w:tr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无（空值）</w:t>
            </w:r>
          </w:p>
        </w:tc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不渲染标签</w:t>
            </w:r>
          </w:p>
        </w:tc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灰色文字</w:t>
            </w:r>
          </w:p>
        </w:tc>
        <w:tc>
          <w:tcPr>
            <w:tcW w:type="dxa" w:w="235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- (灰色)</w:t>
            </w:r>
          </w:p>
        </w:tc>
      </w:tr>
    </w:tbl>
    <w:p>
      <w:r>
        <w:rPr>
          <w:rFonts w:ascii="微软雅黑" w:hAnsi="微软雅黑" w:eastAsia="微软雅黑"/>
          <w:b/>
          <w:color w:val="4E5969"/>
          <w:sz w:val="26"/>
        </w:rPr>
        <w:t>渲染代码</w:t>
      </w:r>
    </w:p>
    <w:p>
      <w:pPr>
        <w:shd w:val="clear" w:fill="1e1e2e"/>
        <w:pBdr>
          <w:top w:val="single" w:sz="4" w:space="4" w:color="1e1e2e"/>
          <w:bottom w:val="single" w:sz="4" w:space="4" w:color="1e1e2e"/>
          <w:left w:val="single" w:sz="4" w:space="4" w:color="1e1e2e"/>
          <w:right w:val="single" w:sz="4" w:space="4" w:color="1e1e2e"/>
        </w:pBdr>
      </w:pPr>
      <w:r>
        <w:rPr>
          <w:rFonts w:ascii="Consolas" w:hAnsi="Consolas"/>
          <w:color w:val="CDD6F4"/>
          <w:sz w:val="18"/>
        </w:rPr>
        <w:t>&lt;el-table-column label="结算类型" prop="settleType" min-width="100" align="center"&gt;</w:t>
        <w:br/>
        <w:t xml:space="preserve">  &lt;template #default="{ row }"&gt;</w:t>
        <w:br/>
        <w:t xml:space="preserve">    &lt;el-tag v-if="row.settleType === '全部结算'" type="primary" size="small"&gt;全部结算&lt;/el-tag&gt;</w:t>
        <w:br/>
        <w:t xml:space="preserve">    &lt;el-tag v-else-if="row.settleType === '部分结算'" type="warning" size="small"&gt;部分结算&lt;/el-tag&gt;</w:t>
        <w:br/>
        <w:t xml:space="preserve">    &lt;span v-else style="color:#a0a4ab"&gt;-&lt;/span&gt;</w:t>
        <w:br/>
        <w:t xml:space="preserve">  &lt;/template&gt;</w:t>
        <w:br/>
        <w:t>&lt;/el-table-column&gt;</w:t>
      </w:r>
    </w:p>
    <w:p>
      <w:pPr>
        <w:pBdr>
          <w:left w:val="single" w:sz="24" w:space="8" w:color="1e6bff"/>
        </w:pBdr>
      </w:pPr>
      <w:r>
        <w:rPr>
          <w:rFonts w:ascii="微软雅黑" w:hAnsi="微软雅黑" w:eastAsia="微软雅黑"/>
          <w:b/>
          <w:color w:val="1E6BFF"/>
          <w:sz w:val="32"/>
        </w:rPr>
        <w:t>六、预结算提交流程</w:t>
      </w:r>
    </w:p>
    <w:p>
      <w:r>
        <w:rPr>
          <w:b w:val="0"/>
          <w:sz w:val="20"/>
        </w:rPr>
        <w:t>点击不同按钮后，系统执行相同的提交流程，区别仅在于写入的结算类型不同：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步骤1</w:t>
            </w:r>
          </w:p>
        </w:tc>
        <w:tc>
          <w:tcPr>
            <w:tcW w:type="dxa" w:w="188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步骤2（分支）</w:t>
            </w:r>
          </w:p>
        </w:tc>
        <w:tc>
          <w:tcPr>
            <w:tcW w:type="dxa" w:w="188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步骤3</w:t>
            </w:r>
          </w:p>
        </w:tc>
        <w:tc>
          <w:tcPr>
            <w:tcW w:type="dxa" w:w="188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步骤4</w:t>
            </w:r>
          </w:p>
        </w:tc>
        <w:tc>
          <w:tcPr>
            <w:tcW w:type="dxa" w:w="1881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步骤5（分支）</w:t>
            </w:r>
          </w:p>
        </w:tc>
      </w:tr>
      <w:tr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打开预结算弹窗</w:t>
              <w:br/>
              <w:t>编辑预结算金额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↓ 部分预结算 → settleType=部分结算</w:t>
              <w:br/>
              <w:t>↓ 提交预结算 → settleType=全部结算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写入人员数据</w:t>
              <w:br/>
              <w:t>target.settleType = settleType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构建确认结算列表</w:t>
              <w:br/>
              <w:t>buildConfirmSettleList()</w:t>
            </w:r>
          </w:p>
        </w:tc>
        <w:tc>
          <w:tcPr>
            <w:tcW w:type="dxa" w:w="1881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需确认 → 提示等待灵工确认</w:t>
              <w:br/>
              <w:t>无需确认 → 跳转确认结算tab</w:t>
            </w:r>
          </w:p>
        </w:tc>
      </w:tr>
    </w:tbl>
    <w:p>
      <w:pPr>
        <w:pBdr>
          <w:left w:val="single" w:sz="24" w:space="8" w:color="1e6bff"/>
        </w:pBdr>
      </w:pPr>
      <w:r>
        <w:rPr>
          <w:rFonts w:ascii="微软雅黑" w:hAnsi="微软雅黑" w:eastAsia="微软雅黑"/>
          <w:b/>
          <w:color w:val="1E6BFF"/>
          <w:sz w:val="32"/>
        </w:rPr>
        <w:t>七、预结算提交逻辑更新</w:t>
      </w:r>
    </w:p>
    <w:p>
      <w:r>
        <w:rPr>
          <w:rFonts w:ascii="微软雅黑" w:hAnsi="微软雅黑" w:eastAsia="微软雅黑"/>
          <w:b/>
          <w:color w:val="4E5969"/>
          <w:sz w:val="26"/>
        </w:rPr>
        <w:t>函数签名变更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版本</w:t>
            </w:r>
          </w:p>
        </w:tc>
        <w:tc>
          <w:tcPr>
            <w:tcW w:type="dxa" w:w="3135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函数签名</w:t>
            </w:r>
          </w:p>
        </w:tc>
        <w:tc>
          <w:tcPr>
            <w:tcW w:type="dxa" w:w="3135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说明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修改前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const confirmPreSettle = () =&gt; { ... }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无参数，默认全部结算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修改后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const confirmPreSettle = (settleType = '全部结算') =&gt; { ... }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接收结算类型参数</w:t>
            </w:r>
          </w:p>
        </w:tc>
      </w:tr>
    </w:tbl>
    <w:p>
      <w:r>
        <w:rPr>
          <w:rFonts w:ascii="微软雅黑" w:hAnsi="微软雅黑" w:eastAsia="微软雅黑"/>
          <w:b/>
          <w:color w:val="4E5969"/>
          <w:sz w:val="26"/>
        </w:rPr>
        <w:t>核心代码</w:t>
      </w:r>
    </w:p>
    <w:p>
      <w:pPr>
        <w:shd w:val="clear" w:fill="1e1e2e"/>
        <w:pBdr>
          <w:top w:val="single" w:sz="4" w:space="4" w:color="1e1e2e"/>
          <w:bottom w:val="single" w:sz="4" w:space="4" w:color="1e1e2e"/>
          <w:left w:val="single" w:sz="4" w:space="4" w:color="1e1e2e"/>
          <w:right w:val="single" w:sz="4" w:space="4" w:color="1e1e2e"/>
        </w:pBdr>
      </w:pPr>
      <w:r>
        <w:rPr>
          <w:rFonts w:ascii="Consolas" w:hAnsi="Consolas"/>
          <w:color w:val="CDD6F4"/>
          <w:sz w:val="18"/>
        </w:rPr>
        <w:t>const confirmPreSettle = (settleType = '全部结算') =&gt; {</w:t>
        <w:br/>
        <w:t xml:space="preserve">  filteredPreSettleList.value.forEach(settle =&gt; {</w:t>
        <w:br/>
        <w:t xml:space="preserve">    const target = memberList.value.find(m =&gt; m.idCard === settle.idCard)</w:t>
        <w:br/>
        <w:t xml:space="preserve">    if (target) {</w:t>
        <w:br/>
        <w:t xml:space="preserve">      target.preSettleAmount = Number(settle.preSettleAmount || 0)</w:t>
        <w:br/>
        <w:t xml:space="preserve">      target.remark = settle.remark || ''</w:t>
        <w:br/>
        <w:t xml:space="preserve">      target.bankAccount = settle.bankAccount || ''</w:t>
        <w:br/>
        <w:t xml:space="preserve">      target.bankType = settle.bankType || ''</w:t>
        <w:br/>
        <w:t xml:space="preserve">      target.bankBranch = settle.bankBranch || ''</w:t>
        <w:br/>
        <w:t xml:space="preserve">      target.bankPhone = settle.bankPhone || ''</w:t>
        <w:br/>
        <w:t xml:space="preserve">      target.bankCode = settle.bankCode || ''</w:t>
        <w:br/>
        <w:t xml:space="preserve">      target.isAccountOpened = !!settle.isAccountOpened</w:t>
        <w:br/>
        <w:t xml:space="preserve">      target.settleType = settleType  // ← 新增：写入结算类型</w:t>
        <w:br/>
        <w:t xml:space="preserve">      if (preSettleForm.needWorkerConfirm &amp;&amp; target.preSettleAmount &gt; 0) {</w:t>
        <w:br/>
        <w:t xml:space="preserve">        target.workerConfirmStatus = '待确认'</w:t>
        <w:br/>
        <w:t xml:space="preserve">      } else if (!preSettleForm.needWorkerConfirm) {</w:t>
        <w:br/>
        <w:t xml:space="preserve">        target.workerConfirmStatus = '无需确认'</w:t>
        <w:br/>
        <w:t xml:space="preserve">      }</w:t>
        <w:br/>
        <w:t xml:space="preserve">    }</w:t>
        <w:br/>
        <w:t xml:space="preserve">  })</w:t>
        <w:br/>
        <w:t xml:space="preserve">  preSettleVisible.value = false</w:t>
        <w:br/>
        <w:t xml:space="preserve">  confirmSettleSearch.name = ''</w:t>
        <w:br/>
        <w:t xml:space="preserve">  buildConfirmSettleList()</w:t>
        <w:br/>
        <w:t xml:space="preserve">  if (preSettleForm.needWorkerConfirm) {</w:t>
        <w:br/>
        <w:t xml:space="preserve">    ElMessage.success(`预结算已提交（${settleType}），等待灵工确认`)</w:t>
        <w:br/>
        <w:t xml:space="preserve">  } else {</w:t>
        <w:br/>
        <w:t xml:space="preserve">    ElMessage.success(`预结算已提交（${settleType}）`)</w:t>
        <w:br/>
        <w:t xml:space="preserve">    onTabChange('confirm-settle')</w:t>
        <w:br/>
        <w:t xml:space="preserve">  }</w:t>
        <w:br/>
        <w:t>}</w:t>
      </w:r>
    </w:p>
    <w:p>
      <w:pPr>
        <w:pBdr>
          <w:left w:val="single" w:sz="24" w:space="8" w:color="67c23a"/>
          <w:bottom w:val="single" w:sz="4" w:space="4" w:color="e5e6eb"/>
        </w:pBdr>
        <w:shd w:val="clear" w:fill="f0f9eb"/>
      </w:pPr>
      <w:r>
        <w:rPr>
          <w:b w:val="0"/>
          <w:color w:val="4E5969"/>
          <w:sz w:val="20"/>
        </w:rPr>
        <w:t>✅ 成功提示消息包含结算类型：</w:t>
        <w:br/>
        <w:t xml:space="preserve">  • 需灵工确认：预结算已提交（全部结算），等待灵工确认</w:t>
        <w:br/>
        <w:t xml:space="preserve">  • 无需确认：预结算已提交（部分结算）</w:t>
      </w:r>
    </w:p>
    <w:p>
      <w:pPr>
        <w:pBdr>
          <w:left w:val="single" w:sz="24" w:space="8" w:color="1e6bff"/>
        </w:pBdr>
      </w:pPr>
      <w:r>
        <w:rPr>
          <w:rFonts w:ascii="微软雅黑" w:hAnsi="微软雅黑" w:eastAsia="微软雅黑"/>
          <w:b/>
          <w:color w:val="1E6BFF"/>
          <w:sz w:val="32"/>
        </w:rPr>
        <w:t>八、涉及文件清单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文件路径</w:t>
            </w:r>
          </w:p>
        </w:tc>
        <w:tc>
          <w:tcPr>
            <w:tcW w:type="dxa" w:w="3135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序号</w:t>
            </w:r>
          </w:p>
        </w:tc>
        <w:tc>
          <w:tcPr>
            <w:tcW w:type="dxa" w:w="3135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修改内容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src/views/Company/TaskDetail.vue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1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预结算弹窗底部新增「部分预结算」按钮（warning + Wallet 图标）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2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人员列表新增「结算类型」列（实结金额后）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3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确认结算列表新增「结算类型」列（预结算金额后）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4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结算确认弹窗新增「结算类型」列（预结算金额后）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5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confirmPreSettle 函数新增 settleType 参数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6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5 条成员数据新增 settleType 字段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7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新增成员默认 settleType: ''</w:t>
            </w:r>
          </w:p>
        </w:tc>
      </w:tr>
    </w:tbl>
    <w:p>
      <w:pPr>
        <w:pBdr>
          <w:left w:val="single" w:sz="24" w:space="8" w:color="1e6bff"/>
        </w:pBdr>
      </w:pPr>
      <w:r>
        <w:rPr>
          <w:rFonts w:ascii="微软雅黑" w:hAnsi="微软雅黑" w:eastAsia="微软雅黑"/>
          <w:b/>
          <w:color w:val="1E6BFF"/>
          <w:sz w:val="32"/>
        </w:rPr>
        <w:t>九、测试验证要点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序号</w:t>
            </w:r>
          </w:p>
        </w:tc>
        <w:tc>
          <w:tcPr>
            <w:tcW w:type="dxa" w:w="3135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验证项</w:t>
            </w:r>
          </w:p>
        </w:tc>
        <w:tc>
          <w:tcPr>
            <w:tcW w:type="dxa" w:w="3135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预期结果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①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预结算弹窗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底部显示 2 个按钮，「部分预结算」橙色在左、「提交预结算」蓝色在右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②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部分预结算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点击后提交，结算类型列显示橙色「部分结算」标签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③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提交预结算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点击后提交，结算类型列显示蓝色「全部结算」标签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④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未预结算人员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结算类型列显示灰色「-」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⑤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结算确认弹窗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打开后列表中包含结算类型列，与确认结算列表一致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⑥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新增成员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添加新成员后，结算类型列为「-」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⑦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提示消息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提交后 toast 消息包含结算类型文字</w:t>
            </w:r>
          </w:p>
        </w:tc>
      </w:tr>
    </w:tbl>
    <w:p>
      <w:pPr>
        <w:pBdr>
          <w:left w:val="single" w:sz="24" w:space="8" w:color="1e6bff"/>
        </w:pBdr>
      </w:pPr>
      <w:r>
        <w:rPr>
          <w:rFonts w:ascii="微软雅黑" w:hAnsi="微软雅黑" w:eastAsia="微软雅黑"/>
          <w:b/>
          <w:color w:val="1E6BFF"/>
          <w:sz w:val="32"/>
        </w:rPr>
        <w:t>附录：结算计算公式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项目</w:t>
            </w:r>
          </w:p>
        </w:tc>
        <w:tc>
          <w:tcPr>
            <w:tcW w:type="dxa" w:w="3135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公式</w:t>
            </w:r>
          </w:p>
        </w:tc>
        <w:tc>
          <w:tcPr>
            <w:tcW w:type="dxa" w:w="3135"/>
            <w:shd w:fill="f2f3f5" w:val="clear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/>
                <w:color w:val="4E5969"/>
                <w:sz w:val="18"/>
              </w:rPr>
              <w:t>示例（预结算金额 6000）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增值税及附加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预结算金额 × 1%（金额 &gt; 1000 时征收，否则为 0）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6000 × 1% = 60.00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代扣个税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(预结算金额 - 5000) × 0.8 × 3%（≤5000 时为 0）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(6000-5000) × 0.8 × 3% = 24.00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实付金额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预结算金额 + 增值税及附加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6000 + 60 = 6,060.00</w:t>
            </w:r>
          </w:p>
        </w:tc>
      </w:tr>
      <w:tr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到账金额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预结算金额 - 代扣个税</w:t>
            </w:r>
          </w:p>
        </w:tc>
        <w:tc>
          <w:tcPr>
            <w:tcW w:type="dxa" w:w="3135"/>
            <w:tcBorders>
              <w:top w:val="single" w:sz="4" w:color="d9dce3"/>
              <w:left w:val="single" w:sz="4" w:color="d9dce3"/>
              <w:bottom w:val="single" w:sz="4" w:color="d9dce3"/>
              <w:right w:val="single" w:sz="4" w:color="d9dce3"/>
            </w:tcBorders>
          </w:tcPr>
          <w:p>
            <w:pPr>
              <w:jc w:val="center"/>
            </w:pPr>
            <w:r/>
            <w:r>
              <w:rPr>
                <w:b w:val="0"/>
                <w:color w:val="1F2329"/>
                <w:sz w:val="18"/>
              </w:rPr>
              <w:t>6000 - 24 = 5,976.00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