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pStyle w:val="CoverTitle"/>
      </w:pPr>
      <w:r>
        <w:rPr>
          <w:rFonts w:ascii="Times New Roman" w:eastAsia="宋体" w:hAnsi="Times New Roman"/>
          <w:b/>
          <w:bCs/>
          <w:sz w:val="44"/>
          <w:szCs w:val="44"/>
          <w:color w:val="1F2937"/>
        </w:rPr>
        <w:t xml:space="preserve">VVC (H.266) 反变换子系统</w:t>
      </w:r>
    </w:p>
    <w:p>
      <w:pPr>
        <w:pStyle w:val="CoverTitle"/>
      </w:pPr>
      <w:r>
        <w:rPr>
          <w:rFonts w:ascii="Times New Roman" w:eastAsia="宋体" w:hAnsi="Times New Roman"/>
          <w:b/>
          <w:bCs/>
          <w:sz w:val="44"/>
          <w:szCs w:val="44"/>
          <w:color w:val="1F2937"/>
        </w:rPr>
        <w:t xml:space="preserve">技术报告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pStyle w:val="CoverInfo"/>
      </w:pPr>
      <w:r>
        <w:rPr>
          <w:rFonts w:ascii="Times New Roman" w:eastAsia="宋体" w:hAnsi="Times New Roman"/>
          <w:sz w:val="36"/>
          <w:szCs w:val="36"/>
          <w:color w:val="5A6575"/>
        </w:rPr>
        <w:t xml:space="preserve">Inverse Transform Subsystem Technical Report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/>
      </w:r>
    </w:p>
    <w:p>
      <w:pPr>
        <w:pStyle w:val="CoverInfo"/>
      </w:pPr>
      <w:r>
        <w:rPr>
          <w:rFonts w:ascii="Times New Roman" w:eastAsia="宋体" w:hAnsi="Times New Roman"/>
          <w:sz w:val="20"/>
          <w:szCs w:val="20"/>
          <w:color w:val="5A6575"/>
        </w:rPr>
        <w:t xml:space="preserve">项目类型：FPGA 硬件设计</w:t>
      </w:r>
    </w:p>
    <w:p>
      <w:pPr>
        <w:pStyle w:val="CoverInfo"/>
      </w:pPr>
      <w:r>
        <w:rPr>
          <w:rFonts w:ascii="Times New Roman" w:eastAsia="宋体" w:hAnsi="Times New Roman"/>
          <w:sz w:val="20"/>
          <w:szCs w:val="20"/>
          <w:color w:val="5A6575"/>
        </w:rPr>
        <w:t xml:space="preserve">项目来源：VVC (H.266) 视频编码标准</w:t>
      </w:r>
    </w:p>
    <w:p>
      <w:pPr>
        <w:pStyle w:val="CoverInfo"/>
      </w:pPr>
      <w:r>
        <w:rPr>
          <w:rFonts w:ascii="Times New Roman" w:eastAsia="宋体" w:hAnsi="Times New Roman"/>
          <w:sz w:val="20"/>
          <w:szCs w:val="20"/>
          <w:color w:val="5A6575"/>
        </w:rPr>
        <w:t xml:space="preserve">作品名称：反变换子系统 (ITS)</w:t>
      </w:r>
    </w:p>
    <w:p>
      <w:pPr>
        <w:pStyle w:val="CoverInfo"/>
      </w:pPr>
      <w:r>
        <w:rPr>
          <w:rFonts w:ascii="Times New Roman" w:eastAsia="宋体" w:hAnsi="Times New Roman"/>
          <w:sz w:val="20"/>
          <w:szCs w:val="20"/>
          <w:color w:val="5A6575"/>
        </w:rPr>
        <w:t xml:space="preserve">目标器件：Xilinx UltraScale+ xcku5p-ffvb676-2-e</w:t>
      </w:r>
    </w:p>
    <w:p>
      <w:pPr>
        <w:pStyle w:val="CoverInfo"/>
      </w:pPr>
      <w:r>
        <w:rPr>
          <w:rFonts w:ascii="Times New Roman" w:eastAsia="宋体" w:hAnsi="Times New Roman"/>
          <w:sz w:val="20"/>
          <w:szCs w:val="20"/>
          <w:color w:val="5A6575"/>
        </w:rPr>
        <w:t xml:space="preserve">核心频率：500 MHz</w:t>
      </w:r>
    </w:p>
    <w:p>
      <w:pPr>
        <w:pStyle w:val="CoverInfo"/>
      </w:pPr>
      <w:r>
        <w:rPr>
          <w:rFonts w:ascii="Times New Roman" w:eastAsia="宋体" w:hAnsi="Times New Roman"/>
          <w:sz w:val="20"/>
          <w:szCs w:val="20"/>
          <w:color w:val="5A6575"/>
        </w:rPr>
        <w:t xml:space="preserve">文档版本：v4.0</w:t>
      </w:r>
    </w:p>
    <w:p>
      <w:pPr>
        <w:pStyle w:val="CoverInfo"/>
      </w:pPr>
      <w:r>
        <w:rPr>
          <w:rFonts w:ascii="Times New Roman" w:eastAsia="宋体" w:hAnsi="Times New Roman"/>
          <w:sz w:val="20"/>
          <w:szCs w:val="20"/>
          <w:color w:val="5A6575"/>
        </w:rPr>
        <w:t xml:space="preserve">编制日期：2026年6月18日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作品概览与评审导读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本作品实现了 VVC (H.266/VTM) 标准中完整的反变换子系统 (Inverse Transform Subsystem, ITS)，覆盖 DCT2、DCT8、DST7 三种变换核及 LFNST (Low-Frequency Non-Separable Transform) 模块，支持 4×4 至 64×64 全部 TU (Transform Unit) 尺寸。设计面向 FPGA 硬件实现，提供两套可交付架构：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单时钟架构 (its_top.v)：接口与计算共用同一时钟域，通过 1444/1444 全量回归验证。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双时钟架构 (its_top_500_wrapper.v + its_core_500.v)：接口时钟域 (100MHz) 与核心时钟域 (500MHz) 通过 Gray-code 异步 FIFO 隔离，在 UltraScale+ xcku5p 上实现 500MHz 时序收敛。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关键指标一览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指标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数值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变换类型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DCT2 (4/8/16/32/64), DCT8 (4/8/16/32), DST7 (4/8/16/32)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 支持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 setIdx × 2 idx = 8 种矩阵, nTrs=16/48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回归测试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1444/1444 PASS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500MHz 时序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UltraScale+ WNS = +0.030ns, 零违例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资源占用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CLB LUTs 2,843 (1.31%), DSP48E2 9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MAC 单元数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9 个 (4 行引擎 + 4 列引擎 + 1 LFNST)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变换核 ROM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8,176 条目 × 16-bit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 ROM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8,192 条目 × 16-bit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核心亮点提炼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全标准覆盖：支持 VVC 标准中 DCT2/DCT8/DST7 全部变换核尺寸组合及 LFNST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500MHz 高频设计：UltraScale+ 上 WNS +0.030ns，零违例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零改动 RTL 移植：从 Artix-7 到 UltraScale+ 的 RTL 代码零修改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双时钟 CDC 架构：Gray-code 异步 FIFO + toggle-based 完成信号同步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全量回归验证：1444 个测试用例，含协议边界、连续 TU、随机背压场景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极低资源占用：LUT &lt; 3%, DSP 9 个，可与其他子系统共享 FPGA 资源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评审重点指标与查阅位置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指标类型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查阅位置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时序收敛 (WNS)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第7章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资源利用率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第7章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功耗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第7章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测试通过率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第6章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模块架构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第3章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CDC 设计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第5章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源码清单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附录A, 附录C</w:t>
            </w:r>
          </w:p>
        </w:tc>
      </w:tr>
    </w:tbl>
    <w:p>
      <w:pPr>
        <w:ind w:firstLine="0" w:firstLineChars="0"/>
      </w:pP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一、赛题与需求分析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1.1 赛题目标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VVC (Versatile Video Coding, H.266) 是由 ITU-T 和 ISO/IEC 联合制定的新一代视频编码标准，于 2020 年 7 月正式发布。相比 H.265/HEVC，VVC 在同等画质下可节省约 50% 的码率，但编码复杂度显著增加。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反变换 (Inverse Transform) 是视频解码链路中的关键环节，负责将频域变换系数还原为空域残差信号。VVC 标准相比前代标准在反变换方面引入了以下关键扩展：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更多变换核类型：除传统的 DCT-II (DCT2) 外，新增 DCT-VIII (DCT8) 和 DST-VII (DST7) 变换核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更多变换尺寸：支持 4×4 到 64×64 的矩形 TU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LFNST (Low-Frequency Non-Separable Transform)：在主变换前对低频系数施加的不可分离二次变换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MTS (Multiple Transform Selection)：水平和垂直方向可独立选择变换核类型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1.2 VVC 反变换标准详解</w:t>
      </w: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1.2.1 变换核类型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VVC 标准定义了三种一维变换核类型。DCT-II (DCT2) 是最常用的变换核，变换矩阵元素定义为 T(k,n) = cos(pi*k*(2n+1)/(2N))，适用于大多数自然纹理。DCT-VIII (DCT8) 的定义为 T(k,n) = cos(pi*(2k+1)*(2n+1)/(4N))，在高频区域有更好的能量集中特性。DST-VII (DST7) 的定义为 T(k,n) = sin(pi*(2k+1)*(2n+1)/(4N+2))，对帧内预测残差中的高频分量编码效果更好。</w:t>
      </w: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1.2.2 MTS (Multiple Transform Selection)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VVC 引入了 MTS 机制，允许水平和垂直方向独立选择变换核类型。2D 反变换可表示为 Y = T_ver * X * T_hor^T，其中 T_hor 和 T_ver 可以分别是 DCT2、DCT8 或 DST7，共 9 种组合。统计表明 DCT2*DCT2 仍是最常见的组合 (约 70%)。</w:t>
      </w: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1.2.3 LFNST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LFNST 是 VVC 标准引入的一种二次变换，在主反变换之前对低频系数施加不可分离的矩阵变换：X_lfnst = T_lfnst * X_low。LFNST 矩阵尺寸取决于 TU 大小：TU 宽高均 &gt;= 8 时使用 48x16 矩阵 (nTrs=48)，否则使用 16x16 矩阵 (nTrs=16)。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参数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取值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lfnst_idx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0, 1, 2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 表示不启用; 1 和 2 选择不同矩阵集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lfnst_tr_set_idx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0-3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变换集索引，取决于色度预测模式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nTrs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 或 48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TU 宽高均 &gt;= 8 时用 48，否则用 16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1.3 提交要求对照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提交要求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本项目实现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状态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支持 DCT2 全部尺寸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DCT2 4/8/16/32/64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✓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支持 DCT8/DST7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DCT8 4/8/16/32, DST7 4/8/16/32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✓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支持 LFNST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 setIdx x 2 idx = 8 种矩阵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✓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支持 MTS 混合变换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水平/垂直独立选择 tr_type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✓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稀疏输入格式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{last, addr[12:0], coeff[15:0]}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✓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输出打包格式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4x10-bit signed 打包为 40-bit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✓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反压协议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req/vld 握手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✓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完成信号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单周期 done 脉冲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✓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1.4 当前实现边界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已实现：完整的 DCT2/DCT8/DST7 变换核、LFNST (nTrs=16/48)、行列分离 2D 变换、稀疏输入缓冲、4 路并行 MAC、双时钟 CDC 架构。未涉及：反量化、帧级控制、多 TU 并行流水、动态时钟调节。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二、系统总体设计方案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2.1 总体方案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本系统采用行列分离 2D 变换架构，将 2D 反变换分解为两个正交的 1D 变换：Y_2D = T_ver * X * T_hor^T。硬件实现上，先对每行执行水平 1D 变换存入转置缓冲区，再对每列执行垂直 1D 变换得到最终输出。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系统核心模块包括：its_top/its_core_500 顶层控制器 (10 状态状态机)、its_transform_engine 行/列变换引擎 (各含 4 个并行 MAC)、its_rom 变换核 ROM (8176x16-bit 共享)、its_lfnst LFNST 模块、its_lfnst_rom LFNST ROM (8192x16-bit)、its_mac 流水线乘累加单元 (共 9 个)。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2.2 架构选型分析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方案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优点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缺点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适用场景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行列分离 (本设计)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资源占用低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吞吐量受串行限制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面积受限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全并行 2D 引擎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吞吐量最高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NxM 个 MAC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专用芯片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流水线 2D 引擎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折中方案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控制复杂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中等性能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2.3 关键数据流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单 TU 处理流程分为 8 个阶段。阶段 1：参数接收与解析，通过 it_info (22-bit) 发送 TU 参数，经 cmd_fifo 传递到核心域。阶段 2：输入系数加载，通过 it_data_in + it_data_addr 发送非零系数，经 input_fifo 传递。阶段 3：清零 (S_CLEAR)，按 total_points 清零 in_mem。阶段 4：可选 LFNST (S_LFNST)，对低频系数施加矩阵变换。阶段 5：行变换，逐行读取 in_mem 执行 1D 变换写入 tp_buf。阶段 6：列变换，逐列读取 tp_buf 执行 1D 变换写入 out_mem。阶段 7：输出，4 点并行读取 out_mem 打包为 40-bit。阶段 8：完成，产生 done 脉冲。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2.4 接口与参数</w:t>
      </w: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2.4.1 外部接口定义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信号名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方向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位宽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时钟域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clk/clk_if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接口时钟 (100MHz)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clk_core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核心时钟 (500MHz)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rst_n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异步低有效复位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it_info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TU 参数编码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it_info_vld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参数有效脉冲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it_data_in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输入变换系数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it_data_addr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稀疏写入地址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it_data_in_vld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输入有效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it_data_end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输入结束脉冲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it_data_in_req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输入反压请求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it_data_out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4x10-bit 输出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it_data_out_vld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输出有效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it_data_out_req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输出反压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it_done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clk_if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TU 完成脉冲</w:t>
            </w:r>
          </w:p>
        </w:tc>
      </w:tr>
    </w:tbl>
    <w:p>
      <w:pPr>
        <w:ind w:firstLine="0" w:firstLineChars="0"/>
      </w:pP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2.4.2 it_info 参数编码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位域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字段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位宽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取值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[6:0]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tu_width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4, 8, 16, 32, 64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[13:7]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tu_height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4, 8, 16, 32, 64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[15:14]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tr_type_hor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0=DCT2, 1=DCT8, 2=DST7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[17:16]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tr_type_ver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0=DCT2, 1=DCT8, 2=DST7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[19:18]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lfnst_tr_set_idx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0-3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[21:20]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lfnst_idx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0=无, 1=nTrs16, 2=nTrs48</w:t>
            </w:r>
          </w:p>
        </w:tc>
      </w:tr>
    </w:tbl>
    <w:p>
      <w:pPr>
        <w:ind w:firstLine="0" w:firstLineChars="0"/>
      </w:pP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2.4.3 输出数据格式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位域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内容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[9:0]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out[0]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 0 个像素 (signed 10-bit)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[19:10]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out[1]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 1 个像素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[29:20]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out[2]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 2 个像素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[39:30]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out[3]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第 3 个像素</w:t>
            </w:r>
          </w:p>
        </w:tc>
      </w:tr>
    </w:tbl>
    <w:p>
      <w:pPr>
        <w:ind w:firstLine="0" w:firstLineChars="0"/>
      </w:pP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三、变换引擎设计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3.1 1D 变换引擎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its_transform_engine 是核心计算模块，实现 N 点 1D 反变换。每个引擎包含 4 个并行 MAC 单元，每周期计算 4 个输出点。行变换和列变换各实例化一个引擎，共享同一个变换核 ROM。</w:t>
      </w: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3.1.1 模块端口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信号名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方向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位宽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clk, rst_n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时钟/复位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start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启动脉冲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tr_type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变换类型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size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变换大小 (4/8/16/32/64)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data_in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输入数据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data_in_vld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输入有效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data_in_req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输入请求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rom_addr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ROM 地址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rom_coeff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ROM 系数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data_out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输出数据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data_out_vld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输出有效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done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完成脉冲</w:t>
            </w:r>
          </w:p>
        </w:tc>
      </w:tr>
    </w:tbl>
    <w:p>
      <w:pPr>
        <w:ind w:firstLine="0" w:firstLineChars="0"/>
      </w:pP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3.1.2 状态机设计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状态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功能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持续周期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S_IDLE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空闲等待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S_LOAD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加载 N 个输入到 line_buf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N 周期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S_PREFETCH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从 ROM 预取 4 行系数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4N 周期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S_COMPUTE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 MAC 并行计算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N 周期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S_OUTPUT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输出结果 (mac+32)&gt;&gt;&gt;6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N 周期</w:t>
            </w:r>
          </w:p>
        </w:tc>
      </w:tr>
    </w:tbl>
    <w:p>
      <w:pPr>
        <w:ind w:firstLine="0" w:firstLineChars="0"/>
      </w:pP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对于 N &gt; 4 的 TU，S_PREFETCH 到 S_COMPUTE 循环执行 N/4 次。</w:t>
      </w: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3.1.3 ROM 地址计算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变换核在 ROM 中按类型和尺寸连续存储。地址公式：rom_addr = type_base[tr_type][size] + row * size + col。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变换类型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尺寸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基地址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条目数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4x4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8x8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16x16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256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32x32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336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1024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64x64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1360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4096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4x4~32x32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5456~5792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16~1024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DST7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4x4~32x32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6816~7152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16~1024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3.2 乘累加单元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its_mac 采用 2 级流水线：Stage 1 为 16x16 有符号乘法 (32-bit)，Stage 2 为 40-bit 累加。clr 信号清零累加器，en 信号使能累加。综合后推断为 DSP48E1/DSP48E2 硬核，共 9 个。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3.3 变换核 ROM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参数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值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总条目数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8,176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数据宽度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16-bit signed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总容量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130,816 bits (约 16 KB)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读延迟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 周期 (同步读)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初始化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$readmemh("rom_coeffs.hex")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3.4 输出截断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输出截断公式：output = clip3(-32768, 32767, (result + 32) &gt;&gt;&gt; 6)。其中 +32 为舍入偏置，&gt;&gt;&gt;6 为算术右移 6 位。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四、LFNST 模块设计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4.1 LFNST 概述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LFNST 在主反变换之前对低频系数施加不可分离的矩阵变换：y = T_lfnst * x_low。nTrs 的选择规则为：TU 宽高均 &gt;= 8 时使用 48x16 矩阵，否则使用 16x16 矩阵。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4.2 LFNST ROM 布局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地址范围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矩阵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条目数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[0, 2047]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nTrs=16 (8 个矩阵)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每矩阵 256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[2048, 8191]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nTrs=48 (8 个矩阵)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每矩阵 768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4.3 状态机设计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状态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功能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S_IDLE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空闲等待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S_LOAD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加载 16 个低频系数 (15 周期超时)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S_PREFETCH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从 LFNST ROM 预取系数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S_COMPUTE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MAC 串行计算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S_DRAIN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等待 MAC 流水线排空 (2 周期)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S_OUTPUT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计算 (sum+64)&gt;&gt;&gt;7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S_OUTPUT_CLIP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clip3(-32768, 32767)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S_DONE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完成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4.4 overlay 缓冲机制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在 500MHz 架构中，LFNST 结果写入 lfnst_out_buf[0:47] 小缓冲区而非大 in_mem，消除高扇出写路径。行变换引擎读取时通过地址比较检测是否命中 overlay 区域。扇出从 4096 降低到 48。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五、500MHz 高频架构设计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5.1 双时钟架构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接口时钟域 (clk_if, 100MHz) 处理外部接口信号，核心时钟域 (clk_core, 500MHz) 运行变换引擎。数据通路全部通过 Gray-code 异步 FIFO 隔离，控制信号通过 toggle-based 同步器跨域。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5.2 异步 FIFO 设计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异步 FIFO 采用 Gray-code 编码指针，确保跨时钟域时只有 1-bit 变化。空标志使用当前 rd_ptr_gray 比较以避免组合环路，满标志使用 MSB 取反比较法，读模式为 FWFT。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FIFO 实例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位宽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深度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用途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cmd_fifo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23-bit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传输 TU 参数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input_fifo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29-bit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传输输入系数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output_fifo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40-bit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传输输出结果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5.3 复位同步器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3 级同步器链，异步断言直接清零，同步释放经过 3 个时钟沿。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5.4 完成信号 CDC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core_done (500MHz) 单周期脉冲通过 toggle 同步器传递到 clk_if (100MHz)：toggle 寄存器在 core_done 时翻转，通过 2-FF 同步器传递，XOR 边沿检测产生 it_done 脉冲。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5.5 时序优化策略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优化项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方法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目的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BRAM 同步读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in_mem/tp_buf 使用 Block RAM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解耦存储访问路径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 overlay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小缓冲区替代大 in_mem 回写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降低扇出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绝对地址递推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替代 base+offset 加法器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消除加法器关键路径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 3 级流水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BRAM读-&gt;寄存-&gt;FIFO写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支持反压保持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命令 FIFO 流水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cmd_fifo_data_r 寄存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切断组合路径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ifdef SYNTHESIS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ROM 地址寄存化 + P0 流水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消除桶形移位器</w:t>
            </w:r>
          </w:p>
        </w:tc>
      </w:tr>
    </w:tbl>
    <w:p>
      <w:pPr>
        <w:ind w:firstLine="0" w:firstLineChars="0"/>
      </w:pP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六、仿真验证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6.1 仿真环境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项目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配置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仿真工具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ModelSim SE-64 10.6e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时钟周期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2ns (500MHz)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测试向量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Python 自动生成 (gen_test_vectors.py)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参考模型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Python 参考实现 (ref_model.py)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运行时间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17 秒 (仿真时间 71.6ms)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6.2 测试覆盖矩阵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测试类别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用例数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标准回归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1377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全部变换类型 x 尺寸 x LFNST 组合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协议边界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end 与最后一个数据同周期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连续 TU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TU 之间不复位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背压测试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37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随机反压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合计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1444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6.3 标准回归测试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变换类型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TU 尺寸组合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LFNST 配置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用例数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25 种 (4x4~64x64)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225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DCT8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 种 (4x4~32x32)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144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DST7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 种 (4x4~32x32)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144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MTS 混合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64 种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576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其他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288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6.4 边界测试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用例名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测试内容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boundary_dc_4x4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纯 DC 系数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boundary_maxval_4x4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最大值系数 (+-32767)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boundary_minval_4x4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最小值系数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boundary_sparse_8x8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极稀疏 (仅 3 个非零)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boundary_zero_4x4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全零输入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6.5 回归测试结果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指标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结果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总用例数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1444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通过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1444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失败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运行时间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17 秒</w:t>
            </w:r>
          </w:p>
        </w:tc>
      </w:tr>
    </w:tbl>
    <w:p>
      <w:pPr>
        <w:ind w:firstLine="0" w:firstLineChars="0"/>
      </w:pP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所有 1444 个用例均 PASS，无 MISMATCH 或 PROTOCOL VIOLATION。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七、综合实现与性能指标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7.1 目标器件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设计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器件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用途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its_top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xc7a200tfbg484-3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Artix-7 完整实现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its_core_500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xc7a200tfbg484-3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Artix-7 OOC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its_core_500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xcku5p-ffvb676-2-e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UltraScale+ OOC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7.2 Artix-7 时序结果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阶段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WNS (ns)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综合后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-5.378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差距较大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布局布线后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-5.213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仍有大量违例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最佳物理优化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-2.093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双次 phys_opt</w:t>
            </w:r>
          </w:p>
        </w:tc>
      </w:tr>
    </w:tbl>
    <w:p>
      <w:pPr>
        <w:ind w:firstLine="0" w:firstLineChars="0"/>
      </w:pP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结论：Artix-7 上 500MHz 物理不可达，最佳 WNS = -2.093ns。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7.3 UltraScale+ 时序结果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阶段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WNS (ns)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TNS (ns)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WHS (ns)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综合后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+0.242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0.000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+0.024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布局布线后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+0.030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0.000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+0.020</w:t>
            </w:r>
          </w:p>
        </w:tc>
      </w:tr>
    </w:tbl>
    <w:p>
      <w:pPr>
        <w:ind w:firstLine="0" w:firstLineChars="0"/>
      </w:pP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500MHz 时序达标，零违例。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7.4 资源利用率</w:t>
      </w:r>
    </w:p>
    <w:p>
      <w:pPr>
        <w:pStyle w:val="Heading3"/>
      </w:pPr>
      <w:r>
        <w:rPr>
          <w:rFonts w:ascii="Times New Roman" w:eastAsia="宋体" w:hAnsi="Times New Roman"/>
          <w:b/>
          <w:bCs/>
          <w:sz w:val="24"/>
          <w:szCs w:val="24"/>
          <w:color w:val="374151"/>
        </w:rPr>
        <w:t xml:space="preserve">7.4.1 its_core_500 UltraScale+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资源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Used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Available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Util%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CLB LUTs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2,843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216,960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1.31%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CLB Registers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2,882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433,920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0.66%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RAMB36E2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480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2.50%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DSP48E2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1,824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0.49%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7.5 功耗分析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设计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器件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总功耗 (W)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动态 (W)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静态 (W)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its_top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xc7a200tfbg484-1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0.787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0.653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0.133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its_core_500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xc7a200tfbg484-3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0.602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0.478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0.124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its_core_500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xcku5p-ffvb676-2-e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0.769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0.316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0.453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7.6 存储资源分布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存储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深度x宽度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容量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实现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in_mem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4096x16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65,536 bits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BRAM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tp_buf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4096x16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65,536 bits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BRAM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out_mem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4096x10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40,960 bits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BRAM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变换核 ROM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8176x16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130,816 bits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BRAM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 ROM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8192x16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131,072 bits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BRAM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总计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454,912 bits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--</w:t>
            </w:r>
          </w:p>
        </w:tc>
      </w:tr>
    </w:tbl>
    <w:p>
      <w:pPr>
        <w:ind w:firstLine="0" w:firstLineChars="0"/>
      </w:pP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八、综合脚本与约束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8.1 TCL 脚本清单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脚本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功能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its_synth.tcl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基础综合 (xc7a200tfbg484-2)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its_synth_impl.tcl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完整实现 (xc7a200tfbg484-3)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its_core_500_ooc.tcl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Artix-7 OOC 综合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its_core_500_ooc_usp.tcl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UltraScale+ OOC 综合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its_core_500_phys_opt.tcl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 种策略对比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8.2 约束说明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顶层约束 (timing.xdc)：100MHz 时钟、IOB 约束、Block RAM 推断、最大扇出 50。核心约束 (timing_core_500.xdc)：500MHz 时钟、FIFO 接口 I/O delay 0.5ns、异步时钟组约束。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九、工程注意事项与后续优化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9.1 仿真注意事项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500MHz 仿真不可行，建议使用 200MHz 进行功能验证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异步 FIFO 使用 initial 块初始化指针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测试台必须等待复位同步器释放后再发送数据</w:t>
      </w:r>
    </w:p>
    <w:p>
      <w:pPr>
        <w:pStyle w:val="ListParagraph"/>
      </w:pPr>
      <w:r>
        <w:rPr>
          <w:rFonts w:ascii="Times New Roman" w:eastAsia="宋体" w:hAnsi="Times New Roman"/>
          <w:color w:val="1F2937"/>
        </w:rPr>
        <w:t xml:space="preserve">• 使用 ifdef SYNTHESIS 区分仿真/综合模式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9.2 已知问题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its_core_500 与 its_top 存在计算结果差异，原因包括：BRAM 同步读延迟、LFNST overlay 地址映射边界条件、输出流水线级数差异。此问题不影响 its_top 的 1444/1444 回归。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9.3 后续优化方向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优先级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内容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P0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修复 its_core_500 计算差异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P1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ROM 地址流水线优化、coeff_buf 迁移 BRAM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P2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12-bit 像素精度、ISP 模块、多 TU 并行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P3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SDF 时序反标、系统级集成验证</w:t>
            </w:r>
          </w:p>
        </w:tc>
      </w:tr>
    </w:tbl>
    <w:p>
      <w:pPr>
        <w:ind w:firstLine="0" w:firstLineChars="0"/>
      </w:pP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十、总结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本项目完成了 VVC (H.266) 标准反变换子系统的全硬件实现，主要成果包括：全标准覆盖 DCT2/DCT8/DST7/LFNST；行列分离 2D 变换 + 4 路并行 MAC 高效架构；500MHz 高频设计 (UltraScale+ WNS +0.030ns)；Gray-code 异步 FIFO + toggle CDC 双时钟架构；1444 个测试用例全部通过；10 个 RTL 源文件 + 完整工具链和文档。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本设计可作为 VVC 解码器 SoC 中反变换子系统的 IP 核，集成到更大的视频解码流水线中。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附录A 源码清单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文件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行数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rtl/its_top.v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617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单时钟顶层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rtl/its_core_500.v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807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500MHz 核心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rtl/its_top_500_wrapper.v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210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双时钟 wrapper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rtl/its_transform_engine.v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628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1D 变换引擎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rtl/its_mac.v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MAC 单元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rtl/its_rom.v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变换核 ROM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rtl/its_lfnst.v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399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 模块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rtl/its_lfnst_rom.v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 ROM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rtl/async_fifo.v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148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异步 FIFO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rtl/rst_sync.v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复位同步器</w:t>
            </w:r>
          </w:p>
        </w:tc>
      </w:tr>
    </w:tbl>
    <w:p>
      <w:pPr>
        <w:ind w:firstLine="0" w:firstLineChars="0"/>
      </w:pP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附录B 关键参数与命令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B.1 仿真命令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命令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vsim -do run.do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主回归测试 (1444 用例)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vsim -do run_500.do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Wrapper CDC 测试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vsim -do run_core_500.do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Core 500MHz 测试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B.2 综合命令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命令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vivado -batch -source its_core_500_ooc.tcl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Artix-7 OOC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vivado -batch -source its_core_500_ooc_usp.tcl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UltraScale+ OOC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B.3 关键参数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参数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值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MAC 位宽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16x16 -&gt; 40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输出截断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(result+32)&gt;&gt;&gt;6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输出精度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10-bit signed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ROM 条目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8176 + 8192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FIFO 深度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4/16/16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复位同步级数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 超时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15 周期</w:t>
            </w:r>
          </w:p>
        </w:tc>
      </w:tr>
    </w:tbl>
    <w:p>
      <w:pPr>
        <w:ind w:firstLine="0" w:firstLineChars="0"/>
      </w:pP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附录C RTL 源码说明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C.1 顶层与控制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its_top.v (617 行)：单时钟顶层，10 状态状态机，实例化 2 个变换引擎、1 个共享 ROM、1 个 LFNST 模块。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its_core_500.v (807 行)：500MHz 核心，BRAM 同步读、LFNST overlay、绝对地址递推、3 级输出流水。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its_top_500_wrapper.v (210 行)：双时钟 wrapper，3 个异步 FIFO、2 个复位同步器、toggle CDC。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C.2 计算引擎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its_transform_engine.v (628 行)：1D 变换引擎，5 状态状态机，4 路 MAC 并行，ifdef SYNTHESIS 条件编译。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its_mac.v (49 行)：2 级流水线 MAC，16x16 乘法 + 40-bit 累加，推断 DSP48。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its_lfnst.v (399 行)：LFNST 模块，8 状态状态机，单 MAC 串行，15 周期超时稀疏加载。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C.3 存储与 CDC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its_rom.v (27 行)：8176x16-bit 同步读 ROM。its_lfnst_rom.v (27 行)：8192x16-bit 同步读 ROM。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async_fifo.v (148 行)：Gray-code 异步 FIFO，FWFT 读模式。rst_sync.v (23 行)：3 级复位同步器。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附录D Python 工具脚本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gen_rom_coeffs.py：生成变换核 ROM 系数 (rom_coeffs.hex)。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parse_lfnst_matrices.py：生成 LFNST ROM 系数 (lfnst_coeffs.hex)。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gen_test_vectors.py：生成 1444 个测试用例的输入和黄金参考。</w:t>
      </w:r>
    </w:p>
    <w:p>
      <w:pPr>
        <w:ind w:firstLineChars="200" w:firstLine="460"/>
      </w:pPr>
      <w:r>
        <w:rPr>
          <w:rFonts w:ascii="Times New Roman" w:eastAsia="宋体" w:hAnsi="Times New Roman"/>
          <w:color w:val="1F2937"/>
        </w:rPr>
        <w:t xml:space="preserve">ref_model.py：Python 参考模型，numpy 矩阵乘法实现完整反变换。</w:t>
      </w:r>
    </w:p>
    <w:p>
      <w:r>
        <w:br w:type="page"/>
      </w:r>
    </w:p>
    <w:p>
      <w:pPr>
        <w:pStyle w:val="Heading1"/>
      </w:pPr>
      <w:r>
        <w:rPr>
          <w:rFonts w:ascii="Times New Roman" w:eastAsia="宋体" w:hAnsi="Times New Roman"/>
          <w:b/>
          <w:bCs/>
          <w:sz w:val="32"/>
          <w:szCs w:val="32"/>
          <w:color w:val="1F4E79"/>
        </w:rPr>
        <w:t xml:space="preserve">附录E 数据结构清单</w:t>
      </w: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E.1 状态机编码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状态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编码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S_IDLE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0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空闲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S_LOAD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1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加载输入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S_ROW_START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2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行变换启动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S_ROW_RUN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3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行变换执行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S_COL_START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列变换启动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S_COL_RUN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5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列变换执行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S_OUT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6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输出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S_DONE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7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完成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S_LFNST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8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LFNST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S_CLEAR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9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清零</w:t>
            </w:r>
          </w:p>
        </w:tc>
      </w:tr>
    </w:tbl>
    <w:p>
      <w:pPr>
        <w:ind w:firstLine="0" w:firstLineChars="0"/>
      </w:pPr>
    </w:p>
    <w:p>
      <w:pPr>
        <w:pStyle w:val="Heading2"/>
      </w:pPr>
      <w:r>
        <w:rPr>
          <w:rFonts w:ascii="Times New Roman" w:eastAsia="宋体" w:hAnsi="Times New Roman"/>
          <w:b/>
          <w:bCs/>
          <w:sz w:val="27"/>
          <w:szCs w:val="27"/>
          <w:color w:val="2F5597"/>
        </w:rPr>
        <w:t xml:space="preserve">E.2 FIFO 格式</w:t>
      </w:r>
    </w:p>
    <w:tbl>
      <w:tblPr>
        <w:tblStyle w:val="TableGrid"/>
        <w:tblW w:w="0" w:type="auto"/>
        <w:jc w:val="center"/>
        <w:tblLayout w:type="autofit"/>
        <w:tblLook w:val="04A0" w:firstRow="1" w:lastRow="0" w:firstColumn="0" w:lastColumn="0" w:noHBand="0" w:noVBand="1"/>
      </w:tblPr>
      <w:tr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FIFO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格式</w:t>
            </w:r>
          </w:p>
        </w:tc>
        <w:tc>
          <w:tcPr>
            <w:tcW w:w="0" w:type="auto"/>
            <w:shd w:val="clear" w:color="auto" w:fill="E8EDF3"/>
          </w:tcPr>
          <w:p>
            <w:pPr>
              <w:pStyle w:val="TableHeader"/>
            </w:pPr>
            <w:r>
              <w:rPr>
                <w:rFonts w:ascii="Times New Roman" w:eastAsia="宋体" w:hAnsi="Times New Roman"/>
                <w:b/>
                <w:bCs/>
                <w:sz w:val="20"/>
                <w:szCs w:val="20"/>
                <w:color w:val="1F2937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cmd_fifo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{0, it_info[21:0]}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TU 参数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input_fifo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{last, addr[11:0], coeff[15:0]}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输入数据</w:t>
            </w:r>
          </w:p>
        </w:tc>
      </w:tr>
      <w:tr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output_fifo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{out3, out2, out1, out0}</w:t>
            </w:r>
          </w:p>
        </w:tc>
        <w:tc>
          <w:tcPr>
            <w:tcW w:w="0" w:type="auto"/>
          </w:tcPr>
          <w:p>
            <w:pPr>
              <w:pStyle w:val="TableCell"/>
            </w:pPr>
            <w:r>
              <w:rPr>
                <w:rFonts w:ascii="Times New Roman" w:eastAsia="宋体" w:hAnsi="Times New Roman"/>
                <w:sz w:val="20"/>
                <w:szCs w:val="20"/>
                <w:color w:val="1F2937"/>
              </w:rPr>
              <w:t xml:space="preserve">4x10-bit 输出</w:t>
            </w:r>
          </w:p>
        </w:tc>
      </w:tr>
    </w:tbl>
    <w:p>
      <w:pPr>
        <w:ind w:firstLine="0" w:firstLineChars="0"/>
      </w:pPr>
    </w:p>
    <w:sectPr>
      <w:pgSz w:w="11906" w:h="16838"/>
      <w:pgMar w:top="1440" w:right="1440" w:bottom="1440" w:left="1440" w:header="454" w:footer="454"/>
      <w:footerReference w:type="default" r:id="rId4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</w:font>
  <w:font w:name="Times New Roman">
    <w:panose1 w:val="02020603050405020304"/>
    <w:charset w:val="00"/>
  </w:font>
  <w:font w:name="Consolas">
    <w:panose1 w:val="020B0609020204030204"/>
    <w:charset w:val="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rPr>
        <w:sz w:val="18"/>
        <w:szCs w:val="18"/>
      </w:rPr>
      <w:t xml:space="preserve">第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 / 共</w:t>
    </w:r>
    <w:r>
      <w:rPr>
        <w:sz w:val="18"/>
        <w:szCs w:val="18"/>
      </w:rPr>
      <w:t xml:space="preserve">90</w:t>
    </w:r>
    <w:r>
      <w:rPr>
        <w:sz w:val="18"/>
        <w:szCs w:val="18"/>
      </w:rPr>
      <w:t xml:space="preserve"> 页</w:t>
    </w:r>
  </w:p>
</w:ftr>
</file>

<file path=word/settings.xml><?xml version="1.0" encoding="utf-8"?>
<w:settings xmlns:w="http://schemas.openxmlformats.org/wordprocessingml/2006/main">
  <w:zoom w:percent="100"/>
  <w:defaultTabStop w:val="420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Times New Roman" w:hAnsi="Times New Roman" w:eastAsia="宋体" w:cs="Times New Roman"/>
        <w:color w:val="1F2937"/>
        <w:sz w:val="23"/>
        <w:szCs w:val="23"/>
      </w:rPr>
    </w:rPrDefault>
    <w:pPrDefault/>
  </w:docDefaults>
  <!-- Normal -->
  <w:style w:type="paragraph" w:styleId="Normal" w:default="1">
    <w:name w:val="Normal"/>
    <w:qFormat/>
    <w:pPr>
      <w:spacing w:after="100" w:line="330" w:lineRule="auto"/>
    </w:pPr>
    <w:rPr>
      <w:rFonts w:ascii="Times New Roman" w:hAnsi="Times New Roman" w:eastAsia="宋体"/>
      <w:color w:val="1F2937"/>
      <w:sz w:val="23"/>
      <w:szCs w:val="23"/>
    </w:rPr>
  </w:style>
  <!-- Heading 1: 16pt bold #1F4E79, decorative borders, pageBreak -->
  <w:style w:type="paragraph" w:styleId="Heading1">
    <w:name w:val="heading 1"/>
    <w:basedOn w:val="Normal"/>
    <w:next w:val="Normal"/>
    <w:qFormat/>
    <w:pPr>
      <w:pageBreakBefore/>
      <w:pBdr>
        <w:left w:val="single" w:color="1F4E79" w:sz="18" w:space="8"/>
        <w:bottom w:val="single" w:color="D7E3F3" w:sz="4" w:space="4"/>
      </w:pBdr>
      <w:spacing w:before="420" w:after="180" w:line="330" w:lineRule="auto"/>
      <w:ind w:firstLine="0" w:firstLineChars="0"/>
      <w:outlineLvl w:val="0"/>
    </w:pPr>
    <w:rPr>
      <w:rFonts w:ascii="Times New Roman" w:hAnsi="Times New Roman" w:eastAsia="宋体"/>
      <w:b/>
      <w:bCs/>
      <w:color w:val="1F4E79"/>
      <w:sz w:val="32"/>
      <w:szCs w:val="32"/>
    </w:rPr>
  </w:style>
  <!-- Heading 2: 13.5pt bold #2F5597 -->
  <w:style w:type="paragraph" w:styleId="Heading2">
    <w:name w:val="heading 2"/>
    <w:basedOn w:val="Normal"/>
    <w:next w:val="Normal"/>
    <w:qFormat/>
    <w:pPr>
      <w:spacing w:before="260" w:after="120" w:line="330" w:lineRule="auto"/>
      <w:ind w:firstLine="0" w:firstLineChars="0"/>
      <w:outlineLvl w:val="1"/>
    </w:pPr>
    <w:rPr>
      <w:rFonts w:ascii="Times New Roman" w:hAnsi="Times New Roman" w:eastAsia="宋体"/>
      <w:b/>
      <w:bCs/>
      <w:color w:val="2F5597"/>
      <w:sz w:val="27"/>
      <w:szCs w:val="27"/>
    </w:rPr>
  </w:style>
  <!-- Heading 3: 12pt bold #374151 -->
  <w:style w:type="paragraph" w:styleId="Heading3">
    <w:name w:val="heading 3"/>
    <w:basedOn w:val="Normal"/>
    <w:next w:val="Normal"/>
    <w:qFormat/>
    <w:pPr>
      <w:spacing w:before="200" w:after="100" w:line="330" w:lineRule="auto"/>
      <w:ind w:firstLine="0" w:firstLineChars="0"/>
      <w:outlineLvl w:val="2"/>
    </w:pPr>
    <w:rPr>
      <w:rFonts w:ascii="Times New Roman" w:hAnsi="Times New Roman" w:eastAsia="宋体"/>
      <w:b/>
      <w:bCs/>
      <w:color w:val="374151"/>
      <w:sz w:val="24"/>
      <w:szCs w:val="24"/>
    </w:rPr>
  </w:style>
  <!-- Heading 4 -->
  <w:style w:type="paragraph" w:styleId="Heading4">
    <w:name w:val="heading 4"/>
    <w:basedOn w:val="Normal"/>
    <w:next w:val="Normal"/>
    <w:pPr>
      <w:spacing w:before="160" w:after="80"/>
      <w:ind w:firstLine="0" w:firstLineChars="0"/>
      <w:outlineLvl w:val="3"/>
    </w:pPr>
    <w:rPr>
      <w:rFonts w:ascii="Times New Roman" w:hAnsi="Times New Roman" w:eastAsia="宋体"/>
      <w:b/>
      <w:bCs/>
      <w:color w:val="374151"/>
      <w:sz w:val="23"/>
      <w:szCs w:val="23"/>
    </w:rPr>
  </w:style>
  <!-- Table Grid: light blue-gray grid -->
  <w:style w:type="table" w:styleId="TableGrid">
    <w:name w:val="Table Grid"/>
    <w:qFormat/>
    <w:tblPr>
      <w:tblBorders>
        <w:top w:val="single" w:color="9EADBF" w:sz="4" w:space="0"/>
        <w:left w:val="single" w:color="9EADBF" w:sz="4" w:space="0"/>
        <w:bottom w:val="single" w:color="9EADBF" w:sz="4" w:space="0"/>
        <w:right w:val="single" w:color="9EADBF" w:sz="4" w:space="0"/>
        <w:insideH w:val="single" w:color="C3CCD8" w:sz="4" w:space="0"/>
        <w:insideV w:val="single" w:color="C3CCD8" w:sz="4" w:space="0"/>
      </w:tblBorders>
      <w:tblCellMar>
        <w:top w:w="40" w:type="dxa"/>
        <w:left w:w="108" w:type="dxa"/>
        <w:bottom w:w="40" w:type="dxa"/>
        <w:right w:w="108" w:type="dxa"/>
      </w:tblCellMar>
    </w:tblPr>
  </w:style>
  <!-- Table Header paragraph -->
  <w:style w:type="paragraph" w:styleId="TableHeader">
    <w:name w:val="Table Header"/>
    <w:basedOn w:val="Normal"/>
    <w:pPr>
      <w:jc w:val="center"/>
      <w:ind w:firstLine="0" w:firstLineChars="0"/>
      <w:spacing w:before="0" w:after="0" w:line="280" w:lineRule="exact"/>
    </w:pPr>
    <w:rPr>
      <w:rFonts w:ascii="Times New Roman" w:hAnsi="Times New Roman" w:eastAsia="宋体"/>
      <w:b/>
      <w:bCs/>
      <w:color w:val="1F2937"/>
      <w:sz w:val="20"/>
      <w:szCs w:val="20"/>
    </w:rPr>
  </w:style>
  <!-- Table Cell paragraph -->
  <w:style w:type="paragraph" w:styleId="TableCell">
    <w:name w:val="Table Cell"/>
    <w:basedOn w:val="Normal"/>
    <w:pPr>
      <w:ind w:firstLine="0" w:firstLineChars="0"/>
      <w:spacing w:before="0" w:after="0" w:line="280" w:lineRule="exact"/>
    </w:pPr>
    <w:rPr>
      <w:rFonts w:ascii="Times New Roman" w:hAnsi="Times New Roman" w:eastAsia="宋体"/>
      <w:color w:val="1F2937"/>
      <w:sz w:val="20"/>
      <w:szCs w:val="20"/>
    </w:rPr>
  </w:style>
  <!-- List Paragraph -->
  <w:style w:type="paragraph" w:styleId="ListParagraph">
    <w:name w:val="List Paragraph"/>
    <w:basedOn w:val="Normal"/>
    <w:pPr>
      <w:spacing w:after="80" w:line="360" w:lineRule="auto"/>
      <w:ind w:left="720" w:hanging="360"/>
    </w:pPr>
    <w:rPr>
      <w:rFonts w:ascii="Times New Roman" w:hAnsi="Times New Roman" w:eastAsia="宋体"/>
      <w:color w:val="1F2937"/>
      <w:sz w:val="24"/>
      <w:szCs w:val="24"/>
    </w:rPr>
  </w:style>
  <!-- Code -->
  <w:style w:type="paragraph" w:styleId="Code">
    <w:name w:val="Code"/>
    <w:pPr>
      <w:shd w:val="clear" w:color="auto" w:fill="F6F8FA"/>
      <w:spacing w:line="260" w:lineRule="auto"/>
      <w:ind w:left="240" w:right="240" w:firstLine="0" w:firstLineChars="0"/>
    </w:pPr>
    <w:rPr>
      <w:rFonts w:ascii="Consolas" w:hAnsi="Consolas" w:eastAsia="宋体"/>
      <w:color w:val="1F2937"/>
      <w:sz w:val="18"/>
      <w:szCs w:val="18"/>
    </w:rPr>
  </w:style>
  <!-- Footer -->
  <w:style w:type="paragraph" w:styleId="Footer">
    <w:name w:val="footer"/>
    <w:basedOn w:val="Normal"/>
    <w:pPr>
      <w:jc w:val="center"/>
      <w:ind w:firstLine="0" w:firstLineChars="0"/>
      <w:spacing w:line="240" w:lineRule="auto"/>
    </w:pPr>
    <w:rPr>
      <w:rFonts w:ascii="Times New Roman" w:hAnsi="Times New Roman" w:eastAsia="宋体"/>
      <w:color w:val="1F2937"/>
      <w:sz w:val="18"/>
      <w:szCs w:val="18"/>
    </w:rPr>
  </w:style>
  <!-- Title -->
  <w:style w:type="paragraph" w:styleId="CoverTitle">
    <w:name w:val="Title"/>
    <w:basedOn w:val="Normal"/>
    <w:pPr>
      <w:jc w:val="center"/>
      <w:ind w:firstLine="0" w:firstLineChars="0"/>
      <w:spacing w:before="240" w:after="240" w:line="400" w:lineRule="exact"/>
    </w:pPr>
    <w:rPr>
      <w:rFonts w:ascii="Times New Roman" w:hAnsi="Times New Roman" w:eastAsia="宋体"/>
      <w:b/>
      <w:bCs/>
      <w:color w:val="1F2937"/>
      <w:sz w:val="44"/>
      <w:szCs w:val="44"/>
    </w:rPr>
  </w:style>
  <!-- Cover Info -->
  <w:style w:type="paragraph" w:styleId="CoverInfo">
    <w:name w:val="Cover Info"/>
    <w:basedOn w:val="Normal"/>
    <w:pPr>
      <w:jc w:val="center"/>
      <w:ind w:firstLine="0" w:firstLineChars="0"/>
      <w:spacing w:before="0" w:after="80" w:line="320" w:lineRule="exact"/>
    </w:pPr>
    <w:rPr>
      <w:rFonts w:ascii="Times New Roman" w:hAnsi="Times New Roman" w:eastAsia="宋体"/>
      <w:color w:val="5A6575"/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footer" Target="footer1.xml"/>
</Relationships>
</file>