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jc w:val="left"/>
        <w:rPr>
          <w:rFonts w:ascii="仿宋" w:hAnsi="仿宋" w:eastAsia="仿宋" w:cs="仿宋"/>
          <w:b/>
          <w:bCs/>
          <w:sz w:val="28"/>
          <w:szCs w:val="28"/>
        </w:rPr>
      </w:pPr>
      <w:bookmarkStart w:id="0" w:name="_Hlk105051719"/>
      <w:r>
        <w:rPr>
          <w:rFonts w:hint="eastAsia" w:ascii="仿宋" w:hAnsi="仿宋" w:eastAsia="仿宋" w:cs="仿宋"/>
          <w:b/>
          <w:bCs/>
          <w:sz w:val="28"/>
          <w:szCs w:val="28"/>
        </w:rPr>
        <w:t>附件1</w:t>
      </w:r>
    </w:p>
    <w:p>
      <w:pPr>
        <w:widowControl/>
        <w:spacing w:line="360" w:lineRule="auto"/>
        <w:ind w:firstLine="562" w:firstLineChars="200"/>
        <w:jc w:val="center"/>
        <w:rPr>
          <w:rFonts w:ascii="仿宋" w:hAnsi="仿宋" w:eastAsia="仿宋" w:cs="仿宋"/>
          <w:b/>
          <w:bCs/>
          <w:sz w:val="28"/>
          <w:szCs w:val="28"/>
        </w:rPr>
      </w:pPr>
      <w:bookmarkStart w:id="2" w:name="_GoBack"/>
      <w:r>
        <w:rPr>
          <w:rFonts w:hint="eastAsia" w:ascii="仿宋" w:hAnsi="仿宋" w:eastAsia="仿宋" w:cs="仿宋"/>
          <w:b/>
          <w:bCs/>
          <w:sz w:val="28"/>
          <w:szCs w:val="28"/>
        </w:rPr>
        <w:t>2023年上海市七宝中学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Hans"/>
        </w:rPr>
        <w:t>附属鑫都实验中学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招收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Hans"/>
        </w:rPr>
        <w:t>区</w:t>
      </w:r>
      <w:r>
        <w:rPr>
          <w:rFonts w:hint="eastAsia" w:ascii="仿宋" w:hAnsi="仿宋" w:eastAsia="仿宋" w:cs="仿宋"/>
          <w:b/>
          <w:bCs/>
          <w:sz w:val="28"/>
          <w:szCs w:val="28"/>
        </w:rPr>
        <w:t>级足球优秀体育学生资格确认测试方案</w:t>
      </w:r>
    </w:p>
    <w:bookmarkEnd w:id="2"/>
    <w:p>
      <w:pPr>
        <w:widowControl/>
        <w:spacing w:line="400" w:lineRule="exact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一、报到时间与地点</w:t>
      </w:r>
    </w:p>
    <w:p>
      <w:pPr>
        <w:widowControl/>
        <w:spacing w:line="400" w:lineRule="exact"/>
        <w:ind w:firstLine="480" w:firstLineChars="200"/>
        <w:rPr>
          <w:rFonts w:hint="default" w:ascii="仿宋" w:hAnsi="仿宋" w:eastAsia="仿宋" w:cs="仿宋"/>
          <w:sz w:val="24"/>
          <w:lang w:val="en-US" w:eastAsia="zh-Hans"/>
        </w:rPr>
      </w:pPr>
      <w:bookmarkStart w:id="1" w:name="_Hlk99092939"/>
      <w:r>
        <w:rPr>
          <w:rFonts w:hint="eastAsia" w:ascii="仿宋" w:hAnsi="仿宋" w:eastAsia="仿宋" w:cs="仿宋"/>
          <w:sz w:val="24"/>
        </w:rPr>
        <w:t>2023年4月</w:t>
      </w:r>
      <w:r>
        <w:rPr>
          <w:rFonts w:hint="default" w:ascii="仿宋" w:hAnsi="仿宋" w:eastAsia="仿宋" w:cs="仿宋"/>
          <w:sz w:val="24"/>
        </w:rPr>
        <w:t>23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default" w:ascii="仿宋" w:hAnsi="仿宋" w:eastAsia="仿宋" w:cs="仿宋"/>
          <w:sz w:val="24"/>
        </w:rPr>
        <w:t>13:00</w:t>
      </w:r>
      <w:bookmarkEnd w:id="1"/>
      <w:r>
        <w:rPr>
          <w:rFonts w:hint="eastAsia" w:ascii="仿宋" w:hAnsi="仿宋" w:eastAsia="仿宋" w:cs="仿宋"/>
          <w:sz w:val="24"/>
          <w:lang w:val="en-US" w:eastAsia="zh-Hans"/>
        </w:rPr>
        <w:t>七宝鑫都图书馆</w:t>
      </w:r>
    </w:p>
    <w:p>
      <w:pPr>
        <w:widowControl/>
        <w:numPr>
          <w:ilvl w:val="0"/>
          <w:numId w:val="1"/>
        </w:numPr>
        <w:spacing w:line="400" w:lineRule="exact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测试内容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足球专项素质、专项技能及实战表现</w:t>
      </w:r>
    </w:p>
    <w:p>
      <w:pPr>
        <w:widowControl/>
        <w:spacing w:line="400" w:lineRule="exact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 xml:space="preserve">三、测试时间及地点 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2023年4月</w:t>
      </w:r>
      <w:r>
        <w:rPr>
          <w:rFonts w:hint="default" w:ascii="仿宋" w:hAnsi="仿宋" w:eastAsia="仿宋" w:cs="仿宋"/>
          <w:sz w:val="24"/>
        </w:rPr>
        <w:t>23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default" w:ascii="仿宋" w:hAnsi="仿宋" w:eastAsia="仿宋" w:cs="仿宋"/>
          <w:sz w:val="24"/>
        </w:rPr>
        <w:t>13:</w:t>
      </w:r>
      <w:r>
        <w:rPr>
          <w:rFonts w:hint="default" w:ascii="仿宋" w:hAnsi="仿宋" w:eastAsia="仿宋" w:cs="仿宋"/>
          <w:sz w:val="24"/>
          <w:lang w:eastAsia="zh-Hans"/>
        </w:rPr>
        <w:t>30</w:t>
      </w:r>
      <w:r>
        <w:rPr>
          <w:rFonts w:hint="eastAsia" w:ascii="仿宋" w:hAnsi="仿宋" w:eastAsia="仿宋" w:cs="仿宋"/>
          <w:sz w:val="24"/>
        </w:rPr>
        <w:t>上海市七宝中学</w:t>
      </w:r>
      <w:r>
        <w:rPr>
          <w:rFonts w:hint="eastAsia" w:ascii="仿宋" w:hAnsi="仿宋" w:eastAsia="仿宋" w:cs="仿宋"/>
          <w:sz w:val="24"/>
          <w:lang w:val="en-US" w:eastAsia="zh-Hans"/>
        </w:rPr>
        <w:t>附属鑫都实验中学</w:t>
      </w:r>
      <w:r>
        <w:rPr>
          <w:rFonts w:hint="eastAsia" w:ascii="仿宋" w:hAnsi="仿宋" w:eastAsia="仿宋" w:cs="仿宋"/>
          <w:sz w:val="24"/>
        </w:rPr>
        <w:t>足球场</w:t>
      </w:r>
    </w:p>
    <w:p>
      <w:pPr>
        <w:widowControl/>
        <w:spacing w:line="400" w:lineRule="exact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四、评价内容、测试方法及评价标准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（一）专项素质（30%）</w:t>
      </w:r>
    </w:p>
    <w:p>
      <w:pPr>
        <w:adjustRightInd w:val="0"/>
        <w:snapToGrid w:val="0"/>
        <w:spacing w:line="400" w:lineRule="exact"/>
        <w:ind w:firstLine="424" w:firstLineChars="177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1.专项素质测试内容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足球运动对运动员的身体素质要求较高，不仅需要速度、耐力、爆发力、灵敏、协调、柔韧，还需要关注度、观察力及选择和判断等，可参考表1内容评价。</w:t>
      </w:r>
    </w:p>
    <w:p>
      <w:pPr>
        <w:pStyle w:val="5"/>
        <w:adjustRightInd w:val="0"/>
        <w:snapToGrid w:val="0"/>
        <w:spacing w:line="400" w:lineRule="exact"/>
        <w:ind w:firstLine="480"/>
        <w:jc w:val="center"/>
        <w:rPr>
          <w:rFonts w:ascii="仿宋" w:hAnsi="仿宋" w:eastAsia="仿宋" w:cs="仿宋"/>
          <w:sz w:val="24"/>
        </w:rPr>
      </w:pPr>
    </w:p>
    <w:p>
      <w:pPr>
        <w:pStyle w:val="5"/>
        <w:adjustRightInd w:val="0"/>
        <w:snapToGrid w:val="0"/>
        <w:spacing w:line="400" w:lineRule="exact"/>
        <w:ind w:firstLine="480"/>
        <w:jc w:val="center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表1  专项素质评价指标、占比及方式</w:t>
      </w:r>
    </w:p>
    <w:tbl>
      <w:tblPr>
        <w:tblStyle w:val="3"/>
        <w:tblW w:w="863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4366"/>
        <w:gridCol w:w="1110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  <w:jc w:val="center"/>
        </w:trPr>
        <w:tc>
          <w:tcPr>
            <w:tcW w:w="1404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一级指标</w:t>
            </w:r>
          </w:p>
        </w:tc>
        <w:tc>
          <w:tcPr>
            <w:tcW w:w="4366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二级指标</w:t>
            </w:r>
          </w:p>
        </w:tc>
        <w:tc>
          <w:tcPr>
            <w:tcW w:w="111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分值</w:t>
            </w:r>
          </w:p>
        </w:tc>
        <w:tc>
          <w:tcPr>
            <w:tcW w:w="175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评价方式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  <w:jc w:val="center"/>
        </w:trPr>
        <w:tc>
          <w:tcPr>
            <w:tcW w:w="1404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耐力素质</w:t>
            </w:r>
          </w:p>
        </w:tc>
        <w:tc>
          <w:tcPr>
            <w:tcW w:w="4366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一般耐力、速度耐力、力量耐力</w:t>
            </w:r>
          </w:p>
        </w:tc>
        <w:tc>
          <w:tcPr>
            <w:tcW w:w="111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10</w:t>
            </w:r>
          </w:p>
        </w:tc>
        <w:tc>
          <w:tcPr>
            <w:tcW w:w="175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定量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04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力量素质</w:t>
            </w:r>
          </w:p>
        </w:tc>
        <w:tc>
          <w:tcPr>
            <w:tcW w:w="4366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爆发力、肌肉力量</w:t>
            </w:r>
          </w:p>
        </w:tc>
        <w:tc>
          <w:tcPr>
            <w:tcW w:w="111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10</w:t>
            </w:r>
          </w:p>
        </w:tc>
        <w:tc>
          <w:tcPr>
            <w:tcW w:w="175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定量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  <w:jc w:val="center"/>
        </w:trPr>
        <w:tc>
          <w:tcPr>
            <w:tcW w:w="1404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速度素质</w:t>
            </w:r>
          </w:p>
        </w:tc>
        <w:tc>
          <w:tcPr>
            <w:tcW w:w="4366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位移速度、动作速度、反应速度</w:t>
            </w:r>
          </w:p>
        </w:tc>
        <w:tc>
          <w:tcPr>
            <w:tcW w:w="111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10</w:t>
            </w:r>
          </w:p>
        </w:tc>
        <w:tc>
          <w:tcPr>
            <w:tcW w:w="175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定量</w:t>
            </w:r>
          </w:p>
        </w:tc>
      </w:tr>
    </w:tbl>
    <w:p>
      <w:pPr>
        <w:adjustRightInd w:val="0"/>
        <w:snapToGrid w:val="0"/>
        <w:spacing w:line="400" w:lineRule="exact"/>
        <w:ind w:firstLine="424" w:firstLineChars="177"/>
        <w:rPr>
          <w:rFonts w:ascii="仿宋" w:hAnsi="仿宋" w:eastAsia="仿宋" w:cs="仿宋"/>
          <w:color w:val="FF0000"/>
          <w:sz w:val="24"/>
          <w:szCs w:val="28"/>
        </w:rPr>
      </w:pPr>
    </w:p>
    <w:p>
      <w:pPr>
        <w:adjustRightInd w:val="0"/>
        <w:snapToGrid w:val="0"/>
        <w:spacing w:line="400" w:lineRule="exact"/>
        <w:ind w:firstLine="424" w:firstLineChars="177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2.专项素质测试方法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（1）5米x25米折返跑（10%）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（如下图）测试者从起点出发开始计时，从起点到标志点后返回起点。在跑动中依次用手击倒位于5米、10米、15米、20米和25米各处的标志物后返回起跑线，要求每击倒一个标志物须立即返回一次, 再跑到下一个标志物，以此类推。测试者应以站立式起跑，脚动开表，完成所有折返距离回到起跑线时停表，记录完成的时间。未击倒标志物，成绩无效。每人测试1次。</w:t>
      </w:r>
    </w:p>
    <w:p>
      <w:pPr>
        <w:ind w:firstLine="480" w:firstLineChars="200"/>
        <w:jc w:val="center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drawing>
          <wp:inline distT="0" distB="0" distL="114300" distR="114300">
            <wp:extent cx="3201670" cy="1489075"/>
            <wp:effectExtent l="0" t="0" r="17780" b="15875"/>
            <wp:docPr id="8" name="图片 8" descr="445c151088d3dc31c140b1cc278bb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45c151088d3dc31c140b1cc278bb0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（2）立定跳远（10%）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测试者原地双脚站立在起跳线后，做预摆动作的过程中，前脚掌不能离地，如有违反者，则判为该次测试失败。每位测试者有两次机会，每次均测量成绩，取最好成绩。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（3）30米跑（10%）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（如下图）测试者从起点出发开始计时，到终点计时结束。每位测试者有两次机会，每次均记录成绩，取最好成绩。</w:t>
      </w:r>
    </w:p>
    <w:p>
      <w:pPr>
        <w:widowControl/>
        <w:spacing w:line="400" w:lineRule="exact"/>
        <w:ind w:firstLine="42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121285</wp:posOffset>
                </wp:positionV>
                <wp:extent cx="2559685" cy="548005"/>
                <wp:effectExtent l="7620" t="0" r="23495" b="444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9685" cy="547884"/>
                          <a:chOff x="10584" y="14079"/>
                          <a:chExt cx="4211" cy="1608"/>
                        </a:xfrm>
                      </wpg:grpSpPr>
                      <wpg:grpSp>
                        <wpg:cNvPr id="3" name="组合 11"/>
                        <wpg:cNvGrpSpPr/>
                        <wpg:grpSpPr>
                          <a:xfrm>
                            <a:off x="10681" y="14079"/>
                            <a:ext cx="4114" cy="1558"/>
                            <a:chOff x="10681" y="14079"/>
                            <a:chExt cx="4114" cy="1558"/>
                          </a:xfrm>
                        </wpg:grpSpPr>
                        <wps:wsp>
                          <wps:cNvPr id="9" name="直接箭头连接符 9"/>
                          <wps:cNvCnPr/>
                          <wps:spPr>
                            <a:xfrm flipV="1">
                              <a:off x="10681" y="14782"/>
                              <a:ext cx="4115" cy="15"/>
                            </a:xfrm>
                            <a:prstGeom prst="straightConnector1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dash"/>
                              <a:headEnd type="oval" w="med" len="med"/>
                              <a:tailEnd type="stealth" w="lg" len="lg"/>
                            </a:ln>
                          </wps:spPr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14775" y="14079"/>
                              <a:ext cx="16" cy="1558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2" name="直接连接符 12"/>
                        <wps:cNvCnPr/>
                        <wps:spPr>
                          <a:xfrm flipH="1">
                            <a:off x="10584" y="14125"/>
                            <a:ext cx="15" cy="1563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4pt;margin-top:9.55pt;height:43.15pt;width:201.55pt;z-index:251660288;mso-width-relative:page;mso-height-relative:page;" coordorigin="10584,14079" coordsize="4211,1608" o:gfxdata="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CjQF3NoAAAAKAQAADwAAAAAAAAABACAAAAAiAAAAZHJzL2Rvd25y&#10;ZXYueG1sUEsBAhQAFAAAAAgAh07iQAgSx6cZAwAAKwoAAA4AAAAAAAAAAQAgAAAAKQEAAGRycy9l&#10;Mm9Eb2MueG1sUEsFBgAAAAAGAAYAWQEAALQGAAAAAA==&#10;">
                <o:lock v:ext="edit" aspectratio="f"/>
                <v:group id="组合 11" o:spid="_x0000_s1026" o:spt="203" style="position:absolute;left:10681;top:14079;height:1558;width:4114;" coordorigin="10681,14079" coordsize="4114,1558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2" type="#_x0000_t32" style="position:absolute;left:10681;top:14782;flip:y;height:15;width:4115;" filled="f" stroked="t" coordsize="21600,21600" o:gfxdata="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8Gdre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.25pt" color="#000000" joinstyle="round" dashstyle="dash" startarrow="oval" endarrow="classic" endarrowwidth="wide" endarrowlength="long"/>
                    <v:imagedata o:title=""/>
                    <o:lock v:ext="edit" aspectratio="f"/>
                  </v:shape>
                  <v:line id="_x0000_s1026" o:spid="_x0000_s1026" o:spt="20" style="position:absolute;left:14775;top:14079;height:1558;width:16;" filled="f" stroked="t" coordsize="21600,21600" o:gfxdata="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P+q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25pt"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10584;top:14125;flip:x;height:1563;width:15;" filled="f" stroked="t" coordsize="21600,21600" o:gfxdata="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4No0rUAAADbAAAADwAA&#10;AAAAAAABACAAAAAiAAAAZHJzL2Rvd25yZXYueG1sUEsBAhQAFAAAAAgAh07iQDMvBZ47AAAAOQAA&#10;ABAAAAAAAAAAAQAgAAAABAEAAGRycy9zaGFwZXhtbC54bWxQSwUGAAAAAAYABgBbAQAArgMAAAAA&#10;">
                  <v:fill on="f" focussize="0,0"/>
                  <v:stroke weight="1.25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</w:p>
    <w:p>
      <w:pPr>
        <w:widowControl/>
        <w:numPr>
          <w:ilvl w:val="0"/>
          <w:numId w:val="2"/>
        </w:numPr>
        <w:spacing w:line="400" w:lineRule="exact"/>
        <w:ind w:left="0" w:leftChars="0" w:firstLine="480" w:firstLineChars="200"/>
        <w:rPr>
          <w:rFonts w:hint="eastAsia"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专项素质评价标准</w:t>
      </w:r>
    </w:p>
    <w:p>
      <w:pPr>
        <w:widowControl/>
        <w:numPr>
          <w:ilvl w:val="0"/>
          <w:numId w:val="0"/>
        </w:numPr>
        <w:spacing w:line="400" w:lineRule="exact"/>
        <w:ind w:left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（1）5米x25米折返跑评价标准</w:t>
      </w:r>
    </w:p>
    <w:tbl>
      <w:tblPr>
        <w:tblStyle w:val="3"/>
        <w:tblW w:w="391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8"/>
        <w:gridCol w:w="303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4" w:hRule="exact"/>
        </w:trPr>
        <w:tc>
          <w:tcPr>
            <w:tcW w:w="878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分值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成绩（秒）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3" w:hRule="exact"/>
        </w:trPr>
        <w:tc>
          <w:tcPr>
            <w:tcW w:w="878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仿宋" w:hAnsi="仿宋" w:eastAsia="仿宋" w:cs="仿宋"/>
                <w:sz w:val="32"/>
                <w:szCs w:val="32"/>
              </w:rPr>
            </w:pP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exact"/>
        </w:trPr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10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exact"/>
        </w:trPr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9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.01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.30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exact"/>
        </w:trPr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8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.31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.60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exact"/>
        </w:trPr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7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.61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.90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exact"/>
        </w:trPr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6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.91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4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exact"/>
        </w:trPr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5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4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.21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4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.50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exact"/>
        </w:trPr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4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4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.51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4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.80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exact"/>
        </w:trPr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4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.81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5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.10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exact"/>
        </w:trPr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2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5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.11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5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.40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4" w:hRule="exact"/>
        </w:trPr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1</w:t>
            </w:r>
          </w:p>
        </w:tc>
        <w:tc>
          <w:tcPr>
            <w:tcW w:w="3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5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.4</w:t>
            </w:r>
            <w:r>
              <w:rPr>
                <w:rFonts w:hint="eastAsia" w:ascii="仿宋" w:hAnsi="仿宋" w:eastAsia="仿宋" w:cs="仿宋"/>
                <w:szCs w:val="21"/>
              </w:rPr>
              <w:t>以上</w:t>
            </w:r>
          </w:p>
        </w:tc>
      </w:tr>
    </w:tbl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（2）立定跳远评价标准</w:t>
      </w:r>
    </w:p>
    <w:tbl>
      <w:tblPr>
        <w:tblStyle w:val="3"/>
        <w:tblW w:w="3967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89"/>
        <w:gridCol w:w="307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4" w:hRule="exact"/>
        </w:trPr>
        <w:tc>
          <w:tcPr>
            <w:tcW w:w="889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分值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成绩（</w:t>
            </w: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厘米</w:t>
            </w:r>
            <w:r>
              <w:rPr>
                <w:rFonts w:hint="eastAsia" w:ascii="仿宋" w:hAnsi="仿宋" w:eastAsia="仿宋" w:cs="仿宋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4" w:hRule="exact"/>
        </w:trPr>
        <w:tc>
          <w:tcPr>
            <w:tcW w:w="889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仿宋" w:hAnsi="仿宋" w:eastAsia="仿宋" w:cs="仿宋"/>
                <w:sz w:val="32"/>
                <w:szCs w:val="32"/>
              </w:rPr>
            </w:pP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7" w:hRule="exac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10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hint="default"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260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7" w:hRule="exac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9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hint="default"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255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7" w:hRule="exac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8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hint="default"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250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7" w:hRule="exac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7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hint="default"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245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7" w:hRule="exac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6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 w:firstLineChars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240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7" w:hRule="exac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5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 w:firstLineChars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235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7" w:hRule="exac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4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hint="default"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230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7" w:hRule="exac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hint="default"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225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7" w:hRule="exac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2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hint="default"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7" w:hRule="exact"/>
        </w:trPr>
        <w:tc>
          <w:tcPr>
            <w:tcW w:w="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1</w:t>
            </w:r>
          </w:p>
        </w:tc>
        <w:tc>
          <w:tcPr>
            <w:tcW w:w="30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220以下</w:t>
            </w:r>
          </w:p>
        </w:tc>
      </w:tr>
    </w:tbl>
    <w:p>
      <w:pPr>
        <w:spacing w:line="440" w:lineRule="atLeast"/>
        <w:ind w:firstLine="440" w:firstLineChars="200"/>
        <w:rPr>
          <w:rFonts w:ascii="仿宋" w:hAnsi="仿宋" w:eastAsia="仿宋" w:cs="仿宋"/>
          <w:bCs/>
          <w:sz w:val="22"/>
          <w:szCs w:val="22"/>
        </w:rPr>
      </w:pP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（3）30米跑评价标准</w:t>
      </w:r>
    </w:p>
    <w:tbl>
      <w:tblPr>
        <w:tblStyle w:val="3"/>
        <w:tblW w:w="404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6"/>
        <w:gridCol w:w="313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9" w:hRule="exact"/>
        </w:trPr>
        <w:tc>
          <w:tcPr>
            <w:tcW w:w="906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分值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成绩（</w:t>
            </w: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秒</w:t>
            </w:r>
            <w:r>
              <w:rPr>
                <w:rFonts w:hint="eastAsia" w:ascii="仿宋" w:hAnsi="仿宋" w:eastAsia="仿宋" w:cs="仿宋"/>
                <w:szCs w:val="21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8" w:hRule="exact"/>
        </w:trPr>
        <w:tc>
          <w:tcPr>
            <w:tcW w:w="906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仿宋" w:hAnsi="仿宋" w:eastAsia="仿宋" w:cs="仿宋"/>
                <w:sz w:val="32"/>
                <w:szCs w:val="32"/>
              </w:rPr>
            </w:pP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10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3.9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9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8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4.1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7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4.2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6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4.3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5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4.4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4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4.5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3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4.6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2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4.7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exact"/>
        </w:trPr>
        <w:tc>
          <w:tcPr>
            <w:tcW w:w="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1</w:t>
            </w:r>
          </w:p>
        </w:tc>
        <w:tc>
          <w:tcPr>
            <w:tcW w:w="3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4.8及以下</w:t>
            </w:r>
          </w:p>
        </w:tc>
      </w:tr>
    </w:tbl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（二）专项技能（30%）</w:t>
      </w:r>
    </w:p>
    <w:p>
      <w:pPr>
        <w:widowControl/>
        <w:spacing w:line="400" w:lineRule="exact"/>
        <w:ind w:firstLine="424" w:firstLineChars="177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1.</w:t>
      </w:r>
      <w:r>
        <w:rPr>
          <w:rFonts w:hint="eastAsia" w:ascii="仿宋" w:hAnsi="仿宋" w:eastAsia="仿宋" w:cs="仿宋"/>
          <w:sz w:val="24"/>
          <w:szCs w:val="28"/>
        </w:rPr>
        <w:t>专项技能</w:t>
      </w:r>
      <w:r>
        <w:rPr>
          <w:rFonts w:hint="eastAsia" w:ascii="仿宋" w:hAnsi="仿宋" w:eastAsia="仿宋" w:cs="仿宋"/>
          <w:sz w:val="24"/>
        </w:rPr>
        <w:t>测试内容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（1）非守门员，包括但不限于球感、球性、运球、传接球、射门等技术能力，可参考表2内容评价。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（2）守门员，包括但不限于反应、移动、扑接球以及抛踢球等技术能力，可参考表3内容评价。</w:t>
      </w:r>
    </w:p>
    <w:p>
      <w:pPr>
        <w:adjustRightInd w:val="0"/>
        <w:snapToGrid w:val="0"/>
        <w:spacing w:before="156" w:beforeLines="50" w:line="400" w:lineRule="exact"/>
        <w:jc w:val="center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表2专项技能的指标、占比及评价方式（非守门员）</w:t>
      </w:r>
    </w:p>
    <w:tbl>
      <w:tblPr>
        <w:tblStyle w:val="3"/>
        <w:tblW w:w="90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8"/>
        <w:gridCol w:w="4700"/>
        <w:gridCol w:w="1124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8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一级指标</w:t>
            </w:r>
          </w:p>
        </w:tc>
        <w:tc>
          <w:tcPr>
            <w:tcW w:w="470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二级指标</w:t>
            </w:r>
          </w:p>
        </w:tc>
        <w:tc>
          <w:tcPr>
            <w:tcW w:w="1124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分值</w:t>
            </w:r>
          </w:p>
        </w:tc>
        <w:tc>
          <w:tcPr>
            <w:tcW w:w="1698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评价方式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8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传球能力</w:t>
            </w:r>
          </w:p>
        </w:tc>
        <w:tc>
          <w:tcPr>
            <w:tcW w:w="4700" w:type="dxa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等距离或不等距离传球</w:t>
            </w:r>
          </w:p>
        </w:tc>
        <w:tc>
          <w:tcPr>
            <w:tcW w:w="1124" w:type="dxa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15</w:t>
            </w:r>
          </w:p>
        </w:tc>
        <w:tc>
          <w:tcPr>
            <w:tcW w:w="1698" w:type="dxa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定量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8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运射能力</w:t>
            </w:r>
          </w:p>
        </w:tc>
        <w:tc>
          <w:tcPr>
            <w:tcW w:w="4700" w:type="dxa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等间距或不等间距运球绕障碍物射门</w:t>
            </w:r>
          </w:p>
        </w:tc>
        <w:tc>
          <w:tcPr>
            <w:tcW w:w="1124" w:type="dxa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15</w:t>
            </w:r>
          </w:p>
        </w:tc>
        <w:tc>
          <w:tcPr>
            <w:tcW w:w="1698" w:type="dxa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定量</w:t>
            </w:r>
          </w:p>
        </w:tc>
      </w:tr>
    </w:tbl>
    <w:p>
      <w:pPr>
        <w:adjustRightInd w:val="0"/>
        <w:snapToGrid w:val="0"/>
        <w:spacing w:line="560" w:lineRule="exact"/>
        <w:jc w:val="center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表3  专项技能的指标、占比及评价方式（守门员）</w:t>
      </w:r>
    </w:p>
    <w:tbl>
      <w:tblPr>
        <w:tblStyle w:val="3"/>
        <w:tblW w:w="90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8"/>
        <w:gridCol w:w="4689"/>
        <w:gridCol w:w="1133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8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一级指标</w:t>
            </w:r>
          </w:p>
        </w:tc>
        <w:tc>
          <w:tcPr>
            <w:tcW w:w="4689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二级指标</w:t>
            </w:r>
          </w:p>
        </w:tc>
        <w:tc>
          <w:tcPr>
            <w:tcW w:w="1133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分值</w:t>
            </w:r>
          </w:p>
        </w:tc>
        <w:tc>
          <w:tcPr>
            <w:tcW w:w="1700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评价方式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8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扑抛</w:t>
            </w:r>
            <w:r>
              <w:rPr>
                <w:rFonts w:hint="eastAsia" w:ascii="仿宋" w:hAnsi="仿宋" w:eastAsia="仿宋" w:cs="仿宋"/>
                <w:sz w:val="24"/>
              </w:rPr>
              <w:t>球能力</w:t>
            </w:r>
          </w:p>
        </w:tc>
        <w:tc>
          <w:tcPr>
            <w:tcW w:w="4689" w:type="dxa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移动扑球及手抛球</w:t>
            </w:r>
          </w:p>
        </w:tc>
        <w:tc>
          <w:tcPr>
            <w:tcW w:w="1133" w:type="dxa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15</w:t>
            </w:r>
          </w:p>
        </w:tc>
        <w:tc>
          <w:tcPr>
            <w:tcW w:w="1700" w:type="dxa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定量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58" w:type="dxa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扑接球能力</w:t>
            </w:r>
          </w:p>
        </w:tc>
        <w:tc>
          <w:tcPr>
            <w:tcW w:w="4689" w:type="dxa"/>
            <w:vAlign w:val="center"/>
          </w:tcPr>
          <w:p>
            <w:pPr>
              <w:adjustRightInd w:val="0"/>
              <w:snapToGrid w:val="0"/>
              <w:spacing w:line="560" w:lineRule="exact"/>
              <w:ind w:left="210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扑接定点或不定点不同角度射门</w:t>
            </w:r>
          </w:p>
        </w:tc>
        <w:tc>
          <w:tcPr>
            <w:tcW w:w="1133" w:type="dxa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15</w:t>
            </w:r>
          </w:p>
        </w:tc>
        <w:tc>
          <w:tcPr>
            <w:tcW w:w="1700" w:type="dxa"/>
            <w:vAlign w:val="center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定性</w:t>
            </w:r>
          </w:p>
        </w:tc>
      </w:tr>
    </w:tbl>
    <w:p>
      <w:pPr>
        <w:adjustRightInd w:val="0"/>
        <w:snapToGrid w:val="0"/>
        <w:spacing w:line="400" w:lineRule="exact"/>
        <w:rPr>
          <w:rFonts w:ascii="仿宋" w:hAnsi="仿宋" w:eastAsia="仿宋" w:cs="仿宋"/>
          <w:color w:val="FF0000"/>
          <w:sz w:val="24"/>
          <w:szCs w:val="28"/>
        </w:rPr>
      </w:pPr>
    </w:p>
    <w:p>
      <w:pPr>
        <w:adjustRightInd w:val="0"/>
        <w:snapToGrid w:val="0"/>
        <w:spacing w:line="400" w:lineRule="exact"/>
        <w:ind w:firstLine="424" w:firstLineChars="177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2.专项技能测试方法（非守门员）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（1）传准（15%）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（如下图）传球目标区域由一个五人制足球门（球门净宽度3 米，净高度2米）和以球门线为直径3米的半圆组成，圆心（球门线中心点）至起点线垂直距离为男子28米，女子23米。测试者须将球置于起点线上（线长5米，宽0.1米），向目标区域连续传球5次，左右脚均可，脚法不限。</w:t>
      </w:r>
    </w:p>
    <w:p>
      <w:pPr>
        <w:ind w:firstLine="420" w:firstLineChars="200"/>
        <w:jc w:val="center"/>
        <w:rPr>
          <w:rFonts w:ascii="仿宋" w:hAnsi="仿宋" w:eastAsia="仿宋" w:cs="仿宋"/>
          <w:sz w:val="24"/>
          <w:szCs w:val="28"/>
        </w:rPr>
      </w:pPr>
      <w:r>
        <w:drawing>
          <wp:inline distT="0" distB="0" distL="114300" distR="114300">
            <wp:extent cx="2305685" cy="1377950"/>
            <wp:effectExtent l="0" t="0" r="184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（2）运射（15%）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从罚球区线中点垂直向场内延伸至20米处，画一条平行于球门线的横线作为起点线。距罚球区线2米处起，沿20米垂线共插置8根标志杆。测试者将球置于2米长的起点线标志杆正后方上，运球依次绕过8根标志杆后起脚射门，球动开表，当球从空中或地面越过球门线时停表，记录完成的时间。凡出现漏杆、射门偏出球门，球击中横梁或立柱弹出均无效，不计成绩。每人测试2次，取最好成绩。</w:t>
      </w:r>
    </w:p>
    <w:p>
      <w:pPr>
        <w:ind w:firstLine="480" w:firstLineChars="200"/>
        <w:jc w:val="center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drawing>
          <wp:inline distT="0" distB="0" distL="114300" distR="114300">
            <wp:extent cx="2603500" cy="1441450"/>
            <wp:effectExtent l="0" t="0" r="6350" b="6350"/>
            <wp:docPr id="17" name="图片 17" descr="70d3dbcf2b52ff829ba5eb2730dd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0d3dbcf2b52ff829ba5eb2730dde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400" w:lineRule="exact"/>
        <w:ind w:firstLine="424" w:firstLineChars="177"/>
        <w:rPr>
          <w:rFonts w:ascii="仿宋" w:hAnsi="仿宋" w:eastAsia="仿宋" w:cs="仿宋"/>
          <w:color w:val="FF0000"/>
          <w:sz w:val="24"/>
          <w:szCs w:val="28"/>
        </w:rPr>
      </w:pPr>
    </w:p>
    <w:p>
      <w:pPr>
        <w:adjustRightInd w:val="0"/>
        <w:snapToGrid w:val="0"/>
        <w:spacing w:line="400" w:lineRule="exact"/>
        <w:ind w:firstLine="424" w:firstLineChars="177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3.专项技能测试方法（守门员）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（1）</w:t>
      </w:r>
      <w:r>
        <w:rPr>
          <w:rFonts w:hint="eastAsia" w:ascii="仿宋" w:hAnsi="仿宋" w:eastAsia="仿宋" w:cs="仿宋"/>
          <w:sz w:val="24"/>
          <w:szCs w:val="28"/>
          <w:lang w:val="en-US" w:eastAsia="zh-CN"/>
        </w:rPr>
        <w:t>移动扑球及手抛球能力</w:t>
      </w:r>
      <w:r>
        <w:rPr>
          <w:rFonts w:hint="eastAsia" w:ascii="仿宋" w:hAnsi="仿宋" w:eastAsia="仿宋" w:cs="仿宋"/>
          <w:sz w:val="24"/>
          <w:szCs w:val="28"/>
        </w:rPr>
        <w:t>（15%）</w:t>
      </w:r>
    </w:p>
    <w:p>
      <w:pPr>
        <w:spacing w:line="400" w:lineRule="exact"/>
        <w:ind w:firstLine="480" w:firstLineChars="200"/>
        <w:rPr>
          <w:rFonts w:hint="eastAsia" w:ascii="仿宋" w:hAnsi="仿宋" w:eastAsia="仿宋" w:cs="仿宋"/>
          <w:sz w:val="24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8"/>
          <w:lang w:val="en-US" w:eastAsia="zh-CN"/>
        </w:rPr>
        <w:t>a.画一条7.32米线，在线两端各放一个球。禁区线内为手抛球区域，线前沿距2个手抛球目标区球门距离各为25米，测试者站在7.32米的线上中间1/2处。测试开始，测试者须在最快的时间内连续做两次扑球，并将球用手抛向规定的球门区域。</w:t>
      </w:r>
    </w:p>
    <w:p>
      <w:pPr>
        <w:spacing w:line="400" w:lineRule="exact"/>
        <w:ind w:firstLine="480" w:firstLineChars="200"/>
        <w:rPr>
          <w:rFonts w:hint="eastAsia" w:ascii="仿宋" w:hAnsi="仿宋" w:eastAsia="仿宋" w:cs="仿宋"/>
          <w:sz w:val="24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8"/>
          <w:lang w:val="en-US" w:eastAsia="zh-CN"/>
        </w:rPr>
        <w:t>b.测试者做出移动扑球必须按A.B顺序双手扑住球；测试者A.B点扑球后做手抛球；测试者做完第一次手抛球后须跑回7.32米的线上，再做下一次扑球；测试者做出移动扑A点球后，将球抛向1号目标区，移动扑</w:t>
      </w:r>
      <w:r>
        <w:rPr>
          <w:rFonts w:hint="eastAsia" w:ascii="仿宋" w:hAnsi="仿宋" w:eastAsia="仿宋" w:cs="仿宋"/>
          <w:sz w:val="24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8"/>
          <w:lang w:val="en-US" w:eastAsia="zh-CN"/>
        </w:rPr>
        <w:t>B点球后，将球抛向2号目标区.</w:t>
      </w:r>
    </w:p>
    <w:p>
      <w:pPr>
        <w:spacing w:line="400" w:lineRule="exact"/>
        <w:ind w:firstLine="480" w:firstLineChars="200"/>
        <w:rPr>
          <w:rFonts w:hint="eastAsia" w:ascii="仿宋" w:hAnsi="仿宋" w:eastAsia="仿宋" w:cs="仿宋"/>
          <w:sz w:val="24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8"/>
          <w:lang w:val="en-US" w:eastAsia="zh-CN"/>
        </w:rPr>
        <w:t>C.计分方法：A.B两点共6次机会，每传准一次得2.5分，共15分</w:t>
      </w:r>
    </w:p>
    <w:p>
      <w:pPr>
        <w:spacing w:line="240" w:lineRule="auto"/>
        <w:ind w:firstLine="480" w:firstLineChars="200"/>
        <w:jc w:val="center"/>
        <w:rPr>
          <w:rFonts w:hint="default" w:ascii="仿宋" w:hAnsi="仿宋" w:eastAsia="仿宋" w:cs="仿宋"/>
          <w:sz w:val="24"/>
          <w:szCs w:val="28"/>
          <w:lang w:val="en-US" w:eastAsia="zh-CN"/>
        </w:rPr>
      </w:pPr>
      <w:r>
        <w:rPr>
          <w:rFonts w:hint="default" w:ascii="仿宋" w:hAnsi="仿宋" w:eastAsia="仿宋" w:cs="仿宋"/>
          <w:sz w:val="24"/>
          <w:szCs w:val="28"/>
          <w:lang w:val="en-US" w:eastAsia="zh-CN"/>
        </w:rPr>
        <w:drawing>
          <wp:inline distT="0" distB="0" distL="114300" distR="114300">
            <wp:extent cx="2684145" cy="1922145"/>
            <wp:effectExtent l="0" t="0" r="1905" b="1905"/>
            <wp:docPr id="4" name="图片 4" descr="微信图片_2023033022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03302259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rFonts w:hint="default" w:ascii="仿宋" w:hAnsi="仿宋" w:eastAsia="仿宋" w:cs="仿宋"/>
          <w:sz w:val="24"/>
          <w:szCs w:val="28"/>
          <w:lang w:val="en-US" w:eastAsia="zh-CN"/>
        </w:rPr>
      </w:pPr>
    </w:p>
    <w:p>
      <w:pPr>
        <w:ind w:firstLine="480" w:firstLineChars="200"/>
        <w:jc w:val="center"/>
        <w:rPr>
          <w:rFonts w:ascii="仿宋" w:hAnsi="仿宋" w:eastAsia="仿宋" w:cs="仿宋"/>
          <w:sz w:val="24"/>
          <w:szCs w:val="28"/>
        </w:rPr>
      </w:pPr>
    </w:p>
    <w:p>
      <w:pPr>
        <w:ind w:firstLine="480" w:firstLineChars="200"/>
        <w:jc w:val="center"/>
        <w:rPr>
          <w:rFonts w:ascii="仿宋" w:hAnsi="仿宋" w:eastAsia="仿宋" w:cs="仿宋"/>
          <w:sz w:val="24"/>
          <w:szCs w:val="28"/>
        </w:rPr>
      </w:pP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（2）扑接球（15%）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测试者守门，扑接6个（左右两侧各3次）来自罚球弧线外射中球门的有效射门球（含地滚球、半高球、髙球以及需要倒地扑救的球）。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</w:p>
    <w:p>
      <w:pPr>
        <w:adjustRightInd w:val="0"/>
        <w:snapToGrid w:val="0"/>
        <w:ind w:firstLine="480" w:firstLineChars="200"/>
        <w:jc w:val="center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drawing>
          <wp:inline distT="0" distB="0" distL="114300" distR="114300">
            <wp:extent cx="1838325" cy="1271905"/>
            <wp:effectExtent l="0" t="0" r="9525" b="4445"/>
            <wp:docPr id="21" name="图片 21" descr="f12920195bb18fb8bc67c3e152c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12920195bb18fb8bc67c3e152c14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400" w:lineRule="exact"/>
        <w:ind w:firstLine="424" w:firstLineChars="177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szCs w:val="28"/>
        </w:rPr>
        <w:t>4.专项技能评价标准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（1）传准评价</w:t>
      </w:r>
      <w:r>
        <w:rPr>
          <w:rFonts w:hint="eastAsia" w:ascii="仿宋" w:hAnsi="仿宋" w:eastAsia="仿宋" w:cs="仿宋"/>
          <w:sz w:val="24"/>
          <w:szCs w:val="28"/>
        </w:rPr>
        <w:t>标准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以球从起点线踢出后，从空中落到地面的第一接触点为准。</w:t>
      </w:r>
      <w:r>
        <w:rPr>
          <w:rFonts w:hint="eastAsia" w:ascii="仿宋" w:hAnsi="仿宋" w:eastAsia="仿宋" w:cs="仿宋"/>
          <w:sz w:val="24"/>
          <w:szCs w:val="28"/>
        </w:rPr>
        <w:t>测试者</w:t>
      </w:r>
      <w:r>
        <w:rPr>
          <w:rFonts w:hint="eastAsia" w:ascii="仿宋" w:hAnsi="仿宋" w:eastAsia="仿宋" w:cs="仿宋"/>
          <w:sz w:val="24"/>
        </w:rPr>
        <w:t>每将球传入目标区域的半圆内（含第一落点落在圆周线上），或五人制球门（含球击中球门横梁或立柱弹出）即得3分。</w:t>
      </w:r>
      <w:r>
        <w:rPr>
          <w:rFonts w:hint="eastAsia" w:ascii="仿宋" w:hAnsi="仿宋" w:eastAsia="仿宋" w:cs="仿宋"/>
          <w:sz w:val="24"/>
          <w:szCs w:val="28"/>
        </w:rPr>
        <w:t>测试者</w:t>
      </w:r>
      <w:r>
        <w:rPr>
          <w:rFonts w:hint="eastAsia" w:ascii="仿宋" w:hAnsi="仿宋" w:eastAsia="仿宋" w:cs="仿宋"/>
          <w:sz w:val="24"/>
        </w:rPr>
        <w:t>每人只有一次测试机会，至多可进行6次传准，踢中5次即为满分, 满分15分。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（2）运射评价标准</w:t>
      </w:r>
    </w:p>
    <w:tbl>
      <w:tblPr>
        <w:tblStyle w:val="3"/>
        <w:tblW w:w="3931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81"/>
        <w:gridCol w:w="3050"/>
      </w:tblGrid>
      <w:tr>
        <w:tblPrEx>
          <w:tblLayout w:type="fixed"/>
        </w:tblPrEx>
        <w:trPr>
          <w:trHeight w:val="428" w:hRule="exact"/>
        </w:trPr>
        <w:tc>
          <w:tcPr>
            <w:tcW w:w="881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分值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成绩（秒）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8" w:hRule="exact"/>
        </w:trPr>
        <w:tc>
          <w:tcPr>
            <w:tcW w:w="881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仿宋" w:hAnsi="仿宋" w:eastAsia="仿宋" w:cs="仿宋"/>
                <w:sz w:val="32"/>
                <w:szCs w:val="3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7" w:hRule="exac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15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en-US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7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.4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7" w:hRule="exac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14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kern w:val="2"/>
                <w:sz w:val="21"/>
                <w:szCs w:val="21"/>
                <w:lang w:val="en-US" w:eastAsia="en-US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7.41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7.60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7" w:hRule="exac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13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kern w:val="2"/>
                <w:sz w:val="21"/>
                <w:szCs w:val="21"/>
                <w:lang w:val="en-US" w:eastAsia="en-US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7.61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7.80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7" w:hRule="exac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12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kern w:val="2"/>
                <w:sz w:val="21"/>
                <w:szCs w:val="21"/>
                <w:lang w:val="en-US" w:eastAsia="en-US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7.81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8.00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7" w:hRule="exac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11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kern w:val="2"/>
                <w:sz w:val="21"/>
                <w:szCs w:val="21"/>
                <w:lang w:val="en-US" w:eastAsia="en-US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8.01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8.20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7" w:hRule="exac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10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kern w:val="2"/>
                <w:sz w:val="21"/>
                <w:szCs w:val="21"/>
                <w:lang w:val="en-US" w:eastAsia="en-US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8.21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8.40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7" w:hRule="exac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9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kern w:val="2"/>
                <w:sz w:val="21"/>
                <w:szCs w:val="21"/>
                <w:lang w:val="en-US" w:eastAsia="en-US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8.41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8.60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7" w:hRule="exac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8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kern w:val="2"/>
                <w:sz w:val="21"/>
                <w:szCs w:val="21"/>
                <w:lang w:val="en-US" w:eastAsia="en-US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8.61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8.80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7" w:hRule="exac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7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kern w:val="2"/>
                <w:sz w:val="21"/>
                <w:szCs w:val="21"/>
                <w:lang w:val="en-US" w:eastAsia="en-US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8.81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cs="Times New Roman" w:asciiTheme="minorEastAsia" w:hAnsiTheme="minorEastAsia" w:eastAsiaTheme="minorEastAsia"/>
                <w:szCs w:val="21"/>
                <w:lang w:val="en-US" w:eastAsia="zh-CN" w:bidi="en-US"/>
              </w:rPr>
              <w:t>9.00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7" w:hRule="exac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6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kern w:val="2"/>
                <w:sz w:val="21"/>
                <w:szCs w:val="21"/>
                <w:lang w:val="en-US" w:eastAsia="en-US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9.01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cs="Times New Roman" w:asciiTheme="minorEastAsia" w:hAnsiTheme="minorEastAsia" w:eastAsiaTheme="minorEastAsia"/>
                <w:szCs w:val="21"/>
                <w:lang w:val="en-US" w:eastAsia="zh-CN" w:bidi="en-US"/>
              </w:rPr>
              <w:t>9.20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7" w:hRule="exac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5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9.21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cs="Times New Roman" w:asciiTheme="minorEastAsia" w:hAnsiTheme="minorEastAsia" w:eastAsiaTheme="minorEastAsia"/>
                <w:szCs w:val="21"/>
                <w:lang w:val="en-US" w:eastAsia="zh-CN" w:bidi="en-US"/>
              </w:rPr>
              <w:t>9.40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7" w:hRule="exac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4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9.41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cs="Times New Roman" w:asciiTheme="minorEastAsia" w:hAnsiTheme="minorEastAsia" w:eastAsiaTheme="minorEastAsia"/>
                <w:szCs w:val="21"/>
                <w:lang w:val="en-US" w:eastAsia="zh-CN" w:bidi="en-US"/>
              </w:rPr>
              <w:t>9.60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7" w:hRule="exac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3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9.61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cs="Times New Roman" w:asciiTheme="minorEastAsia" w:hAnsiTheme="minorEastAsia" w:eastAsiaTheme="minorEastAsia"/>
                <w:szCs w:val="21"/>
                <w:lang w:val="en-US" w:eastAsia="zh-CN" w:bidi="en-US"/>
              </w:rPr>
              <w:t>9.80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7" w:hRule="exac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 w:firstLineChars="0"/>
              <w:jc w:val="center"/>
              <w:rPr>
                <w:rFonts w:ascii="仿宋" w:hAnsi="仿宋" w:eastAsia="仿宋" w:cs="仿宋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9.81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cs="Times New Roman" w:asciiTheme="minorEastAsia" w:hAnsiTheme="minorEastAsia" w:eastAsiaTheme="minorEastAsia"/>
                <w:szCs w:val="21"/>
                <w:lang w:val="en-US" w:eastAsia="zh-CN" w:bidi="en-US"/>
              </w:rPr>
              <w:t>10.00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7" w:hRule="exact"/>
        </w:trPr>
        <w:tc>
          <w:tcPr>
            <w:tcW w:w="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1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10.01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cs="Times New Roman" w:asciiTheme="minorEastAsia" w:hAnsiTheme="minorEastAsia" w:eastAsiaTheme="minorEastAsia"/>
                <w:szCs w:val="21"/>
                <w:lang w:val="en-US" w:eastAsia="zh-CN" w:bidi="en-US"/>
              </w:rPr>
              <w:t>10.20</w:t>
            </w:r>
          </w:p>
        </w:tc>
      </w:tr>
    </w:tbl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（4）扑接球评价标准</w:t>
      </w:r>
    </w:p>
    <w:tbl>
      <w:tblPr>
        <w:tblStyle w:val="3"/>
        <w:tblW w:w="850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6"/>
        <w:gridCol w:w="680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5" w:hRule="exact"/>
          <w:jc w:val="center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等级</w:t>
            </w:r>
          </w:p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（分值范围）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评价标准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5" w:hRule="exact"/>
          <w:jc w:val="center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优（15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13分）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left="0" w:leftChars="0" w:firstLine="210" w:firstLineChars="100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技术动作规范，动作运用合理，选位意识好，身体移动快速、协调。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84" w:hRule="exact"/>
          <w:jc w:val="center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良（12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10分）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left="0" w:leftChars="0" w:firstLine="210" w:firstLineChars="100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技术动作规范，动作运用较合理，选位意识较好，身体移动快速、协调。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5" w:hRule="exact"/>
          <w:jc w:val="center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中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（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9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5分）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left="0" w:leftChars="0" w:firstLine="210" w:firstLineChars="100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技术动作基本规范，动作运用较合理，选位意识尚可，身体移动较快、较协调。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5" w:hRule="exact"/>
          <w:jc w:val="center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18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差（5分以下）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left="0" w:leftChars="0" w:firstLine="210" w:firstLineChars="100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技术动作不规范，动作运用不合理，选位意识较差，身体移动较慢、不协调。</w:t>
            </w:r>
          </w:p>
        </w:tc>
      </w:tr>
    </w:tbl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（三）实战表现（40%）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</w:rPr>
        <w:t>综合评定实战表现，包括但不限于关注度、判断力、意志品质、技术运用、团队配合度等，可参考表4、表5内容评价。</w:t>
      </w:r>
      <w:r>
        <w:rPr>
          <w:rFonts w:hint="eastAsia" w:ascii="仿宋" w:hAnsi="仿宋" w:eastAsia="仿宋" w:cs="仿宋"/>
          <w:sz w:val="24"/>
          <w:szCs w:val="28"/>
        </w:rPr>
        <w:t>根据测试当天实际人数进行分组比赛，由专家组就队员场上表现进行打分。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</w:p>
    <w:p>
      <w:pPr>
        <w:adjustRightInd w:val="0"/>
        <w:snapToGrid w:val="0"/>
        <w:spacing w:line="400" w:lineRule="exact"/>
        <w:jc w:val="center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表4  实战表现（评价标准）（非守门员）</w:t>
      </w:r>
    </w:p>
    <w:tbl>
      <w:tblPr>
        <w:tblStyle w:val="3"/>
        <w:tblW w:w="7904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6"/>
        <w:gridCol w:w="606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60" w:hRule="exact"/>
          <w:jc w:val="center"/>
        </w:trPr>
        <w:tc>
          <w:tcPr>
            <w:tcW w:w="18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等级</w:t>
            </w:r>
          </w:p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（分值范围）</w:t>
            </w:r>
          </w:p>
        </w:tc>
        <w:tc>
          <w:tcPr>
            <w:tcW w:w="60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420" w:firstLineChars="20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评价标准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19" w:hRule="exact"/>
          <w:jc w:val="center"/>
        </w:trPr>
        <w:tc>
          <w:tcPr>
            <w:tcW w:w="18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优（40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36分）</w:t>
            </w:r>
          </w:p>
        </w:tc>
        <w:tc>
          <w:tcPr>
            <w:tcW w:w="60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420" w:firstLineChars="200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战术意识水平表现突出，攻守职责完成很好，具有很好的阅读比赛能力；对抗情况下技术动作运用及完成合理、规范；比赛作风顽强、心理状态稳定。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08" w:hRule="exact"/>
          <w:jc w:val="center"/>
        </w:trPr>
        <w:tc>
          <w:tcPr>
            <w:tcW w:w="18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良（35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29分）</w:t>
            </w:r>
          </w:p>
        </w:tc>
        <w:tc>
          <w:tcPr>
            <w:tcW w:w="60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420" w:firstLineChars="200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战术意识水平表现良好，攻守职责完成良好，具有良好的阅读比赛能力；对抗情况下技术动作运用较合理，完成动作较规范；比赛作风良好、心理状态稳定。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08" w:hRule="exact"/>
          <w:jc w:val="center"/>
        </w:trPr>
        <w:tc>
          <w:tcPr>
            <w:tcW w:w="1836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中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（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28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20分）</w:t>
            </w:r>
          </w:p>
        </w:tc>
        <w:tc>
          <w:tcPr>
            <w:tcW w:w="606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420" w:firstLineChars="200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战术意识水平表现一般，攻守职责完成一般，阅读比赛能力一般；对抗情况下技术动作运用基本合理，完成动作基本规范；比赛作风较好、心理状态有波动。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19" w:hRule="exact"/>
          <w:jc w:val="center"/>
        </w:trPr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差（20分以下）</w:t>
            </w:r>
          </w:p>
        </w:tc>
        <w:tc>
          <w:tcPr>
            <w:tcW w:w="6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420" w:firstLineChars="200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战术意识水平表现差，攻守职责不清楚，不具有基本阅读比赛的能力；对抗情况下技术动作运用不合理，完成动作不规范；比赛作风一般、心理状态不稳定。</w:t>
            </w:r>
          </w:p>
        </w:tc>
      </w:tr>
    </w:tbl>
    <w:p>
      <w:pPr>
        <w:adjustRightInd w:val="0"/>
        <w:snapToGrid w:val="0"/>
        <w:spacing w:line="560" w:lineRule="exact"/>
        <w:jc w:val="both"/>
        <w:rPr>
          <w:rFonts w:ascii="仿宋" w:hAnsi="仿宋" w:eastAsia="仿宋" w:cs="仿宋"/>
          <w:sz w:val="24"/>
        </w:rPr>
      </w:pPr>
    </w:p>
    <w:p>
      <w:pPr>
        <w:adjustRightInd w:val="0"/>
        <w:snapToGrid w:val="0"/>
        <w:spacing w:line="560" w:lineRule="exact"/>
        <w:jc w:val="center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表5  实战表现（评价标准）（守门员）</w:t>
      </w:r>
    </w:p>
    <w:tbl>
      <w:tblPr>
        <w:tblStyle w:val="3"/>
        <w:tblW w:w="8021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7"/>
        <w:gridCol w:w="630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73" w:hRule="exact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等级</w:t>
            </w:r>
          </w:p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（分值范围）</w:t>
            </w:r>
          </w:p>
        </w:tc>
        <w:tc>
          <w:tcPr>
            <w:tcW w:w="63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420" w:firstLineChars="20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评价标准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46" w:hRule="exact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优（40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36分）</w:t>
            </w:r>
          </w:p>
        </w:tc>
        <w:tc>
          <w:tcPr>
            <w:tcW w:w="630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420" w:firstLineChars="200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技术动作规范，动作运用合理，选位意识好，身体移动快速、协调。战术意识水平表现突出，攻守职责完成很好；对抗情况下技术动作运用及完成合理、规范；比赛作风顽强、心理状态稳定。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34" w:hRule="exact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良（35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29分）</w:t>
            </w:r>
          </w:p>
        </w:tc>
        <w:tc>
          <w:tcPr>
            <w:tcW w:w="6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420" w:firstLineChars="200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战术意识水平表现良好，攻守职责完成良好；对抗情况下技术动作运用较合理、完成动作较规范；比赛作风良好、心理状态稳定。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34" w:hRule="exact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中</w:t>
            </w:r>
            <w:r>
              <w:rPr>
                <w:rFonts w:hint="eastAsia" w:ascii="仿宋" w:hAnsi="仿宋" w:eastAsia="仿宋" w:cs="仿宋"/>
                <w:szCs w:val="21"/>
                <w:lang w:val="en-US" w:eastAsia="en-US" w:bidi="en-US"/>
              </w:rPr>
              <w:t>（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28</w:t>
            </w:r>
            <w:r>
              <w:rPr>
                <w:rFonts w:hint="eastAsia" w:ascii="Times New Roman" w:hAnsi="Times New Roman" w:eastAsia="Times New Roman" w:cs="Times New Roman"/>
                <w:szCs w:val="21"/>
                <w:lang w:val="en-US" w:eastAsia="zh-CN" w:bidi="en-US"/>
              </w:rPr>
              <w:t>~</w:t>
            </w: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20分）</w:t>
            </w:r>
          </w:p>
        </w:tc>
        <w:tc>
          <w:tcPr>
            <w:tcW w:w="6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420" w:firstLineChars="200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战术意识水平表现一般，攻守职责完成一般；对抗情况下技术动作运用基本合理、完成动作基本规范；比赛作风较好、心理状态有波动。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46" w:hRule="exact"/>
          <w:jc w:val="center"/>
        </w:trPr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0"/>
              <w:jc w:val="center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差（20分以下）</w:t>
            </w:r>
          </w:p>
        </w:tc>
        <w:tc>
          <w:tcPr>
            <w:tcW w:w="63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6"/>
              <w:spacing w:line="240" w:lineRule="auto"/>
              <w:ind w:firstLine="420" w:firstLineChars="200"/>
              <w:rPr>
                <w:rFonts w:ascii="仿宋" w:hAnsi="仿宋" w:eastAsia="仿宋" w:cs="仿宋"/>
                <w:szCs w:val="21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 w:bidi="en-US"/>
              </w:rPr>
              <w:t>战术意识水平表现差，攻守职责不清楚；对抗情况下技术动作运用不合理、完成动作不规范；比赛作风一般、心理状态不稳定。</w:t>
            </w:r>
          </w:p>
        </w:tc>
      </w:tr>
    </w:tbl>
    <w:p>
      <w:pPr>
        <w:adjustRightInd w:val="0"/>
        <w:snapToGrid w:val="0"/>
        <w:spacing w:line="380" w:lineRule="exact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 xml:space="preserve">  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（四）总分相同或其他情况下的评判方案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总分相同的情况下，第一，看学生的实战表现。以“实战”测试分值评判学生的阅读比赛能力。第二，参考由专家组依据测试学生体态、素质、球商等潜力因素，分析得出学生的潜力发展分值。第三，结合测评项目成绩。综合上述，最终评判得出结果。</w:t>
      </w:r>
    </w:p>
    <w:p>
      <w:pPr>
        <w:widowControl/>
        <w:spacing w:line="400" w:lineRule="exact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五、场地及器材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（一）测试场地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标准</w:t>
      </w:r>
      <w:r>
        <w:rPr>
          <w:rFonts w:hint="eastAsia" w:ascii="仿宋" w:hAnsi="仿宋" w:eastAsia="仿宋" w:cs="仿宋"/>
          <w:sz w:val="24"/>
          <w:szCs w:val="28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szCs w:val="28"/>
        </w:rPr>
        <w:t>人制足球场地（</w:t>
      </w:r>
      <w:r>
        <w:rPr>
          <w:rFonts w:hint="eastAsia" w:ascii="仿宋" w:hAnsi="仿宋" w:eastAsia="仿宋" w:cs="仿宋"/>
          <w:sz w:val="24"/>
          <w:szCs w:val="28"/>
          <w:lang w:val="en-US" w:eastAsia="zh-Hans"/>
        </w:rPr>
        <w:t>人造草坪</w:t>
      </w:r>
      <w:r>
        <w:rPr>
          <w:rFonts w:hint="eastAsia" w:ascii="仿宋" w:hAnsi="仿宋" w:eastAsia="仿宋" w:cs="仿宋"/>
          <w:sz w:val="24"/>
          <w:szCs w:val="28"/>
        </w:rPr>
        <w:t>）一片，标准</w:t>
      </w:r>
      <w:r>
        <w:rPr>
          <w:rFonts w:hint="eastAsia" w:ascii="仿宋" w:hAnsi="仿宋" w:eastAsia="仿宋" w:cs="仿宋"/>
          <w:sz w:val="24"/>
          <w:szCs w:val="28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  <w:szCs w:val="28"/>
        </w:rPr>
        <w:t>人制球门（包括球网），且标线清晰。测试过程中须保持场地干净、整洁、卫生，符合疫情防控要求。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（二）测试器材</w:t>
      </w:r>
    </w:p>
    <w:p>
      <w:pPr>
        <w:spacing w:line="400" w:lineRule="exact"/>
        <w:ind w:firstLine="480" w:firstLineChars="200"/>
        <w:rPr>
          <w:rFonts w:ascii="仿宋" w:hAnsi="仿宋" w:eastAsia="仿宋" w:cs="仿宋"/>
          <w:sz w:val="24"/>
          <w:szCs w:val="28"/>
        </w:rPr>
      </w:pPr>
      <w:r>
        <w:rPr>
          <w:rFonts w:hint="eastAsia" w:ascii="仿宋" w:hAnsi="仿宋" w:eastAsia="仿宋" w:cs="仿宋"/>
          <w:sz w:val="24"/>
          <w:szCs w:val="28"/>
        </w:rPr>
        <w:t>秒表(若干）、皮尺、5号足球（符合比赛用球标准、若干）、</w:t>
      </w:r>
      <w:r>
        <w:rPr>
          <w:rFonts w:hint="eastAsia" w:ascii="仿宋" w:hAnsi="仿宋" w:eastAsia="仿宋" w:cs="仿宋"/>
          <w:sz w:val="24"/>
          <w:szCs w:val="28"/>
          <w:lang w:val="en-US" w:eastAsia="zh-CN"/>
        </w:rPr>
        <w:t>5人制球门两个、</w:t>
      </w:r>
      <w:r>
        <w:rPr>
          <w:rFonts w:hint="eastAsia" w:ascii="仿宋" w:hAnsi="仿宋" w:eastAsia="仿宋" w:cs="仿宋"/>
          <w:sz w:val="24"/>
          <w:szCs w:val="28"/>
        </w:rPr>
        <w:t>标志杆、标志盘（若干）。</w:t>
      </w:r>
    </w:p>
    <w:p>
      <w:pPr>
        <w:widowControl/>
        <w:spacing w:line="400" w:lineRule="exact"/>
        <w:rPr>
          <w:rFonts w:ascii="仿宋" w:hAnsi="仿宋" w:eastAsia="仿宋" w:cs="仿宋"/>
          <w:b/>
          <w:bCs/>
          <w:sz w:val="24"/>
        </w:rPr>
      </w:pPr>
      <w:r>
        <w:rPr>
          <w:rFonts w:hint="eastAsia" w:ascii="仿宋" w:hAnsi="仿宋" w:eastAsia="仿宋" w:cs="仿宋"/>
          <w:b/>
          <w:bCs/>
          <w:sz w:val="24"/>
        </w:rPr>
        <w:t>六、测试要求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（一）着装：着专业运动服与运动鞋。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（二）准备活动：热身充分。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（三）测试过程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1.</w:t>
      </w:r>
      <w:r>
        <w:rPr>
          <w:rFonts w:hint="eastAsia" w:ascii="仿宋" w:hAnsi="仿宋" w:eastAsia="仿宋"/>
          <w:sz w:val="24"/>
        </w:rPr>
        <w:t>组织管理好学生有序测试。测试期间，学生如有不适，早提出、早干预，防患于未然。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2.学生充分发挥，参与测试工作的老师认真负责，确保公平、公正。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3.严格测试现场管理，杜绝无关人员进出；整个评测过程全程录像。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（四）测试结束：做好放松与整理。</w:t>
      </w:r>
    </w:p>
    <w:p>
      <w:pPr>
        <w:widowControl/>
        <w:spacing w:line="400" w:lineRule="exact"/>
        <w:rPr>
          <w:rFonts w:ascii="仿宋" w:hAnsi="仿宋" w:eastAsia="仿宋" w:cs="仿宋"/>
          <w:b/>
          <w:bCs/>
          <w:sz w:val="24"/>
        </w:rPr>
      </w:pPr>
    </w:p>
    <w:p>
      <w:pPr>
        <w:widowControl/>
        <w:spacing w:line="400" w:lineRule="exact"/>
        <w:rPr>
          <w:rFonts w:ascii="仿宋" w:hAnsi="仿宋" w:eastAsia="仿宋" w:cs="仿宋"/>
          <w:b/>
          <w:bCs/>
          <w:sz w:val="24"/>
        </w:rPr>
      </w:pPr>
    </w:p>
    <w:p>
      <w:pPr>
        <w:widowControl/>
        <w:spacing w:line="400" w:lineRule="exact"/>
        <w:rPr>
          <w:rFonts w:ascii="仿宋" w:hAnsi="仿宋" w:eastAsia="仿宋" w:cs="仿宋"/>
          <w:b/>
          <w:bCs/>
          <w:sz w:val="24"/>
        </w:rPr>
      </w:pPr>
    </w:p>
    <w:p>
      <w:pPr>
        <w:widowControl/>
        <w:spacing w:line="400" w:lineRule="exact"/>
        <w:rPr>
          <w:rFonts w:ascii="仿宋" w:hAnsi="仿宋" w:eastAsia="仿宋" w:cs="仿宋"/>
          <w:b/>
          <w:bCs/>
          <w:sz w:val="24"/>
        </w:rPr>
      </w:pPr>
    </w:p>
    <w:p>
      <w:pPr>
        <w:widowControl/>
        <w:spacing w:line="400" w:lineRule="exact"/>
        <w:rPr>
          <w:rFonts w:ascii="仿宋" w:hAnsi="仿宋" w:eastAsia="仿宋" w:cs="仿宋"/>
          <w:b/>
          <w:bCs/>
          <w:sz w:val="24"/>
        </w:rPr>
      </w:pPr>
    </w:p>
    <w:p>
      <w:pPr>
        <w:widowControl/>
        <w:spacing w:line="400" w:lineRule="exact"/>
        <w:rPr>
          <w:rFonts w:ascii="仿宋" w:hAnsi="仿宋" w:eastAsia="仿宋" w:cs="仿宋"/>
          <w:b/>
          <w:bCs/>
          <w:sz w:val="24"/>
        </w:rPr>
      </w:pPr>
    </w:p>
    <w:p>
      <w:pPr>
        <w:widowControl/>
        <w:spacing w:line="400" w:lineRule="exact"/>
        <w:ind w:right="240" w:firstLine="480" w:firstLineChars="200"/>
        <w:jc w:val="right"/>
        <w:rPr>
          <w:rFonts w:hint="eastAsia" w:ascii="仿宋" w:hAnsi="仿宋" w:eastAsia="仿宋" w:cs="仿宋"/>
          <w:sz w:val="24"/>
          <w:lang w:val="en-US" w:eastAsia="zh-Hans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上海市七宝中学</w:t>
      </w:r>
      <w:r>
        <w:rPr>
          <w:rFonts w:hint="eastAsia" w:ascii="仿宋" w:hAnsi="仿宋" w:eastAsia="仿宋" w:cs="仿宋"/>
          <w:sz w:val="24"/>
          <w:lang w:val="en-US" w:eastAsia="zh-Hans"/>
        </w:rPr>
        <w:t>附属鑫都实验中学</w:t>
      </w:r>
    </w:p>
    <w:p>
      <w:pPr>
        <w:widowControl/>
        <w:spacing w:line="400" w:lineRule="exact"/>
        <w:ind w:right="240" w:firstLine="480" w:firstLineChars="200"/>
        <w:jc w:val="right"/>
        <w:rPr>
          <w:rFonts w:ascii="仿宋" w:hAnsi="仿宋" w:eastAsia="仿宋" w:cs="华文中宋"/>
          <w:kern w:val="0"/>
          <w:sz w:val="24"/>
          <w:shd w:val="clear" w:color="auto" w:fill="FFFFFF"/>
        </w:rPr>
      </w:pPr>
      <w:r>
        <w:rPr>
          <w:rFonts w:hint="default" w:ascii="仿宋" w:hAnsi="仿宋" w:eastAsia="仿宋" w:cs="仿宋"/>
          <w:sz w:val="24"/>
        </w:rPr>
        <w:t xml:space="preserve">                           </w:t>
      </w:r>
      <w:r>
        <w:rPr>
          <w:rFonts w:ascii="仿宋" w:hAnsi="仿宋" w:eastAsia="仿宋" w:cs="华文中宋"/>
          <w:kern w:val="0"/>
          <w:sz w:val="24"/>
          <w:shd w:val="clear" w:color="auto" w:fill="FFFFFF"/>
        </w:rPr>
        <w:t>202</w:t>
      </w:r>
      <w:r>
        <w:rPr>
          <w:rFonts w:hint="eastAsia" w:ascii="仿宋" w:hAnsi="仿宋" w:eastAsia="仿宋" w:cs="华文中宋"/>
          <w:kern w:val="0"/>
          <w:sz w:val="24"/>
          <w:shd w:val="clear" w:color="auto" w:fill="FFFFFF"/>
        </w:rPr>
        <w:t>3</w:t>
      </w:r>
      <w:r>
        <w:rPr>
          <w:rFonts w:ascii="仿宋" w:hAnsi="仿宋" w:eastAsia="仿宋" w:cs="华文中宋"/>
          <w:kern w:val="0"/>
          <w:sz w:val="24"/>
          <w:shd w:val="clear" w:color="auto" w:fill="FFFFFF"/>
        </w:rPr>
        <w:t>年</w:t>
      </w:r>
      <w:r>
        <w:rPr>
          <w:rFonts w:hint="default" w:ascii="仿宋" w:hAnsi="仿宋" w:eastAsia="仿宋" w:cs="华文中宋"/>
          <w:kern w:val="0"/>
          <w:sz w:val="24"/>
          <w:shd w:val="clear" w:color="auto" w:fill="FFFFFF"/>
        </w:rPr>
        <w:t>4</w:t>
      </w:r>
      <w:r>
        <w:rPr>
          <w:rFonts w:ascii="仿宋" w:hAnsi="仿宋" w:eastAsia="仿宋" w:cs="华文中宋"/>
          <w:kern w:val="0"/>
          <w:sz w:val="24"/>
          <w:shd w:val="clear" w:color="auto" w:fill="FFFFFF"/>
        </w:rPr>
        <w:t>月</w:t>
      </w:r>
      <w:r>
        <w:rPr>
          <w:rFonts w:hint="default" w:ascii="仿宋" w:hAnsi="仿宋" w:eastAsia="仿宋" w:cs="华文中宋"/>
          <w:kern w:val="0"/>
          <w:sz w:val="24"/>
          <w:shd w:val="clear" w:color="auto" w:fill="FFFFFF"/>
        </w:rPr>
        <w:t>6</w:t>
      </w:r>
      <w:r>
        <w:rPr>
          <w:rFonts w:ascii="仿宋" w:hAnsi="仿宋" w:eastAsia="仿宋" w:cs="华文中宋"/>
          <w:kern w:val="0"/>
          <w:sz w:val="24"/>
          <w:shd w:val="clear" w:color="auto" w:fill="FFFFFF"/>
        </w:rPr>
        <w:t>日</w:t>
      </w:r>
    </w:p>
    <w:p>
      <w:pPr>
        <w:widowControl/>
        <w:spacing w:line="400" w:lineRule="exact"/>
        <w:ind w:firstLine="480" w:firstLineChars="200"/>
        <w:jc w:val="center"/>
        <w:rPr>
          <w:rFonts w:hint="eastAsia" w:ascii="仿宋" w:hAnsi="仿宋" w:eastAsia="仿宋" w:cs="仿宋"/>
          <w:sz w:val="24"/>
          <w:lang w:val="en-US" w:eastAsia="zh-Hans"/>
        </w:rPr>
        <w:sectPr>
          <w:pgSz w:w="11906" w:h="16838"/>
          <w:pgMar w:top="1440" w:right="1418" w:bottom="1440" w:left="1418" w:header="851" w:footer="992" w:gutter="0"/>
          <w:cols w:space="425" w:num="1"/>
          <w:docGrid w:type="lines" w:linePitch="312" w:charSpace="0"/>
        </w:sectPr>
      </w:pP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AE00A1"/>
    <w:multiLevelType w:val="singleLevel"/>
    <w:tmpl w:val="D5AE00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CD7037"/>
    <w:multiLevelType w:val="singleLevel"/>
    <w:tmpl w:val="4ECD703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55A6C"/>
    <w:rsid w:val="1985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76" w:lineRule="auto"/>
    </w:pPr>
    <w:rPr>
      <w:kern w:val="0"/>
      <w:sz w:val="20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  <w:style w:type="paragraph" w:customStyle="1" w:styleId="6">
    <w:name w:val="Other|1"/>
    <w:basedOn w:val="1"/>
    <w:qFormat/>
    <w:uiPriority w:val="0"/>
    <w:pPr>
      <w:spacing w:line="410" w:lineRule="auto"/>
      <w:ind w:firstLine="400"/>
    </w:pPr>
    <w:rPr>
      <w:rFonts w:ascii="宋体" w:hAnsi="宋体" w:cs="宋体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2023-04-06T03:18:00Z</dcterms:created>
  <dc:creator>WPS_colar88</dc:creator>
  <cp:lastModifiedBy>WPS_colar88</cp:lastModifiedBy>
  <dcterms:modified xsi:type="dcterms:W3CDTF">2023-04-06T03:19:29Z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