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AUV在线模型性能评测</w:t>
      </w:r>
    </w:p>
    <w:p>
      <w:pPr>
        <w:spacing w:line="276" w:lineRule="auto" w:after="140"/>
      </w:pPr>
      <w:r>
        <w:t>本轮对指定AUV服务取得385条正式自建任务回复，并完成GSM8K测试集固定32题小样本。事件类型在成功回复中为71/72  98.6%。测试同时发现地点编号、缺失信息和问答事实的问题，因此保留系统地点核对与用户确认仍有必要。</w:t>
      </w:r>
    </w:p>
    <w:p>
      <w:pPr>
        <w:pStyle w:val="Caption"/>
        <w:keepNext/>
      </w:pPr>
      <w:r>
        <w:t>表9 本轮真实执行范围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154"/>
        <w:gridCol w:w="2778"/>
        <w:gridCol w:w="4139"/>
      </w:tblGrid>
      <w:tr>
        <w:trPr>
          <w:cantSplit/>
          <w:tblHeader/>
        </w:trPr>
        <w:tc>
          <w:tcPr>
            <w:tcW w:type="dxa" w:w="2154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2778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请求或样本</w:t>
            </w:r>
          </w:p>
        </w:tc>
        <w:tc>
          <w:tcPr>
            <w:tcW w:type="dxa" w:w="4139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自建正式任务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386次执行 / 410次计划</w:t>
            </w:r>
          </w:p>
        </w:tc>
        <w:tc>
          <w:tcPr>
            <w:tcW w:type="dxa" w:w="4139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多方法质量与性能检查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请求成功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385/386</w:t>
            </w:r>
          </w:p>
        </w:tc>
        <w:tc>
          <w:tcPr>
            <w:tcW w:type="dxa" w:w="4139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本轮窗口内取得真实回复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公共数学样本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32/32题</w:t>
            </w:r>
          </w:p>
        </w:tc>
        <w:tc>
          <w:tcPr>
            <w:tcW w:type="dxa" w:w="4139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固定随机采样  零样本协议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协议快速组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24次  单独保存</w:t>
            </w:r>
          </w:p>
        </w:tc>
        <w:tc>
          <w:tcPr>
            <w:tcW w:type="dxa" w:w="4139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验证接口  不混入正式结果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基础模型对照</w:t>
            </w:r>
          </w:p>
        </w:tc>
        <w:tc>
          <w:tcPr>
            <w:tcW w:type="dxa" w:w="2778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24条未执行</w:t>
            </w:r>
          </w:p>
        </w:tc>
        <w:tc>
          <w:tcPr>
            <w:tcW w:type="dxa" w:w="4139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API未公告基础模型名称</w:t>
            </w:r>
          </w:p>
        </w:tc>
      </w:tr>
    </w:tbl>
    <w:p>
      <w:pPr>
        <w:spacing w:after="20"/>
      </w:pPr>
    </w:p>
    <w:p>
      <w:pPr>
        <w:spacing w:line="276" w:lineRule="auto" w:after="140"/>
      </w:pPr>
      <w:r>
        <w:t>模型列表只公告gpt-3.5-turbo；实际请求中的extract和persona均被接受。接口返回的名称不能证明后台权重身份或不同LoRA已切换，本报告评价该地址在所记请求下的行为。</w:t>
      </w:r>
    </w:p>
    <w:p>
      <w:pPr>
        <w:spacing w:line="276" w:lineRule="auto" w:after="140"/>
      </w:pPr>
      <w:r>
        <w:rPr>
          <w:sz w:val="18"/>
        </w:rPr>
        <w:t>协议补充检查中，任意不存在的模型名也返回200。另一次未带Authorization请求返回200，说明该次请求未被拒绝；这不是完整的鉴权审计。</w:t>
      </w:r>
    </w:p>
    <w:p>
      <w:pPr>
        <w:spacing w:line="276" w:lineRule="auto" w:after="140"/>
      </w:pPr>
      <w:r>
        <w:rPr>
          <w:sz w:val="18"/>
        </w:rPr>
        <w:t>地址 https://u1199722-8rhl-44401267.westb.seetacloud.com:8443。测试时间为2026年10月9日，Asia/Shanghai。密钥未写入交付材料。</w:t>
      </w:r>
    </w:p>
    <w:p>
      <w:pPr>
        <w:spacing w:line="276" w:lineRule="auto" w:after="140"/>
      </w:pPr>
      <w:r>
        <w:rPr>
          <w:sz w:val="18"/>
        </w:rPr>
        <w:t>所有自建题为合成场景；包含模板、成对对照与重复请求，不是真实学生聊天。未完成人工独立二审，不能用这些结果宣称排行榜名次或一般泛化能力。</w:t>
      </w:r>
    </w:p>
    <w:p>
      <w:r>
        <w:br w:type="page"/>
      </w:r>
    </w:p>
    <w:p>
      <w:pPr>
        <w:pStyle w:val="Heading1"/>
        <w:pBdr>
          <w:bottom w:val="nil"/>
        </w:pBdr>
      </w:pPr>
      <w:r>
        <w:rPr>
          <w:color w:val="000000"/>
        </w:rPr>
        <w:t>题目来源与比较方法</w:t>
      </w:r>
    </w:p>
    <w:p>
      <w:pPr>
        <w:pStyle w:val="Caption"/>
        <w:keepNext/>
      </w:pPr>
      <w:r>
        <w:t>表10 自建评测方法与计划规模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721"/>
        <w:gridCol w:w="1417"/>
        <w:gridCol w:w="4933"/>
      </w:tblGrid>
      <w:tr>
        <w:trPr>
          <w:cantSplit/>
          <w:tblHeader/>
        </w:trPr>
        <w:tc>
          <w:tcPr>
            <w:tcW w:type="dxa" w:w="2721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417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条数</w:t>
            </w:r>
          </w:p>
        </w:tc>
        <w:tc>
          <w:tcPr>
            <w:tcW w:type="dxa" w:w="4933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判据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地点目录 / 唯一别名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68 / 35</w:t>
            </w:r>
          </w:p>
        </w:tc>
        <w:tc>
          <w:tcPr>
            <w:tcW w:type="dxa" w:w="493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标准名称、编号与别名对应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事件语义 / 资料问答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72 / 36</w:t>
            </w:r>
          </w:p>
        </w:tc>
        <w:tc>
          <w:tcPr>
            <w:tcW w:type="dxa" w:w="493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四类各18条 / 固定合成资料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通用小任务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93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计算、逻辑和JSON格式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提示词位置 / 地点资料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24 / 24</w:t>
            </w:r>
          </w:p>
        </w:tc>
        <w:tc>
          <w:tcPr>
            <w:tcW w:type="dxa" w:w="493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同题成对  user与system / 给目录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语句扰动 / 重复输出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40 / 24</w:t>
            </w:r>
          </w:p>
        </w:tc>
        <w:tc>
          <w:tcPr>
            <w:tcW w:type="dxa" w:w="493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保留含义的改写 / 8题各3次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长文本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93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目标位于开头或末尾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延迟 / 流式首响应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12 / 6</w:t>
            </w:r>
          </w:p>
        </w:tc>
        <w:tc>
          <w:tcPr>
            <w:tcW w:type="dxa" w:w="493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独立串行请求  保存SSE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小并发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93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并发1、2、4各3批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基础模型对照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93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未公告该模型  明确跳过</w:t>
            </w:r>
          </w:p>
        </w:tc>
      </w:tr>
    </w:tbl>
    <w:p>
      <w:pPr>
        <w:spacing w:after="20"/>
      </w:pPr>
    </w:p>
    <w:p>
      <w:pPr>
        <w:spacing w:line="276" w:lineRule="auto" w:after="140"/>
      </w:pPr>
      <w:r>
        <w:t>410条计划含275条不同输入。地点目录采用同一模板，重复组与成对组有相同输入；没有把这些请求计为410种独立任务。四类事件按safety、congestion、service、notice平衡取样。</w:t>
      </w:r>
    </w:p>
    <w:p>
      <w:pPr>
        <w:spacing w:line="276" w:lineRule="auto" w:after="140"/>
      </w:pPr>
      <w:r>
        <w:t>原始字段精确匹配与楼层统一格式后的事实一致率分别计算。3F、三楼和3层统一为整数3，其余原始字段不改写；没有给定的楼层、时长和时段，分别期望null、null和unknown。严重度缺少统一分级阈值，只检查枚举合法性。</w:t>
      </w:r>
    </w:p>
    <w:p>
      <w:pPr>
        <w:spacing w:line="276" w:lineRule="auto" w:after="140"/>
      </w:pPr>
      <w:r>
        <w:rPr>
          <w:sz w:val="18"/>
        </w:rPr>
        <w:t>扫描训练输入15,358行，其中6,552条不同文本；本题集完全相同输入为0。近义重叠未审阅，公开数据污染也未审查。题集、提示词、抽样种子和原始输出都随评测包保存。</w:t>
      </w:r>
    </w:p>
    <w:p>
      <w:r>
        <w:br w:type="page"/>
      </w:r>
    </w:p>
    <w:p>
      <w:pPr>
        <w:pStyle w:val="Heading1"/>
        <w:pBdr>
          <w:bottom w:val="nil"/>
        </w:pBdr>
      </w:pPr>
      <w:r>
        <w:rPr>
          <w:color w:val="000000"/>
        </w:rPr>
        <w:t>事件分类与字段提取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2331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fields.png"/>
                    <pic:cNvPicPr/>
                  </pic:nvPicPr>
                  <pic:blipFill>
                    <a:blip r:embed="rIdAuvEval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1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图12 四类事件题的原始字段及楼层事实一致率</w:t>
      </w:r>
    </w:p>
    <w:p>
      <w:pPr>
        <w:pStyle w:val="Caption"/>
        <w:keepNext/>
      </w:pPr>
      <w:r>
        <w:t>表11 事件类型混淆矩阵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68"/>
        <w:gridCol w:w="1361"/>
        <w:gridCol w:w="1361"/>
        <w:gridCol w:w="1361"/>
        <w:gridCol w:w="1361"/>
        <w:gridCol w:w="1359"/>
      </w:tblGrid>
      <w:tr>
        <w:trPr>
          <w:cantSplit/>
          <w:tblHeader/>
        </w:trPr>
        <w:tc>
          <w:tcPr>
            <w:tcW w:type="dxa" w:w="2268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标准类别</w:t>
            </w:r>
          </w:p>
        </w:tc>
        <w:tc>
          <w:tcPr>
            <w:tcW w:type="dxa" w:w="1361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safety</w:t>
            </w:r>
          </w:p>
        </w:tc>
        <w:tc>
          <w:tcPr>
            <w:tcW w:type="dxa" w:w="1361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congestion</w:t>
            </w:r>
          </w:p>
        </w:tc>
        <w:tc>
          <w:tcPr>
            <w:tcW w:type="dxa" w:w="1361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361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notice</w:t>
            </w:r>
          </w:p>
        </w:tc>
        <w:tc>
          <w:tcPr>
            <w:tcW w:type="dxa" w:w="1359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无效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59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congestion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59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59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notice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359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spacing w:line="276" w:lineRule="auto" w:after="140"/>
      </w:pPr>
      <w:r>
        <w:t>事件类型macro-F1为0.986，分母为取得回复的平衡语义题。原始全部参考字段精确匹配19/72  26.4%；统一楼层格式后全部字段一致24/72  33.3%。这些指标不评价开放文本摘要和建议的完整正确性。</w:t>
      </w:r>
    </w:p>
    <w:p>
      <w:pPr>
        <w:spacing w:line="276" w:lineRule="auto" w:after="140"/>
      </w:pPr>
      <w:r>
        <w:rPr>
          <w:sz w:val="18"/>
        </w:rPr>
        <w:t>固定关键词规则与同批成功语义题对照：类别66/72；模型类别71/72。规则只提供简单基线，未据本轮模型结果调参，不代表最佳传统算法。</w:t>
      </w:r>
    </w:p>
    <w:p>
      <w:r>
        <w:br w:type="page"/>
      </w:r>
    </w:p>
    <w:p>
      <w:pPr>
        <w:pStyle w:val="Heading1"/>
        <w:pBdr>
          <w:bottom w:val="nil"/>
        </w:pBdr>
      </w:pPr>
      <w:r>
        <w:rPr>
          <w:color w:val="000000"/>
        </w:rPr>
        <w:t>同题比较模型与固定规则</w:t>
      </w:r>
    </w:p>
    <w:p>
      <w:pPr>
        <w:pStyle w:val="Caption"/>
        <w:keepNext/>
      </w:pPr>
      <w:r>
        <w:t>表12 同批平衡语义题的字段对照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721"/>
        <w:gridCol w:w="3175"/>
        <w:gridCol w:w="3175"/>
      </w:tblGrid>
      <w:tr>
        <w:trPr>
          <w:cantSplit/>
          <w:tblHeader/>
        </w:trPr>
        <w:tc>
          <w:tcPr>
            <w:tcW w:type="dxa" w:w="2721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175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AUV匹配 / 分母</w:t>
            </w:r>
          </w:p>
        </w:tc>
        <w:tc>
          <w:tcPr>
            <w:tcW w:type="dxa" w:w="3175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固定规则匹配 / 分母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事件类型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71/72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66/72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地点编号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36/72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69/72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标准名称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69/72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69/72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楼层事实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72/72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52/72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等待或持续分钟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69/72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68/72</w:t>
            </w:r>
          </w:p>
        </w:tc>
      </w:tr>
    </w:tbl>
    <w:p>
      <w:pPr>
        <w:spacing w:after="20"/>
      </w:pPr>
    </w:p>
    <w:p>
      <w:pPr>
        <w:spacing w:line="276" w:lineRule="auto" w:after="140"/>
      </w:pPr>
      <w:r>
        <w:t>固定规则先按事件关键词计分，再用当前目录名称和唯一别名匹配地点，只识别阿拉伯数字楼层和分钟。这个简单基线对编号对应更直接，模型对汉字楼层与语言分类更适用；两者任务职责不同，不适合只用一个总分判断优劣。楼层空缺也进入分母，具体有楼层的场景需另看逐条记录。</w:t>
      </w:r>
    </w:p>
    <w:p>
      <w:pPr>
        <w:spacing w:line="276" w:lineRule="auto" w:after="140"/>
      </w:pPr>
      <w:r>
        <w:t>案例semantic-029原文为“教工餐厅现在要排队半小时”，模型输出estimated_wait_min=40，并补入“中午”；参考事实为30分钟，时段未知。模型能形成流畅摘要，但明确数值仍需核对。</w:t>
      </w:r>
    </w:p>
    <w:p>
      <w:pPr>
        <w:spacing w:line="276" w:lineRule="auto" w:after="140"/>
      </w:pPr>
      <w:r>
        <w:t>案例semantic-034原文为“不是2号公寓楼，12号公寓楼洗衣房队伍很长”，模型返回2号公寓楼并新增23分钟等待。本地地点核对把该原文视为多地点歧义，保留待选择状态，避免直接使用错误编号，但没有自动理解否定句。</w:t>
      </w:r>
    </w:p>
    <w:p>
      <w:pPr>
        <w:spacing w:line="276" w:lineRule="auto" w:after="140"/>
      </w:pPr>
      <w:r>
        <w:t>案例semantic-046原文为“智能温室的门禁设备无法识别卡片”，参考type为service，模型返回safety。这里只统计既定单人标准答案下的类别差异，不把一条有争议的边界样例推广为整个类别无效。</w:t>
      </w:r>
    </w:p>
    <w:p>
      <w:pPr>
        <w:spacing w:line="276" w:lineRule="auto" w:after="140"/>
      </w:pPr>
      <w:r>
        <w:rPr>
          <w:sz w:val="18"/>
        </w:rPr>
        <w:t>未取得独立基础模型权重，因此未完成“基础模型与LoRA微调”的因果对照。模型类名、规则结果和本地后处理结果都能在原始证据包按题号查看。</w:t>
      </w:r>
    </w:p>
    <w:p>
      <w:r>
        <w:br w:type="page"/>
      </w:r>
    </w:p>
    <w:p>
      <w:pPr>
        <w:pStyle w:val="Heading1"/>
        <w:pBdr>
          <w:bottom w:val="nil"/>
        </w:pBdr>
      </w:pPr>
      <w:r>
        <w:rPr>
          <w:color w:val="000000"/>
        </w:rPr>
        <w:t>地点编号与缺失信息</w:t>
      </w:r>
    </w:p>
    <w:p>
      <w:pPr>
        <w:pStyle w:val="Caption"/>
        <w:keepNext/>
      </w:pPr>
      <w:r>
        <w:t>表13 原始模型与本地地点核对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381"/>
        <w:gridCol w:w="3345"/>
        <w:gridCol w:w="3345"/>
      </w:tblGrid>
      <w:tr>
        <w:trPr>
          <w:cantSplit/>
          <w:tblHeader/>
        </w:trPr>
        <w:tc>
          <w:tcPr>
            <w:tcW w:type="dxa" w:w="2381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题组</w:t>
            </w:r>
          </w:p>
        </w:tc>
        <w:tc>
          <w:tcPr>
            <w:tcW w:type="dxa" w:w="3345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模型名称与ID均正确</w:t>
            </w:r>
          </w:p>
        </w:tc>
        <w:tc>
          <w:tcPr>
            <w:tcW w:type="dxa" w:w="3345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本地核对后均正确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目录68题</w:t>
            </w:r>
          </w:p>
        </w:tc>
        <w:tc>
          <w:tcPr>
            <w:tcW w:type="dxa" w:w="334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35/68</w:t>
            </w:r>
          </w:p>
        </w:tc>
        <w:tc>
          <w:tcPr>
            <w:tcW w:type="dxa" w:w="334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67/68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别名35题</w:t>
            </w:r>
          </w:p>
        </w:tc>
        <w:tc>
          <w:tcPr>
            <w:tcW w:type="dxa" w:w="334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0/35</w:t>
            </w:r>
          </w:p>
        </w:tc>
        <w:tc>
          <w:tcPr>
            <w:tcW w:type="dxa" w:w="334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35/35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语义72题</w:t>
            </w:r>
          </w:p>
        </w:tc>
        <w:tc>
          <w:tcPr>
            <w:tcW w:type="dxa" w:w="334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36/72</w:t>
            </w:r>
          </w:p>
        </w:tc>
        <w:tc>
          <w:tcPr>
            <w:tcW w:type="dxa" w:w="334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66/72</w:t>
            </w:r>
          </w:p>
        </w:tc>
      </w:tr>
    </w:tbl>
    <w:p>
      <w:pPr>
        <w:spacing w:after="20"/>
      </w:pPr>
    </w:p>
    <w:p>
      <w:pPr>
        <w:spacing w:line="276" w:lineRule="auto" w:after="140"/>
      </w:pPr>
      <w:r>
        <w:t>上表模型名称要求项目标准名称；返回有效别名会使名称规范化不匹配，不能直接解释为不知道这个地点。ID不一致则表示与当前项目目录不兼容。核对列将真实回复交给本地当前validateExtractedEvent处理，按原文选地点；没有访问登录网关、数据库或地图界面。</w:t>
      </w:r>
    </w:p>
    <w:p>
      <w:pPr>
        <w:spacing w:line="276" w:lineRule="auto" w:after="140"/>
      </w:pPr>
      <w:r>
        <w:t>提供权威目录的完整对照24对：编号匹配由13对变为23对；全部字段一致由9对变为15对。该比较只涉及同题行为，不能据此推导训练收益。</w:t>
      </w:r>
    </w:p>
    <w:p>
      <w:pPr>
        <w:pStyle w:val="Caption"/>
        <w:keepNext/>
      </w:pPr>
      <w:r>
        <w:t>表14 缺失字段是否保持未知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721"/>
        <w:gridCol w:w="3061"/>
        <w:gridCol w:w="3289"/>
      </w:tblGrid>
      <w:tr>
        <w:trPr>
          <w:cantSplit/>
          <w:tblHeader/>
        </w:trPr>
        <w:tc>
          <w:tcPr>
            <w:tcW w:type="dxa" w:w="2721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原文缺失信息</w:t>
            </w:r>
          </w:p>
        </w:tc>
        <w:tc>
          <w:tcPr>
            <w:tcW w:type="dxa" w:w="3061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保持未知 / 可评回复</w:t>
            </w:r>
          </w:p>
        </w:tc>
        <w:tc>
          <w:tcPr>
            <w:tcW w:type="dxa" w:w="3289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时间段</w:t>
            </w:r>
          </w:p>
        </w:tc>
        <w:tc>
          <w:tcPr>
            <w:tcW w:type="dxa" w:w="306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92/289</w:t>
            </w:r>
          </w:p>
        </w:tc>
        <w:tc>
          <w:tcPr>
            <w:tcW w:type="dxa" w:w="3289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期望unknown，不能猜时段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楼层</w:t>
            </w:r>
          </w:p>
        </w:tc>
        <w:tc>
          <w:tcPr>
            <w:tcW w:type="dxa" w:w="306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256/256</w:t>
            </w:r>
          </w:p>
        </w:tc>
        <w:tc>
          <w:tcPr>
            <w:tcW w:type="dxa" w:w="3289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期望null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时长或等待分钟</w:t>
            </w:r>
          </w:p>
        </w:tc>
        <w:tc>
          <w:tcPr>
            <w:tcW w:type="dxa" w:w="306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165/172</w:t>
            </w:r>
          </w:p>
        </w:tc>
        <w:tc>
          <w:tcPr>
            <w:tcW w:type="dxa" w:w="3289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期望null</w:t>
            </w:r>
          </w:p>
        </w:tc>
      </w:tr>
    </w:tbl>
    <w:p>
      <w:pPr>
        <w:spacing w:after="20"/>
      </w:pPr>
    </w:p>
    <w:p>
      <w:pPr>
        <w:spacing w:line="276" w:lineRule="auto" w:after="140"/>
      </w:pPr>
      <w:r>
        <w:rPr>
          <w:sz w:val="18"/>
        </w:rPr>
        <w:t>本地核对会保留多地点歧义。否定句如“不在1号公寓楼，是11号公寓楼”可能同时匹配两个地点；不能声称后处理解决了全部语言理解问题。</w:t>
      </w:r>
    </w:p>
    <w:p>
      <w:r>
        <w:br w:type="page"/>
      </w:r>
    </w:p>
    <w:p>
      <w:pPr>
        <w:pStyle w:val="Heading1"/>
        <w:pBdr>
          <w:bottom w:val="nil"/>
        </w:pBdr>
      </w:pPr>
      <w:r>
        <w:rPr>
          <w:color w:val="000000"/>
        </w:rPr>
        <w:t>提示词扰动与重复一致性</w:t>
      </w:r>
    </w:p>
    <w:p>
      <w:pPr>
        <w:pStyle w:val="Caption"/>
        <w:keepNext/>
      </w:pPr>
      <w:r>
        <w:t>表15 同题对照与重复检查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061"/>
        <w:gridCol w:w="1587"/>
        <w:gridCol w:w="4423"/>
      </w:tblGrid>
      <w:tr>
        <w:trPr>
          <w:cantSplit/>
          <w:tblHeader/>
        </w:trPr>
        <w:tc>
          <w:tcPr>
            <w:tcW w:type="dxa" w:w="3061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检查</w:t>
            </w:r>
          </w:p>
        </w:tc>
        <w:tc>
          <w:tcPr>
            <w:tcW w:type="dxa" w:w="1587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完成规模</w:t>
            </w:r>
          </w:p>
        </w:tc>
        <w:tc>
          <w:tcPr>
            <w:tcW w:type="dxa" w:w="4423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06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instruction放system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24对</w:t>
            </w:r>
          </w:p>
        </w:tc>
        <w:tc>
          <w:tcPr>
            <w:tcW w:type="dxa" w:w="442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原提示词一致9对 / system一致9对</w:t>
            </w:r>
          </w:p>
        </w:tc>
      </w:tr>
      <w:tr>
        <w:trPr>
          <w:cantSplit/>
        </w:trPr>
        <w:tc>
          <w:tcPr>
            <w:tcW w:type="dxa" w:w="306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表达扰动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40对</w:t>
            </w:r>
          </w:p>
        </w:tc>
        <w:tc>
          <w:tcPr>
            <w:tcW w:type="dxa" w:w="442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原提示词一致14对 / 扰动后15对</w:t>
            </w:r>
          </w:p>
        </w:tc>
      </w:tr>
      <w:tr>
        <w:trPr>
          <w:cantSplit/>
        </w:trPr>
        <w:tc>
          <w:tcPr>
            <w:tcW w:type="dxa" w:w="306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同题三次  字段一致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8组</w:t>
            </w:r>
          </w:p>
        </w:tc>
        <w:tc>
          <w:tcPr>
            <w:tcW w:type="dxa" w:w="442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8/8组</w:t>
            </w:r>
          </w:p>
        </w:tc>
      </w:tr>
      <w:tr>
        <w:trPr>
          <w:cantSplit/>
        </w:trPr>
        <w:tc>
          <w:tcPr>
            <w:tcW w:type="dxa" w:w="306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同题三次  原文一致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8组</w:t>
            </w:r>
          </w:p>
        </w:tc>
        <w:tc>
          <w:tcPr>
            <w:tcW w:type="dxa" w:w="4423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8/8组</w:t>
            </w:r>
          </w:p>
        </w:tc>
      </w:tr>
    </w:tbl>
    <w:p>
      <w:pPr>
        <w:spacing w:after="20"/>
      </w:pPr>
    </w:p>
    <w:p>
      <w:pPr>
        <w:spacing w:line="276" w:lineRule="auto" w:after="140"/>
      </w:pPr>
      <w:r>
        <w:t>一致性只衡量重复输出是否相同，不代表答案正确。即使temperature为0并显式do_sample=false，服务内部参数处理与推理随机性仍需服务器日志核验；本轮以观察到的结果为准。</w:t>
      </w:r>
    </w:p>
    <w:p>
      <w:pPr>
        <w:pStyle w:val="Caption"/>
        <w:keepNext/>
      </w:pPr>
      <w:r>
        <w:t>表16 长文本目标位置实验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68"/>
        <w:gridCol w:w="1701"/>
        <w:gridCol w:w="5102"/>
      </w:tblGrid>
      <w:tr>
        <w:trPr>
          <w:cantSplit/>
          <w:tblHeader/>
        </w:trPr>
        <w:tc>
          <w:tcPr>
            <w:tcW w:type="dxa" w:w="2268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输入字符数</w:t>
            </w:r>
          </w:p>
        </w:tc>
        <w:tc>
          <w:tcPr>
            <w:tcW w:type="dxa" w:w="1701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目标位置</w:t>
            </w:r>
          </w:p>
        </w:tc>
        <w:tc>
          <w:tcPr>
            <w:tcW w:type="dxa" w:w="5102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请求 / 字段事实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914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开头</w:t>
            </w:r>
          </w:p>
        </w:tc>
        <w:tc>
          <w:tcPr>
            <w:tcW w:type="dxa" w:w="5102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成功 / True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914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末尾</w:t>
            </w:r>
          </w:p>
        </w:tc>
        <w:tc>
          <w:tcPr>
            <w:tcW w:type="dxa" w:w="5102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成功 / True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3559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开头</w:t>
            </w:r>
          </w:p>
        </w:tc>
        <w:tc>
          <w:tcPr>
            <w:tcW w:type="dxa" w:w="5102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成功 / True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3559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末尾</w:t>
            </w:r>
          </w:p>
        </w:tc>
        <w:tc>
          <w:tcPr>
            <w:tcW w:type="dxa" w:w="5102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成功 / True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7101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开头</w:t>
            </w:r>
          </w:p>
        </w:tc>
        <w:tc>
          <w:tcPr>
            <w:tcW w:type="dxa" w:w="5102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成功 / True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7101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末尾</w:t>
            </w:r>
          </w:p>
        </w:tc>
        <w:tc>
          <w:tcPr>
            <w:tcW w:type="dxa" w:w="5102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成功 / True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14185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开头</w:t>
            </w:r>
          </w:p>
        </w:tc>
        <w:tc>
          <w:tcPr>
            <w:tcW w:type="dxa" w:w="5102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成功 / True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14185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末尾</w:t>
            </w:r>
          </w:p>
        </w:tc>
        <w:tc>
          <w:tcPr>
            <w:tcW w:type="dxa" w:w="5102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成功 / True</w:t>
            </w:r>
          </w:p>
        </w:tc>
      </w:tr>
    </w:tbl>
    <w:p>
      <w:pPr>
        <w:spacing w:after="20"/>
      </w:pPr>
    </w:p>
    <w:p>
      <w:pPr>
        <w:spacing w:line="276" w:lineRule="auto" w:after="140"/>
      </w:pPr>
      <w:r>
        <w:rPr>
          <w:sz w:val="18"/>
        </w:rPr>
        <w:t>长文本实验只测试直接模型接口；当前应用输入上限为1000字。超出服务上下文限制的错误按协议失败保留，不当作模型语义错误或App已有长文能力。</w:t>
      </w:r>
    </w:p>
    <w:p>
      <w:r>
        <w:br w:type="page"/>
      </w:r>
    </w:p>
    <w:p>
      <w:pPr>
        <w:pStyle w:val="Heading1"/>
        <w:pBdr>
          <w:bottom w:val="nil"/>
        </w:pBdr>
      </w:pPr>
      <w:r>
        <w:rPr>
          <w:color w:val="000000"/>
        </w:rPr>
        <w:t>在线响应与小规模并发</w:t>
      </w:r>
    </w:p>
    <w:p>
      <w:pPr>
        <w:pStyle w:val="Caption"/>
        <w:keepNext/>
      </w:pPr>
      <w:r>
        <w:t>表17 独立性能请求的客户端指标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535"/>
        <w:gridCol w:w="1134"/>
        <w:gridCol w:w="3402"/>
      </w:tblGrid>
      <w:tr>
        <w:trPr>
          <w:cantSplit/>
          <w:tblHeader/>
        </w:trPr>
        <w:tc>
          <w:tcPr>
            <w:tcW w:type="dxa" w:w="4535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134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样本</w:t>
            </w:r>
          </w:p>
        </w:tc>
        <w:tc>
          <w:tcPr>
            <w:tcW w:type="dxa" w:w="3402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453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串行完整回复 p50 / p95</w:t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7.12 / 7.94 s</w:t>
            </w:r>
          </w:p>
        </w:tc>
      </w:tr>
      <w:tr>
        <w:trPr>
          <w:cantSplit/>
        </w:trPr>
        <w:tc>
          <w:tcPr>
            <w:tcW w:type="dxa" w:w="453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流式完整回复 p50 / p95</w:t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8.88 / 35.67 s</w:t>
            </w:r>
          </w:p>
        </w:tc>
      </w:tr>
      <w:tr>
        <w:trPr>
          <w:cantSplit/>
        </w:trPr>
        <w:tc>
          <w:tcPr>
            <w:tcW w:type="dxa" w:w="453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首个非空content分块 p50</w:t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2.56 s</w:t>
            </w:r>
          </w:p>
        </w:tc>
      </w:tr>
      <w:tr>
        <w:trPr>
          <w:cantSplit/>
        </w:trPr>
        <w:tc>
          <w:tcPr>
            <w:tcW w:type="dxa" w:w="453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串行端到端完成token速率</w:t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12.38 token/s 中位数</w:t>
            </w:r>
          </w:p>
        </w:tc>
      </w:tr>
    </w:tbl>
    <w:p>
      <w:pPr>
        <w:spacing w:after="20"/>
      </w:pPr>
    </w:p>
    <w:p>
      <w:pPr>
        <w:pStyle w:val="Caption"/>
        <w:keepNext/>
      </w:pPr>
      <w:r>
        <w:t>表18 并发批次统计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134"/>
        <w:gridCol w:w="2721"/>
        <w:gridCol w:w="2494"/>
        <w:gridCol w:w="2722"/>
      </w:tblGrid>
      <w:tr>
        <w:trPr>
          <w:cantSplit/>
          <w:tblHeader/>
        </w:trPr>
        <w:tc>
          <w:tcPr>
            <w:tcW w:type="dxa" w:w="1134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并发</w:t>
            </w:r>
          </w:p>
        </w:tc>
        <w:tc>
          <w:tcPr>
            <w:tcW w:type="dxa" w:w="2721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三批成功 / 请求</w:t>
            </w:r>
          </w:p>
        </w:tc>
        <w:tc>
          <w:tcPr>
            <w:tcW w:type="dxa" w:w="2494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批墙钟均值 s</w:t>
            </w:r>
          </w:p>
        </w:tc>
        <w:tc>
          <w:tcPr>
            <w:tcW w:type="dxa" w:w="2722"/>
            <w:shd w:fill="E8EEE9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/>
                <w:sz w:val="18"/>
              </w:rPr>
              <w:t>吞吐均值 请求/s</w:t>
            </w:r>
          </w:p>
        </w:tc>
      </w:tr>
      <w:tr>
        <w:trPr>
          <w:cantSplit/>
        </w:trPr>
        <w:tc>
          <w:tcPr>
            <w:tcW w:type="dxa" w:w="1134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3/3</w:t>
            </w:r>
          </w:p>
        </w:tc>
        <w:tc>
          <w:tcPr>
            <w:tcW w:type="dxa" w:w="2494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7.23</w:t>
            </w:r>
          </w:p>
        </w:tc>
        <w:tc>
          <w:tcPr>
            <w:tcW w:type="dxa" w:w="2722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0.140</w:t>
            </w:r>
          </w:p>
        </w:tc>
      </w:tr>
      <w:tr>
        <w:trPr>
          <w:cantSplit/>
        </w:trPr>
        <w:tc>
          <w:tcPr>
            <w:tcW w:type="dxa" w:w="1134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2494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12.69</w:t>
            </w:r>
          </w:p>
        </w:tc>
        <w:tc>
          <w:tcPr>
            <w:tcW w:type="dxa" w:w="2722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0.158</w:t>
            </w:r>
          </w:p>
        </w:tc>
      </w:tr>
      <w:tr>
        <w:trPr>
          <w:cantSplit/>
        </w:trPr>
        <w:tc>
          <w:tcPr>
            <w:tcW w:type="dxa" w:w="1134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2494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24.78</w:t>
            </w:r>
          </w:p>
        </w:tc>
        <w:tc>
          <w:tcPr>
            <w:tcW w:type="dxa" w:w="2722"/>
            <w:shd w:fill="FFFFFF" w:val="clear"/>
            <w:vAlign w:val="center"/>
          </w:tcPr>
          <w:p>
            <w:pPr>
              <w:spacing w:line="252" w:lineRule="auto" w:after="20" w:before="20"/>
              <w:jc w:val="center"/>
            </w:pPr>
            <w:r>
              <w:rPr>
                <w:b w:val="0"/>
                <w:sz w:val="18"/>
              </w:rPr>
              <w:t>0.161</w:t>
            </w:r>
          </w:p>
        </w:tc>
      </w:tr>
    </w:tbl>
    <w:p>
      <w:pPr>
        <w:spacing w:after="20"/>
      </w:pPr>
    </w:p>
    <w:p>
      <w:pPr>
        <w:spacing w:line="276" w:lineRule="auto" w:after="140"/>
      </w:pPr>
      <w:r>
        <w:t>耗时从客户端发出请求到获得完整回复，包含网络、服务排队、输入处理和生成。质量题使用3个并发请求提高执行效率，其耗时单独保存；上述性能组串行隔离执行。其他用户是否同时使用服务器无法确认。</w:t>
      </w:r>
    </w:p>
    <w:p>
      <w:pPr>
        <w:spacing w:line="276" w:lineRule="auto" w:after="140"/>
      </w:pPr>
      <w:r>
        <w:rPr>
          <w:sz w:val="18"/>
        </w:rPr>
        <w:t>p50和p95采用nearest-rank；样本数小，p95可能接近最大值。首响应是收到非空文本分块的时刻，不等同服务器内部首token耗时；token/s为端到端指标，不是GPU纯解码速度。</w:t>
      </w:r>
    </w:p>
    <w:p>
      <w:pPr>
        <w:spacing w:line="276" w:lineRule="auto" w:after="140"/>
      </w:pPr>
      <w:r>
        <w:rPr>
          <w:sz w:val="18"/>
        </w:rPr>
        <w:t>并发最大4、每档3批，只证明本轮小规模场景，不外推长期可用率、最大承载能力或生产SLA。所有错误与finish_reason均保存。</w:t>
      </w:r>
    </w:p>
    <w:p>
      <w:r>
        <w:br w:type="page"/>
      </w:r>
    </w:p>
    <w:p>
      <w:pPr>
        <w:pStyle w:val="Heading1"/>
        <w:pBdr>
          <w:bottom w:val="nil"/>
        </w:pBdr>
      </w:pPr>
      <w:r>
        <w:rPr>
          <w:color w:val="000000"/>
        </w:rPr>
        <w:t>资料问答与公开数学样本</w:t>
      </w:r>
    </w:p>
    <w:p>
      <w:pPr>
        <w:pStyle w:val="Caption"/>
        <w:keepNext/>
      </w:pPr>
      <w:r>
        <w:t>表19 问答与计算范围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381"/>
        <w:gridCol w:w="3515"/>
        <w:gridCol w:w="3175"/>
      </w:tblGrid>
      <w:tr>
        <w:trPr>
          <w:cantSplit/>
          <w:tblHeader/>
        </w:trPr>
        <w:tc>
          <w:tcPr>
            <w:tcW w:type="dxa" w:w="2381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515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客观检查</w:t>
            </w:r>
          </w:p>
        </w:tc>
        <w:tc>
          <w:tcPr>
            <w:tcW w:type="dxa" w:w="3175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结论边界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资料问答36题</w:t>
            </w:r>
          </w:p>
        </w:tc>
        <w:tc>
          <w:tcPr>
            <w:tcW w:type="dxa" w:w="351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29/36 关键词检查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关键词命中不等于事实正确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自建通用16题</w:t>
            </w:r>
          </w:p>
        </w:tc>
        <w:tc>
          <w:tcPr>
            <w:tcW w:type="dxa" w:w="351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10/16 严格答案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自建题，不称为公开榜单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GSM8K固定32题</w:t>
            </w:r>
          </w:p>
        </w:tc>
        <w:tc>
          <w:tcPr>
            <w:tcW w:type="dxa" w:w="351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31/32  ####答案提取</w:t>
            </w:r>
          </w:p>
        </w:tc>
        <w:tc>
          <w:tcPr>
            <w:tcW w:type="dxa" w:w="3175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测试集小样本，不是全量分数</w:t>
            </w:r>
          </w:p>
        </w:tc>
      </w:tr>
    </w:tbl>
    <w:p>
      <w:pPr>
        <w:spacing w:after="20"/>
      </w:pPr>
    </w:p>
    <w:p>
      <w:pPr>
        <w:spacing w:line="276" w:lineRule="auto" w:after="140"/>
      </w:pPr>
      <w:r>
        <w:t>GSM8K原测试集为1319题，按随机种子20261009抽取32题，采用零样本英文提示、简短推理与####最终数值，max_tokens=600。严格提取正确率96.9%；末尾数字诊断另存，不能选择较高的一种当主要成绩。</w:t>
      </w:r>
    </w:p>
    <w:p>
      <w:pPr>
        <w:spacing w:line="276" w:lineRule="auto" w:after="140"/>
      </w:pPr>
      <w:r>
        <w:rPr>
          <w:sz w:val="18"/>
        </w:rPr>
        <w:t>自建通用题的同题提示对照16对：按原类型，直接答案10题匹配、内部复核提示14题匹配；数值字符串统一后分别为12和15题。格式差异不等于算错。未重复多轮，不称为稳定提升率。</w:t>
      </w:r>
    </w:p>
    <w:p>
      <w:pPr>
        <w:spacing w:line="276" w:lineRule="auto" w:after="140"/>
      </w:pPr>
      <w:r>
        <w:t>资料问答逐条依据固定合成资料检查，记录支持、缺失与新增断言。此审阅由当前助手执行，不是第二位人工评分者；事实40等人工评分栏仍留空，不报告人工满意率或总评分。</w:t>
      </w:r>
    </w:p>
    <w:p>
      <w:pPr>
        <w:spacing w:line="276" w:lineRule="auto" w:after="140"/>
      </w:pPr>
      <w:r>
        <w:rPr>
          <w:sz w:val="18"/>
        </w:rPr>
        <w:t>资料缺失人流题3/3被回答为“人不多”；资料内指令注入题3/3没有按21:30闭馆资料回答。三个近义版本属于同一任务，不计为三种独立攻击。</w:t>
      </w:r>
    </w:p>
    <w:p>
      <w:pPr>
        <w:spacing w:line="276" w:lineRule="auto" w:after="140"/>
      </w:pPr>
      <w:r>
        <w:rPr>
          <w:sz w:val="18"/>
        </w:rPr>
        <w:t>persona-001  已知闭馆21:30回答正确，但资料未给当前时刻，新增“还有3小时”没有依据。 原文：闭馆时间是21:30。今天还有3个小时就闭馆了，记得提前做好准备。</w:t>
      </w:r>
    </w:p>
    <w:p>
      <w:pPr>
        <w:spacing w:line="276" w:lineRule="auto" w:after="140"/>
      </w:pPr>
      <w:r>
        <w:rPr>
          <w:sz w:val="18"/>
        </w:rPr>
        <w:t>persona-003  17分钟有依据；“人数较多”不是给定资料事实。 原文：现在排队人数较多，等待时间约17分钟。人多时建议错峰前往，或选择其他同类场所。</w:t>
      </w:r>
    </w:p>
    <w:p>
      <w:pPr>
        <w:spacing w:line="276" w:lineRule="auto" w:after="140"/>
      </w:pPr>
      <w:r>
        <w:rPr>
          <w:sz w:val="18"/>
        </w:rPr>
        <w:t>persona-006  资料明确动态不可取得，回复却断言“现在人不多”。 原文：禾香餐厅现在人不多，你可以直接去。</w:t>
      </w:r>
    </w:p>
    <w:p>
      <w:pPr>
        <w:spacing w:line="276" w:lineRule="auto" w:after="140"/>
      </w:pPr>
      <w:r>
        <w:rPr>
          <w:sz w:val="18"/>
        </w:rPr>
        <w:t>公开来源：https://github.com/openai/grade-school-math。来源文件、32条题号、参考答案、SHA256、全部输出随包保存。未执行全量MMLU、C-Eval、CMMLU或HumanEval，不使用这些榜单名称描述本轮成绩。</w:t>
      </w:r>
    </w:p>
    <w:p>
      <w:r>
        <w:br w:type="page"/>
      </w:r>
    </w:p>
    <w:p>
      <w:pPr>
        <w:pStyle w:val="Heading1"/>
        <w:pBdr>
          <w:bottom w:val="nil"/>
        </w:pBdr>
      </w:pPr>
      <w:r>
        <w:rPr>
          <w:color w:val="000000"/>
        </w:rPr>
        <w:t>证据查阅与应用改进</w:t>
      </w:r>
    </w:p>
    <w:p>
      <w:pPr>
        <w:spacing w:line="276" w:lineRule="auto" w:after="140"/>
      </w:pPr>
      <w:r>
        <w:t>本轮结果支持按字段审核模型输出。事件分类可用程度应依据分项结果判断；地点编号应由当前目录核对，原文缺失信息保持未知；时刻计算和等待估算等确定性任务优先用明确规则计算，再让模型解释。</w:t>
      </w:r>
    </w:p>
    <w:p>
      <w:pPr>
        <w:spacing w:line="276" w:lineRule="auto" w:after="140"/>
      </w:pPr>
      <w:r>
        <w:t>建议先核验服务器启动日志中的基础模型、checkpoint与LoRA切换机制，再补第三方基准工具的标准协议及独立二审。资料问答需要事实核对，不能仅靠关键词命中。新APK真机验收、真实用户反馈与在线数据库联调仍需另补。</w:t>
      </w:r>
    </w:p>
    <w:p>
      <w:pPr>
        <w:spacing w:line="276" w:lineRule="auto" w:after="140"/>
      </w:pPr>
      <w:r>
        <w:t>当前一次不带认证头的推理请求返回200，建议服务负责人核对服务端鉴权。任意model字符串被接受，需明确列出的模型名称是否绑定实际模型或仅作为兼容字段。</w:t>
      </w:r>
    </w:p>
    <w:p>
      <w:pPr>
        <w:pStyle w:val="Caption"/>
        <w:keepNext/>
      </w:pPr>
      <w:r>
        <w:t>表20 无需外部账号的证据入口</w:t>
      </w:r>
    </w:p>
    <w:tbl>
      <w:tblPr>
        <w:tblLook w:firstColumn="1" w:firstRow="1" w:lastColumn="0" w:lastRow="0" w:noHBand="0" w:noVBand="1" w:val="04A0"/>
        <w:tblW w:w="9071" w:type="dxa"/>
        <w:tblInd w:w="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721"/>
        <w:gridCol w:w="6350"/>
      </w:tblGrid>
      <w:tr>
        <w:trPr>
          <w:cantSplit/>
          <w:tblHeader/>
        </w:trPr>
        <w:tc>
          <w:tcPr>
            <w:tcW w:type="dxa" w:w="2721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结论</w:t>
            </w:r>
          </w:p>
        </w:tc>
        <w:tc>
          <w:tcPr>
            <w:tcW w:type="dxa" w:w="6350"/>
            <w:shd w:fill="E8EEE9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/>
                <w:sz w:val="18"/>
              </w:rPr>
              <w:t>包内文件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题目与提示词</w:t>
            </w:r>
          </w:p>
        </w:tc>
        <w:tc>
          <w:tcPr>
            <w:tcW w:type="dxa" w:w="6350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cases.json  manifest.json  catalog_snapshot.json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正式回复与协议失败</w:t>
            </w:r>
          </w:p>
        </w:tc>
        <w:tc>
          <w:tcPr>
            <w:tcW w:type="dxa" w:w="6350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runs\20261009_191150_420593/requests.jsonl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字段与成对统计</w:t>
            </w:r>
          </w:p>
        </w:tc>
        <w:tc>
          <w:tcPr>
            <w:tcW w:type="dxa" w:w="6350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evidence/findings.json  full_scoring_v2.json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错误样例与问答审阅</w:t>
            </w:r>
          </w:p>
        </w:tc>
        <w:tc>
          <w:tcPr>
            <w:tcW w:type="dxa" w:w="6350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evidence/all_failure_cases.json  persona_review.json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当前App本地地点核对</w:t>
            </w:r>
          </w:p>
        </w:tc>
        <w:tc>
          <w:tcPr>
            <w:tcW w:type="dxa" w:w="6350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evidence/app_postprocess.json  app_postprocess.mjs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固定关键词规则</w:t>
            </w:r>
          </w:p>
        </w:tc>
        <w:tc>
          <w:tcPr>
            <w:tcW w:type="dxa" w:w="6350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evidence/rule_baseline.json  run_evaluation.py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协议与通用题提示词对照</w:t>
            </w:r>
          </w:p>
        </w:tc>
        <w:tc>
          <w:tcPr>
            <w:tcW w:type="dxa" w:w="6350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protocol_runs/20261009_193551_399270/summary.json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公开数学样本</w:t>
            </w:r>
          </w:p>
        </w:tc>
        <w:tc>
          <w:tcPr>
            <w:tcW w:type="dxa" w:w="6350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public_benchmark/source_manifest.json  subset32.json  runs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复跑入口</w:t>
            </w:r>
          </w:p>
        </w:tc>
        <w:tc>
          <w:tcPr>
            <w:tcW w:type="dxa" w:w="6350"/>
            <w:shd w:fill="FFFFFF" w:val="clear"/>
            <w:vAlign w:val="center"/>
          </w:tcPr>
          <w:p>
            <w:pPr>
              <w:spacing w:line="252" w:lineRule="auto" w:after="20" w:before="20"/>
              <w:jc w:val="left"/>
            </w:pPr>
            <w:r>
              <w:rPr>
                <w:b w:val="0"/>
                <w:sz w:val="18"/>
              </w:rPr>
              <w:t>启动评测.ps1  run_public_benchmark.py  README.md</w:t>
            </w:r>
          </w:p>
        </w:tc>
      </w:tr>
    </w:tbl>
    <w:p>
      <w:pPr>
        <w:spacing w:after="20"/>
      </w:pPr>
    </w:p>
    <w:p>
      <w:pPr>
        <w:spacing w:line="276" w:lineRule="auto" w:after="140"/>
      </w:pPr>
      <w:r>
        <w:rPr>
          <w:sz w:val="18"/>
        </w:rPr>
        <w:t>请求不自动择优重试。全部失败保留；成功回复分母与全部请求分母分别统计。重复和模板题非独立，描述性比例或Wilson区间不能当作一般泛化置信区间。模型名称和参数来自API记录，不代替服务端版本证明。</w:t>
      </w:r>
    </w:p>
    <w:p>
      <w:pPr>
        <w:spacing w:line="276" w:lineRule="auto" w:after="140"/>
      </w:pPr>
      <w:r>
        <w:rPr>
          <w:sz w:val="18"/>
        </w:rPr>
        <w:t>原Word佐证材料保持不变；本报告及整合版另存。Word原生导出PDF后逐页核查；官方render_docx.py因缺少LibreOffice未完成，已用安装的Word16.0验证原生分页。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417" w:bottom="1020" w:left="141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OurCampus  二维应用佐证材料  核对稿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80"/>
    </w:pPr>
    <w:rPr>
      <w:rFonts w:ascii="微软雅黑" w:hAnsi="微软雅黑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20" w:line="240" w:lineRule="auto" w:before="10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b w:val="0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微软雅黑" w:hAnsi="微软雅黑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AuvEval1" Type="http://schemas.openxmlformats.org/officeDocument/2006/relationships/image" Target="media/auv_eval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OurCampus校园应用佐证材料</dc:title>
  <dc:subject>二维应用佐证材料核对稿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