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eastAsia="Microsoft YaHei" w:hAnsi="Arial"/>
          <w:b/>
          <w:bCs/>
          <w:color w:val="2F5496"/>
          <w:sz w:val="36"/>
          <w:szCs w:val="36"/>
        </w:rPr>
        <w:t xml:space="preserve">第八届全球校园人工智能算法精英大赛</w:t>
      </w:r>
    </w:p>
    <w:p>
      <w:pPr>
        <w:spacing w:after="60"/>
        <w:jc w:val="center"/>
      </w:pPr>
      <w:r>
        <w:rPr>
          <w:rFonts w:ascii="Arial" w:eastAsia="Microsoft YaHei" w:hAnsi="Arial"/>
          <w:b/>
          <w:bCs/>
          <w:color w:val="404040"/>
          <w:sz w:val="28"/>
          <w:szCs w:val="28"/>
        </w:rPr>
        <w:t xml:space="preserve">AI+软件创新赛道 · 参赛信息整理</w:t>
      </w:r>
    </w:p>
    <w:p>
      <w:pPr>
        <w:spacing w:after="400"/>
        <w:jc w:val="center"/>
      </w:pPr>
      <w:r>
        <w:rPr>
          <w:rFonts w:ascii="Arial" w:eastAsia="Microsoft YaHei" w:hAnsi="Arial"/>
          <w:color w:val="808080"/>
          <w:sz w:val="18"/>
          <w:szCs w:val="18"/>
        </w:rPr>
        <w:t xml:space="preserve">信息来源：大赛官网 www.aicomp.cn  |  整理日期：2026年9月</w:t>
      </w:r>
    </w:p>
    <w:p>
      <w:pPr>
        <w:pStyle w:val="Heading1"/>
      </w:pPr>
      <w:r>
        <w:t xml:space="preserve">一、赛道基本信息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F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赛道名称</w:t>
            </w:r>
          </w:p>
        </w:tc>
        <w:tc>
          <w:tcPr>
            <w:tcW w:type="dxa" w:w="7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AI+软件创新（算法创新赛 · 赛题2）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F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所属大赛</w:t>
            </w:r>
          </w:p>
        </w:tc>
        <w:tc>
          <w:tcPr>
            <w:tcW w:type="dxa" w:w="7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第八届全球校园人工智能算法精英大赛（2026 AIC）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F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赛道类别</w:t>
            </w:r>
          </w:p>
        </w:tc>
        <w:tc>
          <w:tcPr>
            <w:tcW w:type="dxa" w:w="7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算法创新赛（共7道开放式赛题，本赛道为赛题2）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F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赛制</w:t>
            </w:r>
          </w:p>
        </w:tc>
        <w:tc>
          <w:tcPr>
            <w:tcW w:type="dxa" w:w="7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赛区制（校赛 → 省赛/区域赛 → 总决赛）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F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赛题说明</w:t>
            </w:r>
          </w:p>
        </w:tc>
        <w:tc>
          <w:tcPr>
            <w:tcW w:type="dxa" w:w="7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推动人工智能算法的工程化落地与软件产品创新，鼓励选手将算法技术转化为具备实际应用价值的软件产品。通过竞赛搭建算法与软件工程的桥梁，促进选手掌握从技术研发到产品落地的全流程能力，包括需求分析、架构设计、开发测试、用户体验优化等。</w:t>
            </w:r>
          </w:p>
        </w:tc>
      </w:tr>
    </w:tbl>
    <w:p>
      <w:pPr>
        <w:pStyle w:val="Heading1"/>
      </w:pPr>
      <w:r>
        <w:t xml:space="preserve">二、参赛对象与团队要求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F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参赛对象</w:t>
            </w:r>
          </w:p>
        </w:tc>
        <w:tc>
          <w:tcPr>
            <w:tcW w:type="dxa" w:w="7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全球高校和科研院所拥有正式学籍的在读学生（含研究生、本科生、专科生）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F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团队人数</w:t>
            </w:r>
          </w:p>
        </w:tc>
        <w:tc>
          <w:tcPr>
            <w:tcW w:type="dxa" w:w="7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每支团队成员上限3名，可单人参赛；队员须为本校学生（不含分校），跨校组队无效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F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指导教师</w:t>
            </w:r>
          </w:p>
        </w:tc>
        <w:tc>
          <w:tcPr>
            <w:tcW w:type="dxa" w:w="7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每支团队最多可设置2名指导教师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F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参赛组别</w:t>
            </w:r>
          </w:p>
        </w:tc>
        <w:tc>
          <w:tcPr>
            <w:tcW w:type="dxa" w:w="7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• 青创学生组：所有成员须为国内外高校在读学生，不得包含企业人员</w:t>
            </w:r>
          </w:p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• 产教融合组：由高校在校学生与应用场景企业人员联合组成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F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报名方式</w:t>
            </w:r>
          </w:p>
        </w:tc>
        <w:tc>
          <w:tcPr>
            <w:tcW w:type="dxa" w:w="7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在大赛官网 www.aicomp.cn 完成报名注册，由队长统一操作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F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重要提示</w:t>
            </w:r>
          </w:p>
        </w:tc>
        <w:tc>
          <w:tcPr>
            <w:tcW w:type="dxa" w:w="7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作品材料（方案、视频、PPT等）中不得出现学校名称及Logo、指导教师等信息，否则扣分或取消资格</w:t>
            </w:r>
          </w:p>
        </w:tc>
      </w:tr>
    </w:tbl>
    <w:p>
      <w:pPr>
        <w:pStyle w:val="Heading1"/>
      </w:pPr>
      <w:r>
        <w:t xml:space="preserve">三、作品范围参考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F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作品范围</w:t>
            </w:r>
          </w:p>
        </w:tc>
        <w:tc>
          <w:tcPr>
            <w:tcW w:type="dxa" w:w="7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• 基础通用（算力、算法、数据相关软件和工具）</w:t>
            </w:r>
          </w:p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• AI辅助设计工具</w:t>
            </w:r>
          </w:p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• AIGC内容生成平台（图文/音视频）</w:t>
            </w:r>
          </w:p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• 智能分析系统</w:t>
            </w:r>
          </w:p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• 多模态交互软件</w:t>
            </w:r>
          </w:p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• 大模型微调应用工具</w:t>
            </w:r>
          </w:p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• 智能办公/学习插件</w:t>
            </w:r>
          </w:p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• 智能体</w:t>
            </w:r>
          </w:p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• 桌面/Web/移动端AI应用程序</w:t>
            </w:r>
          </w:p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• 其他基于算法驱动的软件产品（含在线服务）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F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开发要求</w:t>
            </w:r>
          </w:p>
        </w:tc>
        <w:tc>
          <w:tcPr>
            <w:tcW w:type="dxa" w:w="7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开发平台、开发环境、编程语言不限；产品功能、用途、应用行业和应用场景不限</w:t>
            </w:r>
          </w:p>
        </w:tc>
      </w:tr>
    </w:tbl>
    <w:p>
      <w:pPr>
        <w:pStyle w:val="Heading1"/>
      </w:pPr>
      <w:r>
        <w:t xml:space="preserve">四、作品基本要求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rPr>
          <w:cantSplit/>
        </w:trPr>
        <w:tc>
          <w:tcPr>
            <w:tcW w:type="dxa" w:w="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F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F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要求项</w:t>
            </w:r>
          </w:p>
        </w:tc>
        <w:tc>
          <w:tcPr>
            <w:tcW w:type="dxa" w:w="6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F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具体说明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功能完整性</w:t>
            </w:r>
          </w:p>
        </w:tc>
        <w:tc>
          <w:tcPr>
            <w:tcW w:type="dxa" w:w="6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参赛作品需为已完成开发的软件产品，须具备完整的核心功能模块，无重大技术缺陷。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AI融合深度</w:t>
            </w:r>
          </w:p>
        </w:tc>
        <w:tc>
          <w:tcPr>
            <w:tcW w:type="dxa" w:w="6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软件需深度融合人工智能算法，算法应用需与产品功能高度契合，体现技术赋能价值，避免算法与软件脱节。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材料完整性</w:t>
            </w:r>
          </w:p>
        </w:tc>
        <w:tc>
          <w:tcPr>
            <w:tcW w:type="dxa" w:w="6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提交材料需包含软件说明文档、功能演示视频、核心算法说明、测试报告等，需明确技术栈、运行环境及部署方式。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兼容性与易用性</w:t>
            </w:r>
          </w:p>
        </w:tc>
        <w:tc>
          <w:tcPr>
            <w:tcW w:type="dxa" w:w="6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软件须具备良好的兼容性与易用性，可提供在线演示地址或可安装的软件包，方便评审验证。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创新性说明</w:t>
            </w:r>
          </w:p>
        </w:tc>
        <w:tc>
          <w:tcPr>
            <w:tcW w:type="dxa" w:w="6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需说明软件的创新点与差异化优势，包括功能创新、体验优化、技术架构创新等，可提供用户反馈或试点应用数据。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合规与知识产权</w:t>
            </w:r>
          </w:p>
        </w:tc>
        <w:tc>
          <w:tcPr>
            <w:tcW w:type="dxa" w:w="6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作品需符合国家法律法规及相关行业标准，拥有自主知识产权或合法授权。</w:t>
            </w:r>
          </w:p>
        </w:tc>
      </w:tr>
    </w:tbl>
    <w:p>
      <w:pPr>
        <w:pStyle w:val="Heading1"/>
      </w:pPr>
      <w:r>
        <w:t xml:space="preserve">五、提交文件类型与规范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800"/>
        <w:gridCol w:w="4626"/>
      </w:tblGrid>
      <w:tr>
        <w:trPr>
          <w:cantSplit/>
        </w:trPr>
        <w:tc>
          <w:tcPr>
            <w:tcW w:type="dxa" w:w="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F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F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材料名称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F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格式/要求</w:t>
            </w:r>
          </w:p>
        </w:tc>
        <w:tc>
          <w:tcPr>
            <w:tcW w:type="dxa" w:w="46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F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作品名称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6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由参赛团队自主拟定，简洁清晰，突出主题，长度不超过20字。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作品简介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文字（300字以内）</w:t>
            </w:r>
          </w:p>
        </w:tc>
        <w:tc>
          <w:tcPr>
            <w:tcW w:type="dxa" w:w="46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以简洁清晰的语言突出核心亮点，可按照『问题-方案-效果-应用』逻辑撰写。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作品方案（技术方案）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PDF格式，≤10MB</w:t>
            </w:r>
          </w:p>
        </w:tc>
        <w:tc>
          <w:tcPr>
            <w:tcW w:type="dxa" w:w="46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参照官方模板与大纲撰写，需完整阐述核心内容。模板下载见官网。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演示视频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MP4格式，3-5分钟，≤300MB</w:t>
            </w:r>
          </w:p>
        </w:tc>
        <w:tc>
          <w:tcPr>
            <w:tcW w:type="dxa" w:w="46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清晰展示作品功能、实现流程与应用效果。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答辩PPT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PDF格式</w:t>
            </w:r>
          </w:p>
        </w:tc>
        <w:tc>
          <w:tcPr>
            <w:tcW w:type="dxa" w:w="46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内容应全面涵盖作品信息、背景、核心技术、创新点、应用前景等。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佐证材料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PDF格式（合并为一个文件）</w:t>
            </w:r>
          </w:p>
        </w:tc>
        <w:tc>
          <w:tcPr>
            <w:tcW w:type="dxa" w:w="46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用于证明作品真实性、创新性与应用成效，可包括专利证书、软著证书、论文录用证明、企业合作意向书、用户反馈、试点应用证明等。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作品其他材料链接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百度网盘链接（永久有效）</w:t>
            </w:r>
          </w:p>
        </w:tc>
        <w:tc>
          <w:tcPr>
            <w:tcW w:type="dxa" w:w="46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将完整代码包、大型工程文件、高清图纸等大容量文件存放于百度网盘。文件命名格式：参赛团队编号-赛题名称-作品名称-XX（材料名称）。</w:t>
            </w:r>
          </w:p>
        </w:tc>
      </w:tr>
    </w:tbl>
    <w:p>
      <w:pPr>
        <w:pStyle w:val="Heading1"/>
      </w:pPr>
      <w:r>
        <w:t xml:space="preserve">六、评分规则（满分100分）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826"/>
        <w:gridCol w:w="1400"/>
      </w:tblGrid>
      <w:tr>
        <w:trPr>
          <w:cantSplit/>
        </w:trP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F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评分项目</w:t>
            </w:r>
          </w:p>
        </w:tc>
        <w:tc>
          <w:tcPr>
            <w:tcW w:type="dxa" w:w="58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F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评分细则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F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分值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创新性（20分）</w:t>
            </w:r>
          </w:p>
        </w:tc>
        <w:tc>
          <w:tcPr>
            <w:tcW w:type="dxa" w:w="58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采用全新AI技术架构或模式，解决行业重大难题，具有开创性，得14-20分；</w:t>
            </w:r>
          </w:p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在现有技术上有显著改进，形成独特解决方案，得7-13分；</w:t>
            </w:r>
          </w:p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创新程度较低，仅做常规优化，得0-6分。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20分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技术实现（20分）</w:t>
            </w:r>
          </w:p>
        </w:tc>
        <w:tc>
          <w:tcPr>
            <w:tcW w:type="dxa" w:w="58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AI算法设计科学，模型选型合理，运行高效稳定，软件交互流畅，AI模型与软件系统适配性极佳，得14-20分；</w:t>
            </w:r>
          </w:p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技术方案可行，AI算法与软件可正常运行，但存在部分技术难点未完全攻克，得7-13分；</w:t>
            </w:r>
          </w:p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AI算法无法正常运行，技术实现存在重大缺陷，影响核心功能使用，得0-6分。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20分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功能完整性（20分）</w:t>
            </w:r>
          </w:p>
        </w:tc>
        <w:tc>
          <w:tcPr>
            <w:tcW w:type="dxa" w:w="58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AI软件功能完整，满足用户核心需求，操作流程流畅，无明显功能缺失，得14-20分；</w:t>
            </w:r>
          </w:p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功能基本完整，可实现核心AI功能，但存在部分次要功能不完善，得7-13分；</w:t>
            </w:r>
          </w:p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核心AI功能缺失，软件无法正常使用，得0-6分。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20分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方案完整性（20分）</w:t>
            </w:r>
          </w:p>
        </w:tc>
        <w:tc>
          <w:tcPr>
            <w:tcW w:type="dxa" w:w="58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技术方案涵盖软件开发全流程，内容完整、逻辑清晰，图表规范，得14-20分；</w:t>
            </w:r>
          </w:p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方案存在部分内容缺失或表述模糊，得7-13分；</w:t>
            </w:r>
          </w:p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方案严重不完整，无法体现作品的核心设计，得0-6分。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20分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应用价值（15分）</w:t>
            </w:r>
          </w:p>
        </w:tc>
        <w:tc>
          <w:tcPr>
            <w:tcW w:type="dxa" w:w="58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应用场景明确，能有效解决行业实际痛点，适配性强，具有广泛市场需求、商业转化潜力或社会价值，得10-15分；</w:t>
            </w:r>
          </w:p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有一定应用场景，但市场价值、落地可行性有待验证，得5-9分；</w:t>
            </w:r>
          </w:p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应用场景不清晰，难以落地应用，无实际价值，得0-4分。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15分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总结与展望（5分）</w:t>
            </w:r>
          </w:p>
        </w:tc>
        <w:tc>
          <w:tcPr>
            <w:tcW w:type="dxa" w:w="58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总结全面准确，展望合理且具有前瞻性，得3-5分；</w:t>
            </w:r>
          </w:p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总结展望较完整但深度不足，得1-2分；</w:t>
            </w:r>
          </w:p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内容简略、缺乏价值，得0分。</w:t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5分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总分</w:t>
            </w:r>
          </w:p>
        </w:tc>
        <w:tc>
          <w:tcPr>
            <w:tcW w:type="dxa" w:w="58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100分</w:t>
            </w:r>
          </w:p>
        </w:tc>
      </w:tr>
    </w:tbl>
    <w:p>
      <w:pPr>
        <w:pStyle w:val="Heading1"/>
      </w:pPr>
      <w:r>
        <w:t xml:space="preserve">七、赛程安排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F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7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F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时间安排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参赛报名</w:t>
            </w:r>
          </w:p>
        </w:tc>
        <w:tc>
          <w:tcPr>
            <w:tcW w:type="dxa" w:w="7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2026年4月28日起，大赛官网开放报名；各赛题报名截止时间以报名系统为准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校赛</w:t>
            </w:r>
          </w:p>
        </w:tc>
        <w:tc>
          <w:tcPr>
            <w:tcW w:type="dxa" w:w="7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由学校自行组织，2026年10月10日前完成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省赛/区域赛</w:t>
            </w:r>
          </w:p>
        </w:tc>
        <w:tc>
          <w:tcPr>
            <w:tcW w:type="dxa" w:w="7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报名截止：2026年10月15日20:00；比赛最迟于11月1日前完成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总决赛</w:t>
            </w:r>
          </w:p>
        </w:tc>
        <w:tc>
          <w:tcPr>
            <w:tcW w:type="dxa" w:w="7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计划于11月中下旬举办（时间地点另行通知）</w:t>
            </w:r>
          </w:p>
        </w:tc>
      </w:tr>
    </w:tbl>
    <w:p>
      <w:pPr>
        <w:pStyle w:val="Heading1"/>
      </w:pPr>
      <w:r>
        <w:t xml:space="preserve">八、奖项设置与费用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F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奖项</w:t>
            </w:r>
          </w:p>
        </w:tc>
        <w:tc>
          <w:tcPr>
            <w:tcW w:type="dxa" w:w="7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F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省赛/区域赛</w:t>
            </w:r>
          </w:p>
        </w:tc>
        <w:tc>
          <w:tcPr>
            <w:tcW w:type="dxa" w:w="7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• 设一、二、三等奖，比例分别不超过15%、25%、30%</w:t>
            </w:r>
          </w:p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• 一、二等奖获奖团队晋级总决赛</w:t>
            </w:r>
          </w:p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• 颁发省级获奖证书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总决赛</w:t>
            </w:r>
          </w:p>
        </w:tc>
        <w:tc>
          <w:tcPr>
            <w:tcW w:type="dxa" w:w="7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• 设一、二、三等奖，比例分别不超过15%、25%、30%</w:t>
            </w:r>
          </w:p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• 颁发国赛获奖证书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参赛费用</w:t>
            </w:r>
          </w:p>
        </w:tc>
        <w:tc>
          <w:tcPr>
            <w:tcW w:type="dxa" w:w="7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校赛免费；入围省赛/区域赛每队500元（具体以各省赛区通知为准）</w:t>
            </w:r>
          </w:p>
        </w:tc>
      </w:tr>
    </w:tbl>
    <w:p>
      <w:pPr>
        <w:spacing w:before="400"/>
      </w:pPr>
      <w:r>
        <w:rPr>
          <w:rFonts w:ascii="Arial" w:eastAsia="Microsoft YaHei" w:hAnsi="Arial"/>
          <w:i/>
          <w:iCs/>
          <w:color w:val="808080"/>
          <w:sz w:val="18"/>
          <w:szCs w:val="18"/>
        </w:rPr>
        <w:t xml:space="preserve">注：以上信息整理自大赛官网（www.aicomp.cn），具体以官方最新通知为准。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2026-09-17T09:38:53.805Z</dcterms:created>
  <dcterms:modified xsi:type="dcterms:W3CDTF">2026-09-17T09:38:53.812Z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