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二维安卓应用  核对稿</w:t>
      </w:r>
    </w:p>
    <w:p>
      <w:pPr>
        <w:pStyle w:val="Title"/>
      </w:pPr>
      <w:r>
        <w:t>OurCampus校园应用佐证材料</w:t>
      </w:r>
    </w:p>
    <w:p>
      <w:r>
        <w:t>把校园信息连到地点和操作。作品以二维地图为入口，AUV整理用户描述，系统核对地点，再提供查看与导航入口。本稿用实际代码校验和对照示例解释技术优势。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3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</w:t>
      </w:r>
      <w:r>
        <w:fldChar w:fldCharType="begin"/>
        <w:instrText xml:space="preserve"> SEQ Figure \* ARABIC </w:instrText>
        <w:fldChar w:fldCharType="separate"/>
        <w:t>1</w:t>
        <w:fldChar w:fldCharType="end"/>
      </w:r>
      <w:r>
        <w:t xml:space="preserve"> 当前应用的技术分工</w:t>
      </w:r>
    </w:p>
    <w:p>
      <w:pPr>
        <w:pStyle w:val="Caption"/>
        <w:keepNext/>
      </w:pPr>
      <w:r>
        <w:t>表</w:t>
      </w:r>
      <w:r>
        <w:fldChar w:fldCharType="begin"/>
        <w:instrText xml:space="preserve"> SEQ Table \* ARABIC </w:instrText>
        <w:fldChar w:fldCharType="separate"/>
        <w:t>1</w:t>
        <w:fldChar w:fldCharType="end"/>
      </w:r>
      <w:r>
        <w:t xml:space="preserve"> 本轮已取得的证据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94"/>
        <w:gridCol w:w="4309"/>
      </w:tblGrid>
      <w:tr>
        <w:trPr>
          <w:tblHeader/>
        </w:trPr>
        <w:tc>
          <w:tcPr>
            <w:tcW w:type="dxa" w:w="2268"/>
            <w:vAlign w:val="center"/>
            <w:shd w:val="clear" w:fill="E8EEE9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2494"/>
            <w:vAlign w:val="center"/>
            <w:shd w:val="clear" w:fill="E8EEE9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结果</w:t>
            </w:r>
          </w:p>
        </w:tc>
        <w:tc>
          <w:tcPr>
            <w:tcW w:type="dxa" w:w="4309"/>
            <w:vAlign w:val="center"/>
            <w:shd w:val="clear" w:fill="E8EEE9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证明什么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地点目录</w:t>
            </w:r>
          </w:p>
        </w:tc>
        <w:tc>
          <w:tcPr>
            <w:tcW w:type="dxa" w:w="2494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前端与网关均为68项</w:t>
            </w:r>
          </w:p>
        </w:tc>
        <w:tc>
          <w:tcPr>
            <w:tcW w:type="dxa" w:w="4309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地点编号和显示名称已统一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离线校验</w:t>
            </w:r>
          </w:p>
        </w:tc>
        <w:tc>
          <w:tcPr>
            <w:tcW w:type="dxa" w:w="2494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236/240项通过</w:t>
            </w:r>
          </w:p>
        </w:tc>
        <w:tc>
          <w:tcPr>
            <w:tcW w:type="dxa" w:w="4309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核对、分流、资料传递与异常处理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前端回归</w:t>
            </w:r>
          </w:p>
        </w:tc>
        <w:tc>
          <w:tcPr>
            <w:tcW w:type="dxa" w:w="2494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103/103通过</w:t>
            </w:r>
          </w:p>
        </w:tc>
        <w:tc>
          <w:tcPr>
            <w:tcW w:type="dxa" w:w="4309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当前受测代码符合更新后的约定</w:t>
            </w:r>
          </w:p>
        </w:tc>
      </w:tr>
    </w:tbl>
    <w:p>
      <w:pPr>
        <w:spacing w:after="60" w:before="0"/>
      </w:pPr>
    </w:p>
    <w:p>
      <w:r>
        <w:rPr>
          <w:sz w:val="18"/>
        </w:rPr>
        <w:t>本稿不含开发日期时间线。模型在线质量、最新APK真机操作和用户反馈待补齐，不能把本轮离线结果当成这些成果。</w:t>
      </w:r>
    </w:p>
    <w:p>
      <w:r>
        <w:br w:type="page"/>
      </w:r>
    </w:p>
    <w:p>
      <w:pPr>
        <w:pStyle w:val="Subtitle"/>
      </w:pPr>
      <w:r>
        <w:t>产品形态</w:t>
      </w:r>
    </w:p>
    <w:p>
      <w:pPr>
        <w:pStyle w:val="Heading1"/>
      </w:pPr>
      <w:r>
        <w:t>二维地图是实际服务入口</w:t>
      </w:r>
    </w:p>
    <w:p>
      <w:r>
        <w:t>从地点搜索、详情卡片到导航入口，用户在同一应用中继续操作。AUV也可返回地点卡片，减少“问完后还要重新找地方”的切换。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al_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</w:t>
      </w:r>
      <w:r>
        <w:fldChar w:fldCharType="begin"/>
        <w:instrText xml:space="preserve"> SEQ Figure \* ARABIC </w:instrText>
        <w:fldChar w:fldCharType="separate"/>
        <w:t>2</w:t>
        <w:fldChar w:fldCharType="end"/>
      </w:r>
      <w:r>
        <w:t xml:space="preserve"> 仓库历史界面局部展示  旧地点标注已遮盖和模糊</w:t>
      </w:r>
    </w:p>
    <w:p>
      <w:r>
        <w:rPr>
          <w:sz w:val="18"/>
        </w:rPr>
        <w:t>图2仅说明留存的界面形态，不作为本次实体手机验收。当前源码已更新，历史1.7安装包未在本机重新构建；正式截图应来自待验收的新包。</w:t>
      </w:r>
    </w:p>
    <w:p>
      <w:r>
        <w:br w:type="page"/>
      </w:r>
    </w:p>
    <w:p>
      <w:pPr>
        <w:pStyle w:val="Subtitle"/>
      </w:pPr>
      <w:r>
        <w:t>优势一 地点可靠</w:t>
      </w:r>
    </w:p>
    <w:p>
      <w:pPr>
        <w:pStyle w:val="Heading1"/>
      </w:pPr>
      <w:r>
        <w:t>先核对地点 再提供操作</w:t>
      </w:r>
    </w:p>
    <w:p>
      <w:r>
        <w:t>“模型给了一个地名”不等于“用户说的是这个地方”。当前系统仅接受原文可明确匹配的地点，或用户手动选择的地点。无地点时留空，多地点时提示选择。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ong_pl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</w:t>
      </w:r>
      <w:r>
        <w:fldChar w:fldCharType="begin"/>
        <w:instrText xml:space="preserve"> SEQ Figure \* ARABIC </w:instrText>
        <w:fldChar w:fldCharType="separate"/>
        <w:t>3</w:t>
        <w:fldChar w:fldCharType="end"/>
      </w:r>
      <w:r>
        <w:t xml:space="preserve"> 错误地点注入实验  直接采信一侧为处理方式模拟</w:t>
      </w:r>
    </w:p>
    <w:p>
      <w:r>
        <w:rPr>
          <w:sz w:val="18"/>
        </w:rPr>
        <w:t>原始注入内容和实际接受结果见评测包。模型的摘要与建议仍需在线检查；地点核对通过不代表整段文字没有错误。</w:t>
      </w:r>
    </w:p>
    <w:p>
      <w:r>
        <w:br w:type="page"/>
      </w:r>
    </w:p>
    <w:p>
      <w:pPr>
        <w:pStyle w:val="Subtitle"/>
      </w:pPr>
      <w:r>
        <w:t>优势一 地点可靠</w:t>
      </w:r>
    </w:p>
    <w:p>
      <w:pPr>
        <w:pStyle w:val="Heading1"/>
      </w:pPr>
      <w:r>
        <w:t>简称和编号也能落到同一地点</w:t>
      </w:r>
    </w:p>
    <w:p>
      <w:r>
        <w:t>地点有标准名称、口语别名和公寓编号。系统用同一地点编号连接草稿、地点卡片和地图动作，避免把“11公寓”误认成“1公寓”。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0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_examp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</w:t>
      </w:r>
      <w:r>
        <w:fldChar w:fldCharType="begin"/>
        <w:instrText xml:space="preserve"> SEQ Figure \* ARABIC </w:instrText>
        <w:fldChar w:fldCharType="separate"/>
        <w:t>4</w:t>
        <w:fldChar w:fldCharType="end"/>
      </w:r>
      <w:r>
        <w:t xml:space="preserve"> 当前代码的四类地点处理示例</w:t>
      </w:r>
    </w:p>
    <w:p>
      <w:pPr>
        <w:pStyle w:val="Caption"/>
        <w:keepNext/>
      </w:pPr>
      <w:r>
        <w:t>表</w:t>
      </w:r>
      <w:r>
        <w:fldChar w:fldCharType="begin"/>
        <w:instrText xml:space="preserve"> SEQ Table \* ARABIC </w:instrText>
        <w:fldChar w:fldCharType="separate"/>
        <w:t>2</w:t>
        <w:fldChar w:fldCharType="end"/>
      </w:r>
      <w:r>
        <w:t xml:space="preserve"> 地点校验覆盖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2154"/>
        <w:gridCol w:w="2155"/>
      </w:tblGrid>
      <w:tr>
        <w:trPr>
          <w:tblHeader/>
        </w:trPr>
        <w:tc>
          <w:tcPr>
            <w:tcW w:type="dxa" w:w="4762"/>
            <w:vAlign w:val="center"/>
            <w:shd w:val="clear" w:fill="E8EEE9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输入情况</w:t>
            </w:r>
          </w:p>
        </w:tc>
        <w:tc>
          <w:tcPr>
            <w:tcW w:type="dxa" w:w="2154"/>
            <w:vAlign w:val="center"/>
            <w:shd w:val="clear" w:fill="E8EEE9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题数</w:t>
            </w:r>
          </w:p>
        </w:tc>
        <w:tc>
          <w:tcPr>
            <w:tcW w:type="dxa" w:w="2155"/>
            <w:vAlign w:val="center"/>
            <w:shd w:val="clear" w:fill="E8EEE9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通过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标准地名 / 编号别名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20 / 20</w:t>
            </w:r>
          </w:p>
        </w:tc>
        <w:tc>
          <w:tcPr>
            <w:tcW w:type="dxa" w:w="2155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20 / 20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相邻编号边界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155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缺失 / 多地点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20 / 20</w:t>
            </w:r>
          </w:p>
        </w:tc>
        <w:tc>
          <w:tcPr>
            <w:tcW w:type="dxa" w:w="2155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20 / 20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用户手动选择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155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20</w:t>
            </w:r>
          </w:p>
        </w:tc>
      </w:tr>
    </w:tbl>
    <w:p>
      <w:pPr>
        <w:spacing w:after="60" w:before="0"/>
      </w:pPr>
    </w:p>
    <w:p>
      <w:r>
        <w:rPr>
          <w:sz w:val="18"/>
        </w:rPr>
        <w:t>120项是合成回归题，包含模板重复；结果支持这些受测规则，不代表全部自然语言地点识别都已通过。</w:t>
      </w:r>
    </w:p>
    <w:p>
      <w:r>
        <w:br w:type="page"/>
      </w:r>
    </w:p>
    <w:p>
      <w:pPr>
        <w:pStyle w:val="Subtitle"/>
      </w:pPr>
      <w:r>
        <w:t>优势二 资料辅助</w:t>
      </w:r>
    </w:p>
    <w:p>
      <w:pPr>
        <w:pStyle w:val="Heading1"/>
      </w:pPr>
      <w:r>
        <w:t>回答前先准备校园资料</w:t>
      </w:r>
    </w:p>
    <w:p>
      <w:r>
        <w:t>校园问题需要具体资料。当前处理链向AUV传入地点、服务及可取得的有效动态，并要求未知信息保持未知；动态读取失败会另作提示。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</w:t>
      </w:r>
      <w:r>
        <w:fldChar w:fldCharType="begin"/>
        <w:instrText xml:space="preserve"> SEQ Figure \* ARABIC </w:instrText>
        <w:fldChar w:fldCharType="separate"/>
        <w:t>5</w:t>
        <w:fldChar w:fldCharType="end"/>
      </w:r>
      <w:r>
        <w:t xml:space="preserve"> 资料传递与缺失信息提示</w:t>
      </w:r>
    </w:p>
    <w:p>
      <w:r>
        <w:rPr>
          <w:sz w:val="18"/>
        </w:rPr>
        <w:t>60/60项离线资料传递检查通过。这里的模型回复为占位内容，只验证资料怎样进入请求；真实回答是否准确，留待180条在线质量题及人工评分。</w:t>
      </w:r>
    </w:p>
    <w:p>
      <w:r>
        <w:br w:type="page"/>
      </w:r>
    </w:p>
    <w:p>
      <w:pPr>
        <w:pStyle w:val="Subtitle"/>
      </w:pPr>
      <w:r>
        <w:t>优势三 按需处理</w:t>
      </w:r>
    </w:p>
    <w:p>
      <w:pPr>
        <w:pStyle w:val="Heading1"/>
      </w:pPr>
      <w:r>
        <w:t>不是每条消息都交给模型</w:t>
      </w:r>
    </w:p>
    <w:p>
      <w:r>
        <w:t>紧急情况先显示应急联络提示；失物和互助信息转向适合的渠道；校园事件再交给AUV整理。处理方式与用户任务一致，比统一生成一段回答更便于继续操作。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0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</w:t>
      </w:r>
      <w:r>
        <w:fldChar w:fldCharType="begin"/>
        <w:instrText xml:space="preserve"> SEQ Figure \* ARABIC </w:instrText>
        <w:fldChar w:fldCharType="separate"/>
        <w:t>6</w:t>
        <w:fldChar w:fldCharType="end"/>
      </w:r>
      <w:r>
        <w:t xml:space="preserve"> 典型消息的处理路径与已发现的否定句缺口</w:t>
      </w:r>
    </w:p>
    <w:p>
      <w:r>
        <w:rPr>
          <w:sz w:val="18"/>
        </w:rPr>
        <w:t>分流测试36/40项通过。应急提示在登录校验之后触发，不能替代电话求助或紧急服务；当前否定与转述句仍会出现误触发。</w:t>
      </w:r>
    </w:p>
    <w:p>
      <w:r>
        <w:br w:type="page"/>
      </w:r>
    </w:p>
    <w:p>
      <w:pPr>
        <w:pStyle w:val="Subtitle"/>
      </w:pPr>
      <w:r>
        <w:t>运行可靠性</w:t>
      </w:r>
    </w:p>
    <w:p>
      <w:pPr>
        <w:pStyle w:val="Heading1"/>
      </w:pPr>
      <w:r>
        <w:t>出错时也要让用户知道发生了什么</w:t>
      </w:r>
    </w:p>
    <w:p>
      <w:r>
        <w:t>可靠性不仅是“返回一句话”。未登录、失效地址、错误格式、频率限制和上游失败，都应返回可理解的提示，并保护输入和服务配置。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0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</w:t>
      </w:r>
      <w:r>
        <w:fldChar w:fldCharType="begin"/>
        <w:instrText xml:space="preserve"> SEQ Figure \* ARABIC </w:instrText>
        <w:fldChar w:fldCharType="separate"/>
        <w:t>7</w:t>
        <w:fldChar w:fldCharType="end"/>
      </w:r>
      <w:r>
        <w:t xml:space="preserve"> 当前网关与客户端的异常处理设计</w:t>
      </w:r>
    </w:p>
    <w:p>
      <w:r>
        <w:rPr>
          <w:sz w:val="18"/>
        </w:rPr>
        <w:t>20/20项可控协议及故障注入检查通过；原有网关8个测试用例全部通过。故障由测试程序制造，不是线上长期可用率或压力测试。</w:t>
      </w:r>
    </w:p>
    <w:p>
      <w:r>
        <w:br w:type="page"/>
      </w:r>
    </w:p>
    <w:p>
      <w:pPr>
        <w:pStyle w:val="Subtitle"/>
      </w:pPr>
      <w:r>
        <w:t>评测设计</w:t>
      </w:r>
    </w:p>
    <w:p>
      <w:pPr>
        <w:pStyle w:val="Heading1"/>
      </w:pPr>
      <w:r>
        <w:t>240项检查分别回答四个问题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6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leve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</w:t>
      </w:r>
      <w:r>
        <w:fldChar w:fldCharType="begin"/>
        <w:instrText xml:space="preserve"> SEQ Figure \* ARABIC </w:instrText>
        <w:fldChar w:fldCharType="separate"/>
        <w:t>8</w:t>
        <w:fldChar w:fldCharType="end"/>
      </w:r>
      <w:r>
        <w:t xml:space="preserve"> 三类证据的职责范围</w:t>
      </w:r>
    </w:p>
    <w:p>
      <w:pPr>
        <w:pStyle w:val="Caption"/>
        <w:keepNext/>
      </w:pPr>
      <w:r>
        <w:t>表</w:t>
      </w:r>
      <w:r>
        <w:fldChar w:fldCharType="begin"/>
        <w:instrText xml:space="preserve"> SEQ Table \* ARABIC </w:instrText>
        <w:fldChar w:fldCharType="separate"/>
        <w:t>3</w:t>
        <w:fldChar w:fldCharType="end"/>
      </w:r>
      <w:r>
        <w:t xml:space="preserve"> 离线测试的输入和判断方法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1417"/>
        <w:gridCol w:w="5556"/>
      </w:tblGrid>
      <w:tr>
        <w:trPr>
          <w:tblHeader/>
        </w:trPr>
        <w:tc>
          <w:tcPr>
            <w:tcW w:type="dxa" w:w="2098"/>
            <w:vAlign w:val="center"/>
            <w:shd w:val="clear" w:fill="E8EEE9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测试组</w:t>
            </w:r>
          </w:p>
        </w:tc>
        <w:tc>
          <w:tcPr>
            <w:tcW w:type="dxa" w:w="1417"/>
            <w:vAlign w:val="center"/>
            <w:shd w:val="clear" w:fill="E8EEE9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规模</w:t>
            </w:r>
          </w:p>
        </w:tc>
        <w:tc>
          <w:tcPr>
            <w:tcW w:type="dxa" w:w="5556"/>
            <w:vAlign w:val="center"/>
            <w:shd w:val="clear" w:fill="E8EEE9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判断方法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地点核对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120项</w:t>
            </w:r>
          </w:p>
        </w:tc>
        <w:tc>
          <w:tcPr>
            <w:tcW w:type="dxa" w:w="555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注入错误地点，核对实际接受地点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消息分流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40项</w:t>
            </w:r>
          </w:p>
        </w:tc>
        <w:tc>
          <w:tcPr>
            <w:tcW w:type="dxa" w:w="555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先定任务类别，再比处理路径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资料传递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60项</w:t>
            </w:r>
          </w:p>
        </w:tc>
        <w:tc>
          <w:tcPr>
            <w:tcW w:type="dxa" w:w="555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检查有效动态、缺失标记及选点资料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异常处理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20项</w:t>
            </w:r>
          </w:p>
        </w:tc>
        <w:tc>
          <w:tcPr>
            <w:tcW w:type="dxa" w:w="555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制造协议错误与服务故障，核对返回</w:t>
            </w:r>
          </w:p>
        </w:tc>
      </w:tr>
    </w:tbl>
    <w:p>
      <w:pPr>
        <w:spacing w:after="60" w:before="0"/>
      </w:pPr>
    </w:p>
    <w:p>
      <w:r>
        <w:rPr>
          <w:sz w:val="18"/>
        </w:rPr>
        <w:t>题目为人工规则化编写的合成场景，标准答案待第二位人员审核。检查与仓库训练输入完全相同的字符串为零；近义重叠未审阅，不声称独立泛化评测。</w:t>
      </w:r>
    </w:p>
    <w:p>
      <w:r>
        <w:br w:type="page"/>
      </w:r>
    </w:p>
    <w:p>
      <w:pPr>
        <w:pStyle w:val="Subtitle"/>
      </w:pPr>
      <w:r>
        <w:t>评测结果</w:t>
      </w:r>
    </w:p>
    <w:p>
      <w:pPr>
        <w:pStyle w:val="Heading1"/>
      </w:pPr>
      <w:r>
        <w:t>分项看结果 才能看清有效之处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80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_group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</w:t>
      </w:r>
      <w:r>
        <w:fldChar w:fldCharType="begin"/>
        <w:instrText xml:space="preserve"> SEQ Figure \* ARABIC </w:instrText>
        <w:fldChar w:fldCharType="separate"/>
        <w:t>9</w:t>
        <w:fldChar w:fldCharType="end"/>
      </w:r>
      <w:r>
        <w:t xml:space="preserve"> 当前离线测试的分项通过数量</w:t>
      </w:r>
    </w:p>
    <w:p>
      <w:r>
        <w:t>地点核对、资料传递和异常处理在本轮受测场景中均通过。消息分流的4项失败集中在否定或转述表达，应在下一轮扩展语句类型后改进。</w:t>
      </w:r>
    </w:p>
    <w:p>
      <w:r>
        <w:rPr>
          <w:sz w:val="18"/>
        </w:rPr>
        <w:t>总计236/240。该总数混合了不同检查，不命名为“AI准确率”，也不给项目或模型颁发综合评分。全部失败和原始结果随稿保存。</w:t>
      </w:r>
    </w:p>
    <w:p>
      <w:r>
        <w:br w:type="page"/>
      </w:r>
    </w:p>
    <w:p>
      <w:pPr>
        <w:pStyle w:val="Subtitle"/>
      </w:pPr>
      <w:r>
        <w:t>改进证据</w:t>
      </w:r>
    </w:p>
    <w:p>
      <w:pPr>
        <w:pStyle w:val="Heading1"/>
      </w:pPr>
      <w:r>
        <w:t>同一题集验证地点目录修复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08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_af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</w:t>
      </w:r>
      <w:r>
        <w:fldChar w:fldCharType="begin"/>
        <w:instrText xml:space="preserve"> SEQ Figure \* ARABIC </w:instrText>
        <w:fldChar w:fldCharType="separate"/>
        <w:t>10</w:t>
        <w:fldChar w:fldCharType="end"/>
      </w:r>
      <w:r>
        <w:t xml:space="preserve"> 同一120项地点题的修改前后结果</w:t>
      </w:r>
    </w:p>
    <w:p>
      <w:r>
        <w:t>修改前，静园和地下通道未进入网关目录，4条包含重复选点场景的题失败。补齐地点、统一名称后，120项地点检查全部通过；泛称“车间”仍保留歧义，不猜方位。</w:t>
      </w:r>
    </w:p>
    <w:p>
      <w:pPr>
        <w:pStyle w:val="Caption"/>
        <w:keepNext/>
      </w:pPr>
      <w:r>
        <w:t>表</w:t>
      </w:r>
      <w:r>
        <w:fldChar w:fldCharType="begin"/>
        <w:instrText xml:space="preserve"> SEQ Table \* ARABIC </w:instrText>
        <w:fldChar w:fldCharType="separate"/>
        <w:t>4</w:t>
        <w:fldChar w:fldCharType="end"/>
      </w:r>
      <w:r>
        <w:t xml:space="preserve"> 软件回归与构建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2721"/>
        <w:gridCol w:w="3232"/>
      </w:tblGrid>
      <w:tr>
        <w:trPr>
          <w:tblHeader/>
        </w:trPr>
        <w:tc>
          <w:tcPr>
            <w:tcW w:type="dxa" w:w="3118"/>
            <w:vAlign w:val="center"/>
            <w:shd w:val="clear" w:fill="E8EEE9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检查</w:t>
            </w:r>
          </w:p>
        </w:tc>
        <w:tc>
          <w:tcPr>
            <w:tcW w:type="dxa" w:w="2721"/>
            <w:vAlign w:val="center"/>
            <w:shd w:val="clear" w:fill="E8EEE9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修改前</w:t>
            </w:r>
          </w:p>
        </w:tc>
        <w:tc>
          <w:tcPr>
            <w:tcW w:type="dxa" w:w="3232"/>
            <w:vAlign w:val="center"/>
            <w:shd w:val="clear" w:fill="E8EEE9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本轮结果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前端测试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92/100</w:t>
            </w:r>
          </w:p>
        </w:tc>
        <w:tc>
          <w:tcPr>
            <w:tcW w:type="dxa" w:w="323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103/103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测试文件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323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18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网关测试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8个用例</w:t>
            </w:r>
          </w:p>
        </w:tc>
        <w:tc>
          <w:tcPr>
            <w:tcW w:type="dxa" w:w="323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8个通过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网页生产构建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本轮重新构建</w:t>
            </w:r>
          </w:p>
        </w:tc>
        <w:tc>
          <w:tcPr>
            <w:tcW w:type="dxa" w:w="323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成功，仍有大分包提示</w:t>
            </w:r>
          </w:p>
        </w:tc>
      </w:tr>
    </w:tbl>
    <w:p>
      <w:pPr>
        <w:spacing w:after="60" w:before="0"/>
      </w:pPr>
    </w:p>
    <w:p>
      <w:r>
        <w:rPr>
          <w:sz w:val="18"/>
        </w:rPr>
        <w:t>前端8个失败原为旧默认场景、旧地点数量等断言；本轮更新约定并新增3项目录测试。103/103不是性能提升率，也不代表新APK已经安装验证。</w:t>
      </w:r>
    </w:p>
    <w:p>
      <w:r>
        <w:br w:type="page"/>
      </w:r>
    </w:p>
    <w:p>
      <w:pPr>
        <w:pStyle w:val="Subtitle"/>
      </w:pPr>
      <w:r>
        <w:t>任务体验</w:t>
      </w:r>
    </w:p>
    <w:p>
      <w:pPr>
        <w:pStyle w:val="Heading1"/>
      </w:pPr>
      <w:r>
        <w:t>把优势落实到真实使用任务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484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task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</w:t>
      </w:r>
      <w:r>
        <w:fldChar w:fldCharType="begin"/>
        <w:instrText xml:space="preserve"> SEQ Figure \* ARABIC </w:instrText>
        <w:fldChar w:fldCharType="separate"/>
        <w:t>11</w:t>
        <w:fldChar w:fldCharType="end"/>
      </w:r>
      <w:r>
        <w:t xml:space="preserve"> 待组织的真实体验任务</w:t>
      </w:r>
    </w:p>
    <w:p>
      <w:r>
        <w:t>体验采用同一使用者对比两种方式，并交叉安排顺序。记录任务完成时间、成功或失败、求助次数，再收集具体评价。比单独填写满意度更容易说明哪一步有所改善。</w:t>
      </w:r>
    </w:p>
    <w:p>
      <w:pPr>
        <w:pStyle w:val="Caption"/>
        <w:keepNext/>
      </w:pPr>
      <w:r>
        <w:t>表</w:t>
      </w:r>
      <w:r>
        <w:fldChar w:fldCharType="begin"/>
        <w:instrText xml:space="preserve"> SEQ Table \* ARABIC </w:instrText>
        <w:fldChar w:fldCharType="separate"/>
        <w:t>5</w:t>
        <w:fldChar w:fldCharType="end"/>
      </w:r>
      <w:r>
        <w:t xml:space="preserve"> 当前体验证据状态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381"/>
        <w:gridCol w:w="4252"/>
      </w:tblGrid>
      <w:tr>
        <w:trPr>
          <w:tblHeader/>
        </w:trPr>
        <w:tc>
          <w:tcPr>
            <w:tcW w:type="dxa" w:w="2438"/>
            <w:vAlign w:val="center"/>
            <w:shd w:val="clear" w:fill="E8EEE9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2381"/>
            <w:vAlign w:val="center"/>
            <w:shd w:val="clear" w:fill="E8EEE9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4252"/>
            <w:vAlign w:val="center"/>
            <w:shd w:val="clear" w:fill="E8EEE9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已准备内容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新APK真机验收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待执行</w:t>
            </w:r>
          </w:p>
        </w:tc>
        <w:tc>
          <w:tcPr>
            <w:tcW w:type="dxa" w:w="425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12项手机操作记录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真实使用者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由负责人安排</w:t>
            </w:r>
          </w:p>
        </w:tc>
        <w:tc>
          <w:tcPr>
            <w:tcW w:type="dxa" w:w="425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12—20人的任务流程和问卷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问卷与邮件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未收集</w:t>
            </w:r>
          </w:p>
        </w:tc>
        <w:tc>
          <w:tcPr>
            <w:tcW w:type="dxa" w:w="425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不填样本数、满意率或评价</w:t>
            </w:r>
          </w:p>
        </w:tc>
      </w:tr>
    </w:tbl>
    <w:p>
      <w:pPr>
        <w:spacing w:after="60" w:before="0"/>
      </w:pPr>
    </w:p>
    <w:p>
      <w:r>
        <w:rPr>
          <w:sz w:val="18"/>
        </w:rPr>
        <w:t>本页为采集方案，不是用户反馈。采集包单独提供，真实数据返回后可用结果图和匿名评价替换本页。</w:t>
      </w:r>
    </w:p>
    <w:p>
      <w:r>
        <w:br w:type="page"/>
      </w:r>
    </w:p>
    <w:p>
      <w:pPr>
        <w:pStyle w:val="Subtitle"/>
      </w:pPr>
      <w:r>
        <w:t>方案比较</w:t>
      </w:r>
    </w:p>
    <w:p>
      <w:pPr>
        <w:pStyle w:val="Heading1"/>
      </w:pPr>
      <w:r>
        <w:t>把不同处理方式放在同一任务下</w:t>
      </w:r>
    </w:p>
    <w:p>
      <w:pPr>
        <w:pStyle w:val="Caption"/>
        <w:keepNext/>
      </w:pPr>
      <w:r>
        <w:t>表</w:t>
      </w:r>
      <w:r>
        <w:fldChar w:fldCharType="begin"/>
        <w:instrText xml:space="preserve"> SEQ Table \* ARABIC </w:instrText>
        <w:fldChar w:fldCharType="separate"/>
        <w:t>6</w:t>
        <w:fldChar w:fldCharType="end"/>
      </w:r>
      <w:r>
        <w:t xml:space="preserve"> 技术路径的机制对照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345"/>
        <w:gridCol w:w="3742"/>
      </w:tblGrid>
      <w:tr>
        <w:trPr>
          <w:tblHeader/>
        </w:trPr>
        <w:tc>
          <w:tcPr>
            <w:tcW w:type="dxa" w:w="1984"/>
            <w:vAlign w:val="center"/>
            <w:shd w:val="clear" w:fill="E8EEE9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3345"/>
            <w:vAlign w:val="center"/>
            <w:shd w:val="clear" w:fill="E8EEE9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单一处理方式</w:t>
            </w:r>
          </w:p>
        </w:tc>
        <w:tc>
          <w:tcPr>
            <w:tcW w:type="dxa" w:w="3742"/>
            <w:vAlign w:val="center"/>
            <w:shd w:val="clear" w:fill="E8EEE9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当前组合方式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地点不明确</w:t>
            </w:r>
          </w:p>
        </w:tc>
        <w:tc>
          <w:tcPr>
            <w:tcW w:type="dxa" w:w="3345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直接采用输出地点会引入误定位风险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地点留空或让用户选择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口语说明</w:t>
            </w:r>
          </w:p>
        </w:tc>
        <w:tc>
          <w:tcPr>
            <w:tcW w:type="dxa" w:w="3345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固定表单要求用户自行拆字段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AUV整理，地点另行核对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查询校园资料</w:t>
            </w:r>
          </w:p>
        </w:tc>
        <w:tc>
          <w:tcPr>
            <w:tcW w:type="dxa" w:w="3345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不提供资料时缺少校园依据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先准备资料，缺失状态单独提示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回答后的操作</w:t>
            </w:r>
          </w:p>
        </w:tc>
        <w:tc>
          <w:tcPr>
            <w:tcW w:type="dxa" w:w="3345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文本需要用户另找入口</w:t>
            </w:r>
          </w:p>
        </w:tc>
        <w:tc>
          <w:tcPr>
            <w:tcW w:type="dxa" w:w="374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地点卡片连接查看与导航入口</w:t>
            </w:r>
          </w:p>
        </w:tc>
      </w:tr>
    </w:tbl>
    <w:p>
      <w:pPr>
        <w:spacing w:after="60" w:before="0"/>
      </w:pPr>
    </w:p>
    <w:p>
      <w:r>
        <w:t>当前可识别的应用改进，是把语言理解、地点核对和地图操作接在一起。各环节保留不同职责，减少模型输出直接成为地点事实的机会。</w:t>
      </w:r>
    </w:p>
    <w:p>
      <w:r>
        <w:rPr>
          <w:sz w:val="18"/>
        </w:rPr>
        <w:t>这是机制比较，不是实际竞品评测。外部产品、文献和专利检索尚未完成，因此不使用“国内首创”“全球领先”或竞品准确率。检索方法见补证清单。</w:t>
      </w:r>
    </w:p>
    <w:p>
      <w:r>
        <w:br w:type="page"/>
      </w:r>
    </w:p>
    <w:p>
      <w:pPr>
        <w:pStyle w:val="Subtitle"/>
      </w:pPr>
      <w:r>
        <w:t>数据与使用边界</w:t>
      </w:r>
    </w:p>
    <w:p>
      <w:pPr>
        <w:pStyle w:val="Heading1"/>
      </w:pPr>
      <w:r>
        <w:t>用户主动提供信息后再处理</w:t>
      </w:r>
    </w:p>
    <w:p>
      <w:pPr>
        <w:pStyle w:val="Caption"/>
        <w:keepNext/>
      </w:pPr>
      <w:r>
        <w:t>表</w:t>
      </w:r>
      <w:r>
        <w:fldChar w:fldCharType="begin"/>
        <w:instrText xml:space="preserve"> SEQ Table \* ARABIC </w:instrText>
        <w:fldChar w:fldCharType="separate"/>
        <w:t>7</w:t>
        <w:fldChar w:fldCharType="end"/>
      </w:r>
      <w:r>
        <w:t xml:space="preserve"> 当前资料与数据流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4309"/>
        <w:gridCol w:w="2721"/>
      </w:tblGrid>
      <w:tr>
        <w:trPr>
          <w:tblHeader/>
        </w:trPr>
        <w:tc>
          <w:tcPr>
            <w:tcW w:type="dxa" w:w="2041"/>
            <w:vAlign w:val="center"/>
            <w:shd w:val="clear" w:fill="E8EEE9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信息</w:t>
            </w:r>
          </w:p>
        </w:tc>
        <w:tc>
          <w:tcPr>
            <w:tcW w:type="dxa" w:w="4309"/>
            <w:vAlign w:val="center"/>
            <w:shd w:val="clear" w:fill="E8EEE9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实际处理范围</w:t>
            </w:r>
          </w:p>
        </w:tc>
        <w:tc>
          <w:tcPr>
            <w:tcW w:type="dxa" w:w="2721"/>
            <w:vAlign w:val="center"/>
            <w:shd w:val="clear" w:fill="E8EEE9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需要继续核对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地点 / 定位</w:t>
            </w:r>
          </w:p>
        </w:tc>
        <w:tc>
          <w:tcPr>
            <w:tcW w:type="dxa" w:w="4309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地点可手选；定位由用户触发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真机权限与拒绝场景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对话 / 建议</w:t>
            </w:r>
          </w:p>
        </w:tc>
        <w:tc>
          <w:tcPr>
            <w:tcW w:type="dxa" w:w="4309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主动发送文本及最近对话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线上存储、日志保留规则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课表</w:t>
            </w:r>
          </w:p>
        </w:tc>
        <w:tc>
          <w:tcPr>
            <w:tcW w:type="dxa" w:w="4309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本机导入；先预览再主动发送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真机文件选择与匿名示例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账号 / 大厅</w:t>
            </w:r>
          </w:p>
        </w:tc>
        <w:tc>
          <w:tcPr>
            <w:tcW w:type="dxa" w:w="4309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通过后端会话及权限使用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云端配置与双账号实测</w:t>
            </w:r>
          </w:p>
        </w:tc>
      </w:tr>
    </w:tbl>
    <w:p>
      <w:pPr>
        <w:spacing w:after="60" w:before="0"/>
      </w:pPr>
    </w:p>
    <w:p>
      <w:r>
        <w:t>训练资料和测试题需注明来源；当前离线题不是实际学生聊天。第三方地图、模型和软件组件各有使用条件，作品贡献主要在应用组织及核对流程，不把组件本身列为团队原创。</w:t>
      </w:r>
    </w:p>
    <w:p>
      <w:r>
        <w:rPr>
          <w:sz w:val="18"/>
        </w:rPr>
        <w:t>发布隐私政策前须由负责人补齐运营主体、联系途径、存储期限与账号处理方式。当前不主张已经完成隐私合规认证。</w:t>
      </w:r>
    </w:p>
    <w:p>
      <w:r>
        <w:br w:type="page"/>
      </w:r>
    </w:p>
    <w:p>
      <w:pPr>
        <w:pStyle w:val="Subtitle"/>
      </w:pPr>
      <w:r>
        <w:t>证据查阅</w:t>
      </w:r>
    </w:p>
    <w:p>
      <w:pPr>
        <w:pStyle w:val="Heading1"/>
      </w:pPr>
      <w:r>
        <w:t>无需打开GitHub也能核对本稿</w:t>
      </w:r>
    </w:p>
    <w:p>
      <w:pPr>
        <w:pStyle w:val="Caption"/>
        <w:keepNext/>
      </w:pPr>
      <w:r>
        <w:t>表</w:t>
      </w:r>
      <w:r>
        <w:fldChar w:fldCharType="begin"/>
        <w:instrText xml:space="preserve"> SEQ Table \* ARABIC </w:instrText>
        <w:fldChar w:fldCharType="separate"/>
        <w:t>8</w:t>
        <w:fldChar w:fldCharType="end"/>
      </w:r>
      <w:r>
        <w:t xml:space="preserve"> 随稿证据入口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123"/>
      </w:tblGrid>
      <w:tr>
        <w:trPr>
          <w:tblHeader/>
        </w:trPr>
        <w:tc>
          <w:tcPr>
            <w:tcW w:type="dxa" w:w="2948"/>
            <w:vAlign w:val="center"/>
            <w:shd w:val="clear" w:fill="E8EEE9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结论</w:t>
            </w:r>
          </w:p>
        </w:tc>
        <w:tc>
          <w:tcPr>
            <w:tcW w:type="dxa" w:w="6123"/>
            <w:vAlign w:val="center"/>
            <w:shd w:val="clear" w:fill="E8EEE9"/>
          </w:tcPr>
          <w:p>
            <w:pPr>
              <w:spacing w:after="0" w:line="269" w:lineRule="auto"/>
              <w:jc w:val="left"/>
            </w:pPr>
            <w:r>
              <w:rPr>
                <w:b/>
                <w:sz w:val="19"/>
              </w:rPr>
              <w:t>附件位置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240项离线结果</w:t>
            </w:r>
          </w:p>
        </w:tc>
        <w:tc>
          <w:tcPr>
            <w:tcW w:type="dxa" w:w="6123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核验附件/evaluation/offline_results.json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修改前后对照</w:t>
            </w:r>
          </w:p>
        </w:tc>
        <w:tc>
          <w:tcPr>
            <w:tcW w:type="dxa" w:w="6123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offline_before_results.json及两份summary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题目和评分口径</w:t>
            </w:r>
          </w:p>
        </w:tc>
        <w:tc>
          <w:tcPr>
            <w:tcW w:type="dxa" w:w="6123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formal_cases.json、benchmark_manifest.json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前端与网关测试</w:t>
            </w:r>
          </w:p>
        </w:tc>
        <w:tc>
          <w:tcPr>
            <w:tcW w:type="dxa" w:w="6123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核验附件/frontend_before.json、frontend_after.json、gateway_tests.txt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本轮源码改动</w:t>
            </w:r>
          </w:p>
        </w:tc>
        <w:tc>
          <w:tcPr>
            <w:tcW w:type="dxa" w:w="6123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核验附件/源码变更.patch及source_baseline.json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后续在线评测</w:t>
            </w:r>
          </w:p>
        </w:tc>
        <w:tc>
          <w:tcPr>
            <w:tcW w:type="dxa" w:w="6123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evaluation/online_quality_cases.json、online_runner.mjs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手机和真实反馈</w:t>
            </w:r>
          </w:p>
        </w:tc>
        <w:tc>
          <w:tcPr>
            <w:tcW w:type="dxa" w:w="6123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采集包/手机验收与用户体验采集.md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查重与创新检索</w:t>
            </w:r>
          </w:p>
        </w:tc>
        <w:tc>
          <w:tcPr>
            <w:tcW w:type="dxa" w:w="6123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9"/>
              </w:rPr>
              <w:t>采集包/后续补证清单.md</w:t>
            </w:r>
          </w:p>
        </w:tc>
      </w:tr>
    </w:tbl>
    <w:p>
      <w:pPr>
        <w:spacing w:after="60" w:before="0"/>
      </w:pPr>
    </w:p>
    <w:p>
      <w:r>
        <w:t>正式提交前补齐：新APK安装记录、真实模型质量评测、使用者反馈和外部创新检索。本稿已经取得的证据与待补项目分开列示，便于按原始记录替换成稿。</w:t>
      </w:r>
    </w:p>
    <w:p>
      <w:r>
        <w:rPr>
          <w:sz w:val="18"/>
        </w:rPr>
        <w:t>规则来源：官方附件1第1—2页的真实、匿名与单一PDF要求；第4页评分表。附件2第2—3页提供报告内容参考。两个附件未规定Git记录、开发周期、购买查重报告或具体复制比门槛。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417" w:bottom="1020" w:left="141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OurCampus  二维应用佐证材料  核对稿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80"/>
    </w:pPr>
    <w:rPr>
      <w:rFonts w:ascii="微软雅黑" w:hAnsi="微软雅黑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2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20" w:line="240" w:lineRule="auto" w:before="10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b w:val="0"/>
      <w:i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微软雅黑" w:hAnsi="微软雅黑" w:eastAsia="微软雅黑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OurCampus校园应用佐证材料</dc:title>
  <dc:subject>二维应用佐证材料核对稿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