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Insurance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**Insurance Type**: Medical Insurance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**Policy Number**: INS202400123456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**Policy Date**: 2024-01-01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**Coverage Amount**: 1,000,000 RMB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**Beneficiary**: John Smith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9r77fp8mb2h" w:id="0"/>
      <w:bookmarkEnd w:id="0"/>
      <w:r w:rsidDel="00000000" w:rsidR="00000000" w:rsidRPr="00000000">
        <w:rPr>
          <w:rtl w:val="0"/>
        </w:rPr>
        <w:t xml:space="preserve">## incident Information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Incident date: 2034-12-09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Estimate loss: $89723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Incident details: 投保人酒后驾驶劳斯莱斯，冲撞一辆奔驰轿车，导致奔驰轿车车主重伤。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