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</w:p>
    <w:bookmarkStart w:id="29" w:name="first-authorships"/>
    <w:p>
      <w:pPr>
        <w:pStyle w:val="Heading1"/>
      </w:pPr>
      <w:r>
        <w:t xml:space="preserve">First authorships</w:t>
      </w:r>
    </w:p>
    <w:bookmarkStart w:id="28" w:name="refs--1"/>
    <w:bookmarkStart w:id="21" w:name="ref-10.3389/fendo.2022.882998--1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The risk of major osteoporotic fractures with GLP-1 receptor agonists when compared to DPP-4 inhibitors: A danish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https://doi.org/10.3389/fendo.2022.882998</w:t>
        </w:r>
      </w:hyperlink>
    </w:p>
    <w:bookmarkEnd w:id="21"/>
    <w:bookmarkStart w:id="23" w:name="ref-10.3389/fendo.2022.861422--1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is not associated with an increased risk of osteoporotic fractures when compared to GLP-1 receptor agonists: A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https://doi.org/10.3389/fendo.2022.861422</w:t>
        </w:r>
      </w:hyperlink>
    </w:p>
    <w:bookmarkEnd w:id="23"/>
    <w:bookmarkStart w:id="25" w:name="ref-10.21926/obm.geriatr.2002123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Langdahl, B., Vestergaard, P., Gregersen, S., &amp; Starup-Linde, J. (2020).</w:t>
      </w:r>
      <w:r>
        <w:t xml:space="preserve"> </w:t>
      </w:r>
      <w:r>
        <w:rPr>
          <w:i/>
          <w:iCs/>
        </w:rPr>
        <w:t xml:space="preserve">Bone health in the elderly with type 2 diabetes mellitus–a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OBM Geriatrics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(2), 1–65.</w:t>
      </w:r>
      <w:r>
        <w:t xml:space="preserve"> </w:t>
      </w:r>
      <w:hyperlink r:id="rId24">
        <w:r>
          <w:rPr>
            <w:rStyle w:val="Hyperlink"/>
          </w:rPr>
          <w:t xml:space="preserve">https://doi.org/10.21926/obm.geriatr.2002123</w:t>
        </w:r>
      </w:hyperlink>
    </w:p>
    <w:bookmarkEnd w:id="25"/>
    <w:bookmarkStart w:id="27" w:name="ref-10.1007/s11914-020-00638-8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Vries, F. de, Bergh, J. P. van den, Harsløf, T., Langdahl, B., Gregersen, S., &amp; Starup-Linde, J. (2020).</w:t>
      </w:r>
      <w:r>
        <w:t xml:space="preserve"> </w:t>
      </w:r>
      <w:r>
        <w:rPr>
          <w:i/>
          <w:iCs/>
        </w:rPr>
        <w:t xml:space="preserve">Glucose-lowering drugs and fracture risk—a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(6), 737–758.</w:t>
      </w:r>
      <w:r>
        <w:t xml:space="preserve"> </w:t>
      </w:r>
      <w:hyperlink r:id="rId26">
        <w:r>
          <w:rPr>
            <w:rStyle w:val="Hyperlink"/>
          </w:rPr>
          <w:t xml:space="preserve">https://doi.org/10.1007/s11914-020-00638-8</w:t>
        </w:r>
      </w:hyperlink>
    </w:p>
    <w:bookmarkEnd w:id="27"/>
    <w:bookmarkEnd w:id="28"/>
    <w:bookmarkEnd w:id="29"/>
    <w:bookmarkStart w:id="47" w:name="co-authorships"/>
    <w:p>
      <w:pPr>
        <w:pStyle w:val="Heading1"/>
      </w:pPr>
      <w:r>
        <w:t xml:space="preserve">Co-authorships</w:t>
      </w:r>
    </w:p>
    <w:bookmarkStart w:id="46" w:name="refs--2"/>
    <w:bookmarkStart w:id="31" w:name="ref-10.3390/nu16193232--2"/>
    <w:p>
      <w:pPr>
        <w:pStyle w:val="FirstParagraph"/>
      </w:pPr>
      <w:r>
        <w:t xml:space="preserve">Mellbye, F. D., Nguyen, M. D., Hermansen, K., Jeppesen, P. B.,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Ringgaard, S., &amp; Gregersen, S. (2024).</w:t>
      </w:r>
      <w:r>
        <w:t xml:space="preserve"> </w:t>
      </w:r>
      <w:r>
        <w:rPr>
          <w:i/>
          <w:iCs/>
        </w:rPr>
        <w:t xml:space="preserve">Effects of 12-week supplementation with coffee diterpene cafestol in healthy subjects with increased waist circumference: A randomized, placebo-controlled trial</w:t>
      </w:r>
      <w:r>
        <w:t xml:space="preserve">.</w:t>
      </w:r>
      <w:r>
        <w:t xml:space="preserve"> </w:t>
      </w:r>
      <w:r>
        <w:rPr>
          <w:i/>
          <w:iCs/>
        </w:rPr>
        <w:t xml:space="preserve">Nutrients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(19), 3232.</w:t>
      </w:r>
      <w:r>
        <w:t xml:space="preserve"> </w:t>
      </w:r>
      <w:hyperlink r:id="rId30">
        <w:r>
          <w:rPr>
            <w:rStyle w:val="Hyperlink"/>
          </w:rPr>
          <w:t xml:space="preserve">https://doi.org/10.3390/nu16193232</w:t>
        </w:r>
      </w:hyperlink>
    </w:p>
    <w:bookmarkEnd w:id="31"/>
    <w:bookmarkStart w:id="33" w:name="ref-10.1007/s12020-024-03789-1--2"/>
    <w:p>
      <w:pPr>
        <w:pStyle w:val="BodyText"/>
      </w:pPr>
      <w:r>
        <w:t xml:space="preserve">Starup-Linde, J., Westberg-Rasmussen, S., Viggers, R.,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Handberg, A., Vestergaard, P., &amp; Gregersen, S. (2024).</w:t>
      </w:r>
      <w:r>
        <w:t xml:space="preserve"> </w:t>
      </w:r>
      <w:r>
        <w:rPr>
          <w:i/>
          <w:iCs/>
        </w:rPr>
        <w:t xml:space="preserve">Serum osteoglycin is stable during various glycemic challenges in healthy men</w:t>
      </w:r>
      <w:r>
        <w:t xml:space="preserve">.</w:t>
      </w:r>
      <w:r>
        <w:t xml:space="preserve"> </w:t>
      </w:r>
      <w:r>
        <w:rPr>
          <w:i/>
          <w:iCs/>
        </w:rPr>
        <w:t xml:space="preserve">Endocrine</w:t>
      </w:r>
      <w:r>
        <w:t xml:space="preserve">,</w:t>
      </w:r>
      <w:r>
        <w:t xml:space="preserve"> </w:t>
      </w:r>
      <w:r>
        <w:rPr>
          <w:i/>
          <w:iCs/>
        </w:rPr>
        <w:t xml:space="preserve">85</w:t>
      </w:r>
      <w:r>
        <w:t xml:space="preserve">(3), 1117–1121.</w:t>
      </w:r>
      <w:r>
        <w:t xml:space="preserve"> </w:t>
      </w:r>
      <w:hyperlink r:id="rId32">
        <w:r>
          <w:rPr>
            <w:rStyle w:val="Hyperlink"/>
          </w:rPr>
          <w:t xml:space="preserve">https://doi.org/10.1007/s12020-024-03789-1</w:t>
        </w:r>
      </w:hyperlink>
    </w:p>
    <w:bookmarkEnd w:id="33"/>
    <w:bookmarkStart w:id="35" w:name="ref-10.1111/dom.15220--2"/>
    <w:p>
      <w:pPr>
        <w:pStyle w:val="BodyText"/>
      </w:pPr>
      <w:r>
        <w:t xml:space="preserve">Hulten, V. van, Driessen, J. H. M., Starup-Linde, J. K.,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Viggers, R., Klungel, O. H., Souverein, P. C., Vestergaard, P., Stehouwer, C. D. A., &amp; Bergh, J. P. van den. (2023).</w:t>
      </w:r>
      <w:r>
        <w:t xml:space="preserve"> </w:t>
      </w:r>
      <w:r>
        <w:rPr>
          <w:i/>
          <w:iCs/>
        </w:rPr>
        <w:t xml:space="preserve">The associations of sodium-glucose cotransporter-2 inhibitors versus dipeptidyl peptidase-4 inhibitors as add-on to metformin with fracture risk in patients with type 2 diabetes mellitus</w:t>
      </w:r>
      <w:r>
        <w:t xml:space="preserve">.</w:t>
      </w:r>
      <w:r>
        <w:t xml:space="preserve"> </w:t>
      </w:r>
      <w:r>
        <w:rPr>
          <w:i/>
          <w:iCs/>
        </w:rPr>
        <w:t xml:space="preserve">Diabetes, Obesity and Metabolism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(11), 3235–3247.</w:t>
      </w:r>
      <w:r>
        <w:t xml:space="preserve"> </w:t>
      </w:r>
      <w:hyperlink r:id="rId34">
        <w:r>
          <w:rPr>
            <w:rStyle w:val="Hyperlink"/>
          </w:rPr>
          <w:t xml:space="preserve">https://doi.org/10.1111/dom.15220</w:t>
        </w:r>
      </w:hyperlink>
    </w:p>
    <w:bookmarkEnd w:id="35"/>
    <w:bookmarkStart w:id="37" w:name="ref-10.3389/fendo.2021.826997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(2022).</w:t>
      </w:r>
      <w:r>
        <w:t xml:space="preserve"> </w:t>
      </w:r>
      <w:r>
        <w:rPr>
          <w:i/>
          <w:iCs/>
        </w:rPr>
        <w:t xml:space="preserve">The efficacy of alendronate versus denosumab on major osteoporotic fracture risk in elderly patients with diabetes mellitus: A danish retrospective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https://doi.org/10.3389/fendo.2021.826997</w:t>
        </w:r>
      </w:hyperlink>
    </w:p>
    <w:bookmarkEnd w:id="37"/>
    <w:bookmarkStart w:id="39" w:name="ref-10.1016/j.jacc.2020.11.059--2"/>
    <w:p>
      <w:pPr>
        <w:pStyle w:val="BodyText"/>
      </w:pPr>
      <w:r>
        <w:t xml:space="preserve">Al-Mashhadi, R. H., Al-Mashhadi, A. L., Nasr, Z. P., Mortensen, M. B., Lewis, E. A., Camafeita, E., Ravlo, K.,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Kjær, D. W., Palmfeldt, J., Bie, P., Jensen, J. M., Nørgaard, B. L., Falk, E., Vázquez, J., &amp; Bentzon, J. F. (2021).</w:t>
      </w:r>
      <w:r>
        <w:t xml:space="preserve"> </w:t>
      </w:r>
      <w:r>
        <w:rPr>
          <w:i/>
          <w:iCs/>
        </w:rPr>
        <w:t xml:space="preserve">Local pressure drives low-density lipoprotein accumulation and coronary atherosclerosis in hypertensive minipigs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(5), 575–589.</w:t>
      </w:r>
      <w:r>
        <w:t xml:space="preserve"> </w:t>
      </w:r>
      <w:hyperlink r:id="rId38">
        <w:r>
          <w:rPr>
            <w:rStyle w:val="Hyperlink"/>
          </w:rPr>
          <w:t xml:space="preserve">https://doi.org/10.1016/j.jacc.2020.11.059</w:t>
        </w:r>
      </w:hyperlink>
    </w:p>
    <w:bookmarkEnd w:id="39"/>
    <w:bookmarkStart w:id="41" w:name="ref-10.3389/fendo.2021.771426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(2021).</w:t>
      </w:r>
      <w:r>
        <w:t xml:space="preserve"> </w:t>
      </w:r>
      <w:r>
        <w:rPr>
          <w:i/>
          <w:iCs/>
        </w:rPr>
        <w:t xml:space="preserve">Alendronate use and risk of type 2 diabetes: A nationwide danish nested case-control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https://doi.org/10.3389/fendo.2021.771426</w:t>
        </w:r>
      </w:hyperlink>
    </w:p>
    <w:bookmarkEnd w:id="41"/>
    <w:bookmarkStart w:id="43" w:name="ref-10.1007/s11914-020-00597-0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Fuglsang-Nielsen, R., Gregersen, S., &amp; Starup-Linde, J. (2020).</w:t>
      </w:r>
      <w:r>
        <w:t xml:space="preserve"> </w:t>
      </w:r>
      <w:r>
        <w:rPr>
          <w:i/>
          <w:iCs/>
        </w:rPr>
        <w:t xml:space="preserve">The impact of exercise on bone health in type 2 diabetes mellitus—a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(4), 357–370.</w:t>
      </w:r>
      <w:r>
        <w:t xml:space="preserve"> </w:t>
      </w:r>
      <w:hyperlink r:id="rId42">
        <w:r>
          <w:rPr>
            <w:rStyle w:val="Hyperlink"/>
          </w:rPr>
          <w:t xml:space="preserve">https://doi.org/10.1007/s11914-020-00597-0</w:t>
        </w:r>
      </w:hyperlink>
    </w:p>
    <w:bookmarkEnd w:id="43"/>
    <w:bookmarkStart w:id="45" w:name="ref-10.1016/j.jacc.2019.06.057--2"/>
    <w:p>
      <w:pPr>
        <w:pStyle w:val="BodyText"/>
      </w:pPr>
      <w:r>
        <w:t xml:space="preserve">Al-Mashhadi, R. H., Tolbod, L. P., Bloch, L. Ø., Bjørklund, M. M., Nasr, Z. P.,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Winterdahl, M., Frøkiær, J., Falk, E., &amp; Bentzon, J. F. (2019).</w:t>
      </w:r>
      <w:r>
        <w:t xml:space="preserve"> </w:t>
      </w:r>
      <w:r>
        <w:rPr>
          <w:i/>
          <w:iCs/>
        </w:rPr>
        <w:t xml:space="preserve">18Fluorodeoxyglucose accumulation in arterial tissues determined by PET signal analysis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(9), 1220–1232.</w:t>
      </w:r>
      <w:r>
        <w:t xml:space="preserve"> </w:t>
      </w:r>
      <w:hyperlink r:id="rId44">
        <w:r>
          <w:rPr>
            <w:rStyle w:val="Hyperlink"/>
          </w:rPr>
          <w:t xml:space="preserve">https://doi.org/10.1016/j.jacc.2019.06.057</w:t>
        </w:r>
      </w:hyperlink>
    </w:p>
    <w:bookmarkEnd w:id="45"/>
    <w:bookmarkEnd w:id="46"/>
    <w:bookmarkEnd w:id="47"/>
    <w:bookmarkStart w:id="52" w:name="conference-abstracts"/>
    <w:p>
      <w:pPr>
        <w:pStyle w:val="Heading1"/>
      </w:pPr>
      <w:r>
        <w:t xml:space="preserve">Conference abstracts</w:t>
      </w:r>
    </w:p>
    <w:bookmarkStart w:id="51" w:name="refs--3"/>
    <w:bookmarkStart w:id="48" w:name="X2ded13e158432903c9d6e6af615b84a2402e69d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Fracture risk in treatment with</w:t>
      </w:r>
      <w:r>
        <w:rPr>
          <w:i/>
          <w:iCs/>
        </w:rPr>
        <w:t xml:space="preserve"> </w:t>
      </w:r>
      <w:r>
        <w:rPr>
          <w:i/>
          <w:iCs/>
        </w:rPr>
        <w:t xml:space="preserve">GLP-1RA</w:t>
      </w:r>
      <w:r>
        <w:rPr>
          <w:i/>
          <w:iCs/>
        </w:rPr>
        <w:t xml:space="preserve"> </w:t>
      </w:r>
      <w:r>
        <w:rPr>
          <w:i/>
          <w:iCs/>
        </w:rPr>
        <w:t xml:space="preserve">compared to</w:t>
      </w:r>
      <w:r>
        <w:rPr>
          <w:i/>
          <w:iCs/>
        </w:rPr>
        <w:t xml:space="preserve"> </w:t>
      </w:r>
      <w:r>
        <w:rPr>
          <w:i/>
          <w:iCs/>
        </w:rPr>
        <w:t xml:space="preserve">DPP-4i</w:t>
      </w:r>
      <w:r>
        <w:rPr>
          <w:i/>
          <w:iCs/>
        </w:rPr>
        <w:t xml:space="preserve">: A</w:t>
      </w:r>
      <w:r>
        <w:rPr>
          <w:i/>
          <w:iCs/>
        </w:rPr>
        <w:t xml:space="preserve"> </w:t>
      </w:r>
      <w:r>
        <w:rPr>
          <w:i/>
          <w:iCs/>
        </w:rPr>
        <w:t xml:space="preserve">Danish</w:t>
      </w:r>
      <w:r>
        <w:rPr>
          <w:i/>
          <w:iCs/>
        </w:rPr>
        <w:t xml:space="preserve"> </w:t>
      </w:r>
      <w:r>
        <w:rPr>
          <w:i/>
          <w:iCs/>
        </w:rPr>
        <w:t xml:space="preserve">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Diabetologia</w:t>
      </w:r>
      <w:r>
        <w:t xml:space="preserve">,</w:t>
      </w:r>
      <w:r>
        <w:t xml:space="preserve"> </w:t>
      </w:r>
      <w:r>
        <w:rPr>
          <w:i/>
          <w:iCs/>
        </w:rPr>
        <w:t xml:space="preserve">65, suppl. 1, Abstract no. 351</w:t>
      </w:r>
      <w:r>
        <w:t xml:space="preserve">, S183.</w:t>
      </w:r>
    </w:p>
    <w:bookmarkEnd w:id="48"/>
    <w:bookmarkStart w:id="50" w:name="ref-10.1530/endoabs.81.oc8.2--3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does not increase risk of osteoporotic fractures compared to GLP-1 receptor agonists: A danish population-based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Endocrine Abstracts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https://doi.org/10.1530/endoabs.81.oc8.2</w:t>
        </w:r>
      </w:hyperlink>
    </w:p>
    <w:bookmarkEnd w:id="50"/>
    <w:bookmarkEnd w:id="51"/>
    <w:bookmarkEnd w:id="52"/>
    <w:bookmarkStart w:id="55" w:name="works-in-progress"/>
    <w:p>
      <w:pPr>
        <w:pStyle w:val="Heading1"/>
      </w:pPr>
      <w:r>
        <w:t xml:space="preserve">Works in progress</w:t>
      </w:r>
    </w:p>
    <w:bookmarkStart w:id="54" w:name="refs--4"/>
    <w:bookmarkStart w:id="53" w:name="X407d9286c5d0e48e0ec21215ef9f9f92a41dfb0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Starup-Linde, J., Langdahl, B. L., van Hulten, V., van den Bergh, J. P., Driessen, J., Vestergaard, P., &amp; Gregersen, S. (n.d.).</w:t>
      </w:r>
      <w:r>
        <w:t xml:space="preserve"> </w:t>
      </w:r>
      <w:r>
        <w:rPr>
          <w:i/>
          <w:i/>
          <w:iCs/>
          <w:iCs/>
        </w:rPr>
        <w:t xml:space="preserve">Systemic glucocorticoid use increases fracture risk equally in those with and without type 2 diabetes mellitus: A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Danish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nationwide cohort study</w:t>
      </w:r>
      <w:r>
        <w:t xml:space="preserve"> </w:t>
      </w:r>
      <w:r>
        <w:t xml:space="preserve">[Work in Progress].</w:t>
      </w:r>
    </w:p>
    <w:bookmarkEnd w:id="53"/>
    <w:bookmarkEnd w:id="54"/>
    <w:bookmarkEnd w:id="55"/>
    <w:sectPr w:rsidR="00BD57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BCE41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707626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8B0DAB"/>
    <w:rsid w:val="009E65BC"/>
    <w:rsid w:val="00BD2966"/>
    <w:rsid w:val="00BD575D"/>
    <w:rsid w:val="00DB469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B0DAB"/>
    <w:pPr>
      <w:keepNext/>
      <w:keepLines/>
      <w:spacing w:after="80" w:before="360" w:line="480" w:lineRule="auto"/>
      <w:jc w:val="center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B0DAB"/>
    <w:pPr>
      <w:spacing w:after="180" w:before="180" w:line="360" w:lineRule="auto"/>
    </w:pPr>
    <w:rPr>
      <w:rFonts w:ascii="Aptos" w:hAnsi="Aptos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B0DAB"/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2025-07-07T16:54:33Z</dcterms:created>
  <dcterms:modified xsi:type="dcterms:W3CDTF">2025-07-07T16:54:33Z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ld-auth-name">
    <vt:lpwstr/>
  </property>
  <property fmtid="{D5CDD505-2E9C-101B-9397-08002B2CF9AE}" pid="4" name="csl">
    <vt:lpwstr>publistR_temp/publistR.csl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bibs-bibliography">
    <vt:lpwstr>publistR_temp/references.bib</vt:lpwstr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