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Перечень функциональных возможностей</w:t>
      </w:r>
    </w:p>
    <w:p>
      <w:pPr>
        <w:jc w:val="center"/>
      </w:pPr>
      <w:r>
        <w:rPr>
          <w:sz w:val="24"/>
        </w:rPr>
        <w:t>Сервис: CMS Monitoring Service (cms-monitoring-service)</w:t>
      </w:r>
    </w:p>
    <w:p>
      <w:pPr>
        <w:jc w:val="center"/>
      </w:pPr>
      <w:r>
        <w:t>Дата формирования: 17.05.2026</w:t>
      </w:r>
    </w:p>
    <w:p>
      <w:pPr>
        <w:pStyle w:val="Heading1"/>
      </w:pPr>
      <w:r>
        <w:t>1. Назначение сервиса</w:t>
      </w:r>
    </w:p>
    <w:p>
      <w:r>
        <w:t>CMS Monitoring Service — backend-сервис платформы Trustflow для управления рисковыми объектами, конфигурациями интеграций с внешними системами, очередью результатов мониторинга и фоновой обработкой pull-интеграций. Сервис предоставляет REST API (префикс /api), публикует события в Kafka и взаимодействует с compliance-auth-service (cms-auth-service) для проверки прав доступа.</w:t>
      </w:r>
    </w:p>
    <w:p>
      <w:pPr>
        <w:pStyle w:val="Heading1"/>
      </w:pPr>
      <w:r>
        <w:t>2. Роли пользователей</w:t>
      </w:r>
    </w:p>
    <w:p>
      <w:r>
        <w:t>В платформе используются роли, хранимые в compliance-auth-service и cms-company-info: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2F3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4535"/>
            <w:shd w:fill="D9E2F3"/>
          </w:tcPr>
          <w:p>
            <w:r>
              <w:rPr>
                <w:b/>
              </w:rPr>
              <w:t>Доступ к функциям мониторинга по умолчанию</w:t>
            </w:r>
          </w:p>
        </w:tc>
      </w:tr>
      <w:tr>
        <w:tc>
          <w:tcPr>
            <w:tcW w:type="dxa" w:w="1701"/>
          </w:tcPr>
          <w:p>
            <w:r>
              <w:t>EXECUTIVE</w:t>
            </w:r>
          </w:p>
        </w:tc>
        <w:tc>
          <w:tcPr>
            <w:tcW w:type="dxa" w:w="2551"/>
          </w:tcPr>
          <w:p>
            <w:r>
              <w:t>Руководитель / администратор компании</w:t>
            </w:r>
          </w:p>
        </w:tc>
        <w:tc>
          <w:tcPr>
            <w:tcW w:type="dxa" w:w="4535"/>
          </w:tcPr>
          <w:p>
            <w:r>
              <w:t>Полный доступ: при регистрации пользователю назначаются все permissions, включая MANAGE_INTEGRATIONS, VIEW_INTEGRATIONS_PAGE, MANAGE_RISK_OBJECTS</w:t>
            </w:r>
          </w:p>
        </w:tc>
      </w:tr>
      <w:tr>
        <w:tc>
          <w:tcPr>
            <w:tcW w:type="dxa" w:w="1701"/>
          </w:tcPr>
          <w:p>
            <w:r>
              <w:t>SUPERVISOR</w:t>
            </w:r>
          </w:p>
        </w:tc>
        <w:tc>
          <w:tcPr>
            <w:tcW w:type="dxa" w:w="2551"/>
          </w:tcPr>
          <w:p>
            <w:r>
              <w:t>Супервайзер</w:t>
            </w:r>
          </w:p>
        </w:tc>
        <w:tc>
          <w:tcPr>
            <w:tcW w:type="dxa" w:w="4535"/>
          </w:tcPr>
          <w:p>
            <w:r>
              <w:t>Доступ определяется индивидуально назначенными permissions (по умолчанию — пустой набор)</w:t>
            </w:r>
          </w:p>
        </w:tc>
      </w:tr>
      <w:tr>
        <w:tc>
          <w:tcPr>
            <w:tcW w:type="dxa" w:w="1701"/>
          </w:tcPr>
          <w:p>
            <w:r>
              <w:t>MANAGER</w:t>
            </w:r>
          </w:p>
        </w:tc>
        <w:tc>
          <w:tcPr>
            <w:tcW w:type="dxa" w:w="2551"/>
          </w:tcPr>
          <w:p>
            <w:r>
              <w:t>Менеджер</w:t>
            </w:r>
          </w:p>
        </w:tc>
        <w:tc>
          <w:tcPr>
            <w:tcW w:type="dxa" w:w="4535"/>
          </w:tcPr>
          <w:p>
            <w:r>
              <w:t>Доступ определяется индивидуально назначенными permissions (по умолчанию — пустой набор)</w:t>
            </w:r>
          </w:p>
        </w:tc>
      </w:tr>
      <w:tr>
        <w:tc>
          <w:tcPr>
            <w:tcW w:type="dxa" w:w="1701"/>
          </w:tcPr>
          <w:p>
            <w:r>
              <w:t>DEFAULT</w:t>
            </w:r>
          </w:p>
        </w:tc>
        <w:tc>
          <w:tcPr>
            <w:tcW w:type="dxa" w:w="2551"/>
          </w:tcPr>
          <w:p>
            <w:r>
              <w:t>Роль по умолчанию для новых пользователей</w:t>
            </w:r>
          </w:p>
        </w:tc>
        <w:tc>
          <w:tcPr>
            <w:tcW w:type="dxa" w:w="4535"/>
          </w:tcPr>
          <w:p>
            <w:r>
              <w:t>Доступ определяется индивидуально назначенными permissions (по умолчанию — пустой набор)</w:t>
            </w:r>
          </w:p>
        </w:tc>
      </w:tr>
    </w:tbl>
    <w:p/>
    <w:p>
      <w:pPr>
        <w:pStyle w:val="Heading1"/>
      </w:pPr>
      <w:r>
        <w:t>3. Модель контроля доступа</w:t>
      </w:r>
    </w:p>
    <w:p>
      <w:r>
        <w:t>Большинство операций требуют JWT Bearer-токена (глобальный AuthenticationGuard). Для ряда операций дополнительно выполняется проверка permission через GET /api/users/{userId}/permissions/check в compliance-auth-service. Permissions назначаются на уровне пользователя (не жёстко привязаны к роли), однако EXECUTIVE при создании получает полный набор прав.</w:t>
      </w:r>
    </w:p>
    <w:p>
      <w:pPr>
        <w:pStyle w:val="ListBullet"/>
      </w:pPr>
      <w:r>
        <w:t>Используемые в сервисе permissions:</w:t>
      </w:r>
    </w:p>
    <w:p>
      <w:pPr>
        <w:pStyle w:val="ListBullet2"/>
      </w:pPr>
      <w:r>
        <w:rPr>
          <w:b/>
        </w:rPr>
        <w:t xml:space="preserve">VIEW_INTEGRATIONS_PAGE — </w:t>
      </w:r>
      <w:r>
        <w:t>просмотр списка и карточки интеграций</w:t>
      </w:r>
    </w:p>
    <w:p>
      <w:pPr>
        <w:pStyle w:val="ListBullet2"/>
      </w:pPr>
      <w:r>
        <w:rPr>
          <w:b/>
        </w:rPr>
        <w:t xml:space="preserve">MANAGE_INTEGRATIONS — </w:t>
      </w:r>
      <w:r>
        <w:t>создание, изменение, удаление интеграций и смена статуса</w:t>
      </w:r>
    </w:p>
    <w:p>
      <w:pPr>
        <w:pStyle w:val="ListBullet2"/>
      </w:pPr>
      <w:r>
        <w:rPr>
          <w:b/>
        </w:rPr>
        <w:t xml:space="preserve">MANAGE_RISK_OBJECTS — </w:t>
      </w:r>
      <w:r>
        <w:t>удаление рисковых объектов</w:t>
      </w:r>
    </w:p>
    <w:p/>
    <w:p>
      <w:pPr>
        <w:pStyle w:val="ListBullet"/>
      </w:pPr>
      <w:r>
        <w:t>Условные обозначения в таблицах ниже:</w:t>
      </w:r>
    </w:p>
    <w:p>
      <w:pPr>
        <w:pStyle w:val="ListBullet2"/>
      </w:pPr>
      <w:r>
        <w:t>«Все роли с permission» — MANAGER / SUPERVISOR / DEFAULT / EXECUTIVE при наличии соответствующего permission у пользователя.</w:t>
      </w:r>
    </w:p>
    <w:p>
      <w:pPr>
        <w:pStyle w:val="ListBullet2"/>
      </w:pPr>
      <w:r>
        <w:t>«Любой аутентифицированный пользователь» — валидный JWT; отдельная проверка permission в коде не выполняется.</w:t>
      </w:r>
    </w:p>
    <w:p>
      <w:pPr>
        <w:pStyle w:val="ListBullet2"/>
      </w:pPr>
      <w:r>
        <w:t>«Системный (межсервисный)» — публичный эндпоинт без JWT; доступ только с localhost.</w:t>
      </w:r>
    </w:p>
    <w:p>
      <w:pPr>
        <w:pStyle w:val="Heading1"/>
      </w:pPr>
      <w:r>
        <w:t>4. REST API: рисковые объекты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567"/>
            <w:shd w:fill="D9E2F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</w:rPr>
              <w:t>HTTP / путь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</w:rPr>
              <w:t>Требуемый permission</w:t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</w:rPr>
              <w:t>Роли с доступом</w:t>
            </w:r>
          </w:p>
        </w:tc>
      </w:tr>
      <w:tr>
        <w:tc>
          <w:tcPr>
            <w:tcW w:type="dxa" w:w="567"/>
          </w:tcPr>
          <w:p>
            <w:r>
              <w:t>4.1</w:t>
            </w:r>
          </w:p>
        </w:tc>
        <w:tc>
          <w:tcPr>
            <w:tcW w:type="dxa" w:w="2551"/>
          </w:tcPr>
          <w:p>
            <w:r>
              <w:t>Создание рискового объекта</w:t>
            </w:r>
          </w:p>
        </w:tc>
        <w:tc>
          <w:tcPr>
            <w:tcW w:type="dxa" w:w="2551"/>
          </w:tcPr>
          <w:p>
            <w:r>
              <w:t>POST /api/risk-objects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4.2</w:t>
            </w:r>
          </w:p>
        </w:tc>
        <w:tc>
          <w:tcPr>
            <w:tcW w:type="dxa" w:w="2551"/>
          </w:tcPr>
          <w:p>
            <w:r>
              <w:t>Список рисковых объектов (постранично, поиск по имени)</w:t>
            </w:r>
          </w:p>
        </w:tc>
        <w:tc>
          <w:tcPr>
            <w:tcW w:type="dxa" w:w="2551"/>
          </w:tcPr>
          <w:p>
            <w:r>
              <w:t>GET /api/risk-objects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4.3</w:t>
            </w:r>
          </w:p>
        </w:tc>
        <w:tc>
          <w:tcPr>
            <w:tcW w:type="dxa" w:w="2551"/>
          </w:tcPr>
          <w:p>
            <w:r>
              <w:t>Краткий список моделей (id, name)</w:t>
            </w:r>
          </w:p>
        </w:tc>
        <w:tc>
          <w:tcPr>
            <w:tcW w:type="dxa" w:w="2551"/>
          </w:tcPr>
          <w:p>
            <w:r>
              <w:t>GET /api/risk-object-models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4.4</w:t>
            </w:r>
          </w:p>
        </w:tc>
        <w:tc>
          <w:tcPr>
            <w:tcW w:type="dxa" w:w="2551"/>
          </w:tcPr>
          <w:p>
            <w:r>
              <w:t>Детали рискового объекта по id</w:t>
            </w:r>
          </w:p>
        </w:tc>
        <w:tc>
          <w:tcPr>
            <w:tcW w:type="dxa" w:w="2551"/>
          </w:tcPr>
          <w:p>
            <w:r>
              <w:t>GET /api/risk-objects/{id}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4.5</w:t>
            </w:r>
          </w:p>
        </w:tc>
        <w:tc>
          <w:tcPr>
            <w:tcW w:type="dxa" w:w="2551"/>
          </w:tcPr>
          <w:p>
            <w:r>
              <w:t>Обновление рискового объекта</w:t>
            </w:r>
          </w:p>
        </w:tc>
        <w:tc>
          <w:tcPr>
            <w:tcW w:type="dxa" w:w="2551"/>
          </w:tcPr>
          <w:p>
            <w:r>
              <w:t>PUT /api/risk-objects/{id}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4.6</w:t>
            </w:r>
          </w:p>
        </w:tc>
        <w:tc>
          <w:tcPr>
            <w:tcW w:type="dxa" w:w="2551"/>
          </w:tcPr>
          <w:p>
            <w:r>
              <w:t>Смена статуса рискового объекта</w:t>
            </w:r>
          </w:p>
        </w:tc>
        <w:tc>
          <w:tcPr>
            <w:tcW w:type="dxa" w:w="2551"/>
          </w:tcPr>
          <w:p>
            <w:r>
              <w:t>PUT /api/risk-objects/{id}/status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4.7</w:t>
            </w:r>
          </w:p>
        </w:tc>
        <w:tc>
          <w:tcPr>
            <w:tcW w:type="dxa" w:w="2551"/>
          </w:tcPr>
          <w:p>
            <w:r>
              <w:t>Удаление рискового объекта</w:t>
            </w:r>
          </w:p>
        </w:tc>
        <w:tc>
          <w:tcPr>
            <w:tcW w:type="dxa" w:w="2551"/>
          </w:tcPr>
          <w:p>
            <w:r>
              <w:t>DELETE /api/risk-objects/{id}</w:t>
            </w:r>
          </w:p>
        </w:tc>
        <w:tc>
          <w:tcPr>
            <w:tcW w:type="dxa" w:w="1984"/>
          </w:tcPr>
          <w:p>
            <w:r>
              <w:t>MANAGE_RISK_OBJECTS</w:t>
            </w:r>
          </w:p>
        </w:tc>
        <w:tc>
          <w:tcPr>
            <w:tcW w:type="dxa" w:w="2835"/>
          </w:tcPr>
          <w:p>
            <w:r>
              <w:t>EXECUTIVE (по умолчанию); MANAGER / SUPERVISOR / DEFAULT — при назначении permission</w:t>
            </w:r>
          </w:p>
        </w:tc>
      </w:tr>
      <w:tr>
        <w:tc>
          <w:tcPr>
            <w:tcW w:type="dxa" w:w="567"/>
          </w:tcPr>
          <w:p>
            <w:r>
              <w:t>4.8</w:t>
            </w:r>
          </w:p>
        </w:tc>
        <w:tc>
          <w:tcPr>
            <w:tcW w:type="dxa" w:w="2551"/>
          </w:tcPr>
          <w:p>
            <w:r>
              <w:t>История изменений рисковых объектов (список)</w:t>
            </w:r>
          </w:p>
        </w:tc>
        <w:tc>
          <w:tcPr>
            <w:tcW w:type="dxa" w:w="2551"/>
          </w:tcPr>
          <w:p>
            <w:r>
              <w:t>GET /api/risk-objects/change-history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4.9</w:t>
            </w:r>
          </w:p>
        </w:tc>
        <w:tc>
          <w:tcPr>
            <w:tcW w:type="dxa" w:w="2551"/>
          </w:tcPr>
          <w:p>
            <w:r>
              <w:t>Детали записи истории изменений</w:t>
            </w:r>
          </w:p>
        </w:tc>
        <w:tc>
          <w:tcPr>
            <w:tcW w:type="dxa" w:w="2551"/>
          </w:tcPr>
          <w:p>
            <w:r>
              <w:t>GET /api/risk-objects/change-history/{historyId}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4.10</w:t>
            </w:r>
          </w:p>
        </w:tc>
        <w:tc>
          <w:tcPr>
            <w:tcW w:type="dxa" w:w="2551"/>
          </w:tcPr>
          <w:p>
            <w:r>
              <w:t>Получение рискового объекта по UUID (межсервисный)</w:t>
            </w:r>
          </w:p>
        </w:tc>
        <w:tc>
          <w:tcPr>
            <w:tcW w:type="dxa" w:w="2551"/>
          </w:tcPr>
          <w:p>
            <w:r>
              <w:t>GET /api/internal/risk-objects/{uuid}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Системный (межсервисный); без роли пользователя</w:t>
            </w:r>
          </w:p>
        </w:tc>
      </w:tr>
    </w:tbl>
    <w:p/>
    <w:p>
      <w:pPr>
        <w:pStyle w:val="Heading1"/>
      </w:pPr>
      <w:r>
        <w:t>5. REST API: конфигурации интеграций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567"/>
            <w:shd w:fill="D9E2F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</w:rPr>
              <w:t>HTTP / путь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</w:rPr>
              <w:t>Требуемый permission</w:t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</w:rPr>
              <w:t>Роли с доступом</w:t>
            </w:r>
          </w:p>
        </w:tc>
      </w:tr>
      <w:tr>
        <w:tc>
          <w:tcPr>
            <w:tcW w:type="dxa" w:w="567"/>
          </w:tcPr>
          <w:p>
            <w:r>
              <w:t>5.1</w:t>
            </w:r>
          </w:p>
        </w:tc>
        <w:tc>
          <w:tcPr>
            <w:tcW w:type="dxa" w:w="2551"/>
          </w:tcPr>
          <w:p>
            <w:r>
              <w:t>Создание конфигурации интеграции (push/pull/broker)</w:t>
            </w:r>
          </w:p>
        </w:tc>
        <w:tc>
          <w:tcPr>
            <w:tcW w:type="dxa" w:w="2551"/>
          </w:tcPr>
          <w:p>
            <w:r>
              <w:t>POST /api/integration-configs</w:t>
            </w:r>
          </w:p>
        </w:tc>
        <w:tc>
          <w:tcPr>
            <w:tcW w:type="dxa" w:w="1984"/>
          </w:tcPr>
          <w:p>
            <w:r>
              <w:t>MANAGE_INTEGRATIONS</w:t>
            </w:r>
          </w:p>
        </w:tc>
        <w:tc>
          <w:tcPr>
            <w:tcW w:type="dxa" w:w="2835"/>
          </w:tcPr>
          <w:p>
            <w:r>
              <w:t>EXECUTIVE (по умолчанию); остальные роли — при назначении permission</w:t>
            </w:r>
          </w:p>
        </w:tc>
      </w:tr>
      <w:tr>
        <w:tc>
          <w:tcPr>
            <w:tcW w:type="dxa" w:w="567"/>
          </w:tcPr>
          <w:p>
            <w:r>
              <w:t>5.2</w:t>
            </w:r>
          </w:p>
        </w:tc>
        <w:tc>
          <w:tcPr>
            <w:tcW w:type="dxa" w:w="2551"/>
          </w:tcPr>
          <w:p>
            <w:r>
              <w:t>Таблица интеграций (постранично, поиск по имени)</w:t>
            </w:r>
          </w:p>
        </w:tc>
        <w:tc>
          <w:tcPr>
            <w:tcW w:type="dxa" w:w="2551"/>
          </w:tcPr>
          <w:p>
            <w:r>
              <w:t>GET /api/integration-configs</w:t>
            </w:r>
          </w:p>
        </w:tc>
        <w:tc>
          <w:tcPr>
            <w:tcW w:type="dxa" w:w="1984"/>
          </w:tcPr>
          <w:p>
            <w:r>
              <w:t>VIEW_INTEGRATIONS_PAGE</w:t>
            </w:r>
          </w:p>
        </w:tc>
        <w:tc>
          <w:tcPr>
            <w:tcW w:type="dxa" w:w="2835"/>
          </w:tcPr>
          <w:p>
            <w:r>
              <w:t>EXECUTIVE (по умолчанию); остальные роли — при назначении permission</w:t>
            </w:r>
          </w:p>
        </w:tc>
      </w:tr>
      <w:tr>
        <w:tc>
          <w:tcPr>
            <w:tcW w:type="dxa" w:w="567"/>
          </w:tcPr>
          <w:p>
            <w:r>
              <w:t>5.3</w:t>
            </w:r>
          </w:p>
        </w:tc>
        <w:tc>
          <w:tcPr>
            <w:tcW w:type="dxa" w:w="2551"/>
          </w:tcPr>
          <w:p>
            <w:r>
              <w:t>Просмотр интеграции по id</w:t>
            </w:r>
          </w:p>
        </w:tc>
        <w:tc>
          <w:tcPr>
            <w:tcW w:type="dxa" w:w="2551"/>
          </w:tcPr>
          <w:p>
            <w:r>
              <w:t>GET /api/integration-configs/{id}</w:t>
            </w:r>
          </w:p>
        </w:tc>
        <w:tc>
          <w:tcPr>
            <w:tcW w:type="dxa" w:w="1984"/>
          </w:tcPr>
          <w:p>
            <w:r>
              <w:t>VIEW_INTEGRATIONS_PAGE</w:t>
            </w:r>
          </w:p>
        </w:tc>
        <w:tc>
          <w:tcPr>
            <w:tcW w:type="dxa" w:w="2835"/>
          </w:tcPr>
          <w:p>
            <w:r>
              <w:t>EXECUTIVE (по умолчанию); остальные роли — при назначении permission</w:t>
            </w:r>
          </w:p>
        </w:tc>
      </w:tr>
      <w:tr>
        <w:tc>
          <w:tcPr>
            <w:tcW w:type="dxa" w:w="567"/>
          </w:tcPr>
          <w:p>
            <w:r>
              <w:t>5.4</w:t>
            </w:r>
          </w:p>
        </w:tc>
        <w:tc>
          <w:tcPr>
            <w:tcW w:type="dxa" w:w="2551"/>
          </w:tcPr>
          <w:p>
            <w:r>
              <w:t>Сохранение изменений интеграции</w:t>
            </w:r>
          </w:p>
        </w:tc>
        <w:tc>
          <w:tcPr>
            <w:tcW w:type="dxa" w:w="2551"/>
          </w:tcPr>
          <w:p>
            <w:r>
              <w:t>PUT /api/integration-configs/{id}</w:t>
            </w:r>
          </w:p>
        </w:tc>
        <w:tc>
          <w:tcPr>
            <w:tcW w:type="dxa" w:w="1984"/>
          </w:tcPr>
          <w:p>
            <w:r>
              <w:t>MANAGE_INTEGRATIONS</w:t>
            </w:r>
          </w:p>
        </w:tc>
        <w:tc>
          <w:tcPr>
            <w:tcW w:type="dxa" w:w="2835"/>
          </w:tcPr>
          <w:p>
            <w:r>
              <w:t>EXECUTIVE (по умолчанию); остальные роли — при назначении permission</w:t>
            </w:r>
          </w:p>
        </w:tc>
      </w:tr>
      <w:tr>
        <w:tc>
          <w:tcPr>
            <w:tcW w:type="dxa" w:w="567"/>
          </w:tcPr>
          <w:p>
            <w:r>
              <w:t>5.5</w:t>
            </w:r>
          </w:p>
        </w:tc>
        <w:tc>
          <w:tcPr>
            <w:tcW w:type="dxa" w:w="2551"/>
          </w:tcPr>
          <w:p>
            <w:r>
              <w:t>Удаление интеграции</w:t>
            </w:r>
          </w:p>
        </w:tc>
        <w:tc>
          <w:tcPr>
            <w:tcW w:type="dxa" w:w="2551"/>
          </w:tcPr>
          <w:p>
            <w:r>
              <w:t>DELETE /api/integration-configs/{id}</w:t>
            </w:r>
          </w:p>
        </w:tc>
        <w:tc>
          <w:tcPr>
            <w:tcW w:type="dxa" w:w="1984"/>
          </w:tcPr>
          <w:p>
            <w:r>
              <w:t>MANAGE_INTEGRATIONS</w:t>
            </w:r>
          </w:p>
        </w:tc>
        <w:tc>
          <w:tcPr>
            <w:tcW w:type="dxa" w:w="2835"/>
          </w:tcPr>
          <w:p>
            <w:r>
              <w:t>EXECUTIVE (по умолчанию); остальные роли — при назначении permission</w:t>
            </w:r>
          </w:p>
        </w:tc>
      </w:tr>
      <w:tr>
        <w:tc>
          <w:tcPr>
            <w:tcW w:type="dxa" w:w="567"/>
          </w:tcPr>
          <w:p>
            <w:r>
              <w:t>5.6</w:t>
            </w:r>
          </w:p>
        </w:tc>
        <w:tc>
          <w:tcPr>
            <w:tcW w:type="dxa" w:w="2551"/>
          </w:tcPr>
          <w:p>
            <w:r>
              <w:t>Изменение флага активности / статуса интеграции</w:t>
            </w:r>
          </w:p>
        </w:tc>
        <w:tc>
          <w:tcPr>
            <w:tcW w:type="dxa" w:w="2551"/>
          </w:tcPr>
          <w:p>
            <w:r>
              <w:t>PUT /api/integration-configs/{id}/status</w:t>
            </w:r>
          </w:p>
        </w:tc>
        <w:tc>
          <w:tcPr>
            <w:tcW w:type="dxa" w:w="1984"/>
          </w:tcPr>
          <w:p>
            <w:r>
              <w:t>MANAGE_INTEGRATIONS</w:t>
            </w:r>
          </w:p>
        </w:tc>
        <w:tc>
          <w:tcPr>
            <w:tcW w:type="dxa" w:w="2835"/>
          </w:tcPr>
          <w:p>
            <w:r>
              <w:t>EXECUTIVE (по умолчанию); остальные роли — при назначении permission</w:t>
            </w:r>
          </w:p>
        </w:tc>
      </w:tr>
      <w:tr>
        <w:tc>
          <w:tcPr>
            <w:tcW w:type="dxa" w:w="567"/>
          </w:tcPr>
          <w:p>
            <w:r>
              <w:t>5.7</w:t>
            </w:r>
          </w:p>
        </w:tc>
        <w:tc>
          <w:tcPr>
            <w:tcW w:type="dxa" w:w="2551"/>
          </w:tcPr>
          <w:p>
            <w:r>
              <w:t>История изменений интеграций (список, поиск)</w:t>
            </w:r>
          </w:p>
        </w:tc>
        <w:tc>
          <w:tcPr>
            <w:tcW w:type="dxa" w:w="2551"/>
          </w:tcPr>
          <w:p>
            <w:r>
              <w:t>GET /api/integration-configs/change-history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5.8</w:t>
            </w:r>
          </w:p>
        </w:tc>
        <w:tc>
          <w:tcPr>
            <w:tcW w:type="dxa" w:w="2551"/>
          </w:tcPr>
          <w:p>
            <w:r>
              <w:t>Получение конфигурации интеграции по id (межсервисный)</w:t>
            </w:r>
          </w:p>
        </w:tc>
        <w:tc>
          <w:tcPr>
            <w:tcW w:type="dxa" w:w="2551"/>
          </w:tcPr>
          <w:p>
            <w:r>
              <w:t>GET /api/internal/integration-configs/{id}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Системный (межсервисный); без роли пользователя</w:t>
            </w:r>
          </w:p>
        </w:tc>
      </w:tr>
    </w:tbl>
    <w:p/>
    <w:p>
      <w:pPr>
        <w:pStyle w:val="Heading1"/>
      </w:pPr>
      <w:r>
        <w:t>6. REST API: результаты мониторинга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567"/>
            <w:shd w:fill="D9E2F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</w:rPr>
              <w:t>HTTP / путь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</w:rPr>
              <w:t>Требуемый permission</w:t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</w:rPr>
              <w:t>Роли с доступом</w:t>
            </w:r>
          </w:p>
        </w:tc>
      </w:tr>
      <w:tr>
        <w:tc>
          <w:tcPr>
            <w:tcW w:type="dxa" w:w="567"/>
          </w:tcPr>
          <w:p>
            <w:r>
              <w:t>6.1</w:t>
            </w:r>
          </w:p>
        </w:tc>
        <w:tc>
          <w:tcPr>
            <w:tcW w:type="dxa" w:w="2551"/>
          </w:tcPr>
          <w:p>
            <w:r>
              <w:t>Статистика очереди monitoring_result и monitoring_retry</w:t>
            </w:r>
          </w:p>
        </w:tc>
        <w:tc>
          <w:tcPr>
            <w:tcW w:type="dxa" w:w="2551"/>
          </w:tcPr>
          <w:p>
            <w:r>
              <w:t>GET /api/monitoring-results/statistics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Любой аутентифицированный пользователь</w:t>
            </w:r>
          </w:p>
        </w:tc>
      </w:tr>
      <w:tr>
        <w:tc>
          <w:tcPr>
            <w:tcW w:type="dxa" w:w="567"/>
          </w:tcPr>
          <w:p>
            <w:r>
              <w:t>6.2</w:t>
            </w:r>
          </w:p>
        </w:tc>
        <w:tc>
          <w:tcPr>
            <w:tcW w:type="dxa" w:w="2551"/>
          </w:tcPr>
          <w:p>
            <w:r>
              <w:t>Взять запись мониторинга в обработку (удаление из очереди)</w:t>
            </w:r>
          </w:p>
        </w:tc>
        <w:tc>
          <w:tcPr>
            <w:tcW w:type="dxa" w:w="2551"/>
          </w:tcPr>
          <w:p>
            <w:r>
              <w:t>PUT /api/monitoring-results/{id}/take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2835"/>
          </w:tcPr>
          <w:p>
            <w:r>
              <w:t>Системный вызов (без JWT); для фоновых воркеров платформы</w:t>
            </w:r>
          </w:p>
        </w:tc>
      </w:tr>
    </w:tbl>
    <w:p/>
    <w:p>
      <w:pPr>
        <w:pStyle w:val="Heading1"/>
      </w:pPr>
      <w:r>
        <w:t>7. Фоновые и системные возможности (без UI-роли)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D9E2F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4252"/>
            <w:shd w:fill="D9E2F3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</w:rPr>
              <w:t>Инициатор</w:t>
            </w:r>
          </w:p>
        </w:tc>
      </w:tr>
      <w:tr>
        <w:tc>
          <w:tcPr>
            <w:tcW w:type="dxa" w:w="567"/>
          </w:tcPr>
          <w:p>
            <w:r>
              <w:t>7.1</w:t>
            </w:r>
          </w:p>
        </w:tc>
        <w:tc>
          <w:tcPr>
            <w:tcW w:type="dxa" w:w="2268"/>
          </w:tcPr>
          <w:p>
            <w:r>
              <w:t>Периодический опрос pull-интеграций</w:t>
            </w:r>
          </w:p>
        </w:tc>
        <w:tc>
          <w:tcPr>
            <w:tcW w:type="dxa" w:w="4252"/>
          </w:tcPr>
          <w:p>
            <w:r>
              <w:t>POST на endpointUrl внешних систем по расписанию</w:t>
            </w:r>
          </w:p>
        </w:tc>
        <w:tc>
          <w:tcPr>
            <w:tcW w:type="dxa" w:w="2268"/>
          </w:tcPr>
          <w:p>
            <w:r>
              <w:t>Сервис (фоновый процесс)</w:t>
            </w:r>
          </w:p>
        </w:tc>
      </w:tr>
      <w:tr>
        <w:tc>
          <w:tcPr>
            <w:tcW w:type="dxa" w:w="567"/>
          </w:tcPr>
          <w:p>
            <w:r>
              <w:t>7.2</w:t>
            </w:r>
          </w:p>
        </w:tc>
        <w:tc>
          <w:tcPr>
            <w:tcW w:type="dxa" w:w="2268"/>
          </w:tcPr>
          <w:p>
            <w:r>
              <w:t>Обработка outbox-очереди входящих данных</w:t>
            </w:r>
          </w:p>
        </w:tc>
        <w:tc>
          <w:tcPr>
            <w:tcW w:type="dxa" w:w="4252"/>
          </w:tcPr>
          <w:p>
            <w:r>
              <w:t>Сохранение и маршрутизация данных мониторинга</w:t>
            </w:r>
          </w:p>
        </w:tc>
        <w:tc>
          <w:tcPr>
            <w:tcW w:type="dxa" w:w="2268"/>
          </w:tcPr>
          <w:p>
            <w:r>
              <w:t>Сервис (фоновый процесс)</w:t>
            </w:r>
          </w:p>
        </w:tc>
      </w:tr>
      <w:tr>
        <w:tc>
          <w:tcPr>
            <w:tcW w:type="dxa" w:w="567"/>
          </w:tcPr>
          <w:p>
            <w:r>
              <w:t>7.3</w:t>
            </w:r>
          </w:p>
        </w:tc>
        <w:tc>
          <w:tcPr>
            <w:tcW w:type="dxa" w:w="2268"/>
          </w:tcPr>
          <w:p>
            <w:r>
              <w:t>Публикация событий в Kafka (ws_events, risk_topic)</w:t>
            </w:r>
          </w:p>
        </w:tc>
        <w:tc>
          <w:tcPr>
            <w:tcW w:type="dxa" w:w="4252"/>
          </w:tcPr>
          <w:p>
            <w:r>
              <w:t>Статусы интеграций, счётчики вызовов, пайплайн рисков</w:t>
            </w:r>
          </w:p>
        </w:tc>
        <w:tc>
          <w:tcPr>
            <w:tcW w:type="dxa" w:w="2268"/>
          </w:tcPr>
          <w:p>
            <w:r>
              <w:t>Сервис (фоновый процесс)</w:t>
            </w:r>
          </w:p>
        </w:tc>
      </w:tr>
      <w:tr>
        <w:tc>
          <w:tcPr>
            <w:tcW w:type="dxa" w:w="567"/>
          </w:tcPr>
          <w:p>
            <w:r>
              <w:t>7.4</w:t>
            </w:r>
          </w:p>
        </w:tc>
        <w:tc>
          <w:tcPr>
            <w:tcW w:type="dxa" w:w="2268"/>
          </w:tcPr>
          <w:p>
            <w:r>
              <w:t>Миграции схемы PostgreSQL</w:t>
            </w:r>
          </w:p>
        </w:tc>
        <w:tc>
          <w:tcPr>
            <w:tcW w:type="dxa" w:w="4252"/>
          </w:tcPr>
          <w:p>
            <w:r>
              <w:t>Автоматический запуск при старте сервиса</w:t>
            </w:r>
          </w:p>
        </w:tc>
        <w:tc>
          <w:tcPr>
            <w:tcW w:type="dxa" w:w="2268"/>
          </w:tcPr>
          <w:p>
            <w:r>
              <w:t>Сервис при деплое</w:t>
            </w:r>
          </w:p>
        </w:tc>
      </w:tr>
      <w:tr>
        <w:tc>
          <w:tcPr>
            <w:tcW w:type="dxa" w:w="567"/>
          </w:tcPr>
          <w:p>
            <w:r>
              <w:t>7.5</w:t>
            </w:r>
          </w:p>
        </w:tc>
        <w:tc>
          <w:tcPr>
            <w:tcW w:type="dxa" w:w="2268"/>
          </w:tcPr>
          <w:p>
            <w:r>
              <w:t>Swagger-документация API</w:t>
            </w:r>
          </w:p>
        </w:tc>
        <w:tc>
          <w:tcPr>
            <w:tcW w:type="dxa" w:w="4252"/>
          </w:tcPr>
          <w:p>
            <w:r>
              <w:t>GET /api/docs</w:t>
            </w:r>
          </w:p>
        </w:tc>
        <w:tc>
          <w:tcPr>
            <w:tcW w:type="dxa" w:w="2268"/>
          </w:tcPr>
          <w:p>
            <w:r>
              <w:t>Разработчик / тестировщик (без проверки роли в коде)</w:t>
            </w:r>
          </w:p>
        </w:tc>
      </w:tr>
    </w:tbl>
    <w:p/>
    <w:p>
      <w:pPr>
        <w:pStyle w:val="Heading1"/>
      </w:pPr>
      <w:r>
        <w:t>8. Сводная матрица: permission →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2551"/>
            <w:shd w:fill="D9E2F3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</w:rPr>
              <w:t>EXECUTIVE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551"/>
          </w:tcPr>
          <w:p>
            <w:r>
              <w:t>VIEW_INTEGRATIONS_PAGE</w:t>
            </w:r>
          </w:p>
        </w:tc>
        <w:tc>
          <w:tcPr>
            <w:tcW w:type="dxa" w:w="1701"/>
          </w:tcPr>
          <w:p>
            <w:r>
              <w:t>Да (по умолчанию)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</w:tr>
      <w:tr>
        <w:tc>
          <w:tcPr>
            <w:tcW w:type="dxa" w:w="2551"/>
          </w:tcPr>
          <w:p>
            <w:r>
              <w:t>MANAGE_INTEGRATIONS</w:t>
            </w:r>
          </w:p>
        </w:tc>
        <w:tc>
          <w:tcPr>
            <w:tcW w:type="dxa" w:w="1701"/>
          </w:tcPr>
          <w:p>
            <w:r>
              <w:t>Да (по умолчанию)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</w:tr>
      <w:tr>
        <w:tc>
          <w:tcPr>
            <w:tcW w:type="dxa" w:w="2551"/>
          </w:tcPr>
          <w:p>
            <w:r>
              <w:t>MANAGE_RISK_OBJECTS</w:t>
            </w:r>
          </w:p>
        </w:tc>
        <w:tc>
          <w:tcPr>
            <w:tcW w:type="dxa" w:w="1701"/>
          </w:tcPr>
          <w:p>
            <w:r>
              <w:t>Да (по умолчанию)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  <w:tc>
          <w:tcPr>
            <w:tcW w:type="dxa" w:w="1701"/>
          </w:tcPr>
          <w:p>
            <w:r>
              <w:t>При назначении</w:t>
            </w:r>
          </w:p>
        </w:tc>
      </w:tr>
    </w:tbl>
    <w:p/>
    <w:p>
      <w:r>
        <w:rPr>
          <w:b/>
        </w:rPr>
        <w:t xml:space="preserve">Примечание. </w:t>
      </w:r>
      <w:r>
        <w:t>Назначение и изменение permissions для пользователей ролей MANAGER, SUPERVISOR и DEFAULT выполняется в compliance-auth-service пользователем с правом EDIT_USERS (как правило, EXECUTIVE). Источник данных: исходный код cms-monitoring-service и compliance-auth-service.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