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 w:eastAsia="Microsoft YaHei"/>
          <w:b/>
          <w:color w:val="2E74B5"/>
          <w:sz w:val="20"/>
        </w:rPr>
        <w:t>ENGINEERING SPECIFICATION</w:t>
      </w:r>
    </w:p>
    <w:p>
      <w:pPr>
        <w:spacing w:after="160"/>
      </w:pPr>
      <w:r>
        <w:rPr>
          <w:rFonts w:ascii="Calibri" w:hAnsi="Calibri" w:eastAsia="Microsoft YaHei"/>
          <w:b/>
          <w:color w:val="17365D"/>
          <w:sz w:val="58"/>
        </w:rPr>
        <w:t>个性化英语学习平台</w:t>
      </w:r>
    </w:p>
    <w:p>
      <w:pPr>
        <w:spacing w:after="400"/>
      </w:pPr>
      <w:r>
        <w:rPr>
          <w:rFonts w:ascii="Calibri" w:hAnsi="Calibri" w:eastAsia="Microsoft YaHei"/>
          <w:b/>
          <w:color w:val="1F4D78"/>
          <w:sz w:val="30"/>
        </w:rPr>
        <w:t>开发者文档 V1.1｜General + TOEFL 多租户 MVP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50"/>
        <w:gridCol w:w="6676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文档属性</w:t>
            </w:r>
          </w:p>
        </w:tc>
        <w:tc>
          <w:tcPr>
            <w:tcW w:type="dxa" w:w="66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状态</w:t>
            </w:r>
          </w:p>
        </w:tc>
        <w:tc>
          <w:tcPr>
            <w:tcW w:type="dxa" w:w="6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Accepted / 可进入开发拆分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版本</w:t>
            </w:r>
          </w:p>
        </w:tc>
        <w:tc>
          <w:tcPr>
            <w:tcW w:type="dxa" w:w="6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V1.1（保留 V1.0 原件）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发布日期</w:t>
            </w:r>
          </w:p>
        </w:tc>
        <w:tc>
          <w:tcPr>
            <w:tcW w:type="dxa" w:w="6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2026-07-10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目标读者</w:t>
            </w:r>
          </w:p>
        </w:tc>
        <w:tc>
          <w:tcPr>
            <w:tcW w:type="dxa" w:w="6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产品负责人、架构师、前后端工程师、测试与运维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产品形态</w:t>
            </w:r>
          </w:p>
        </w:tc>
        <w:tc>
          <w:tcPr>
            <w:tcW w:type="dxa" w:w="6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 Web 端；电脑和平板响应式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首发范围</w:t>
            </w:r>
          </w:p>
        </w:tc>
        <w:tc>
          <w:tcPr>
            <w:tcW w:type="dxa" w:w="6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General + TOEFL；客观题 + 文本写作；教师人工批改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核心架构</w:t>
            </w:r>
          </w:p>
        </w:tc>
        <w:tc>
          <w:tcPr>
            <w:tcW w:type="dxa" w:w="66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Next.js + NestJS 模块化单体 + Worker + PostgreSQL RLS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配套附件</w:t>
            </w:r>
          </w:p>
        </w:tc>
        <w:tc>
          <w:tcPr>
            <w:tcW w:type="dxa" w:w="66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data-model.md、openapi-v1.yaml、权限与租户测试矩阵.xlsx、ADR.md</w:t>
            </w:r>
          </w:p>
        </w:tc>
      </w:tr>
    </w:tbl>
    <w:p>
      <w:pPr>
        <w:spacing w:after="60"/>
      </w:pPr>
    </w:p>
    <w:p>
      <w:pPr>
        <w:pStyle w:val="LeadCallout"/>
        <w:shd w:fill="E2F0D9"/>
        <w:pBdr>
          <w:left w:val="single" w:sz="12" w:space="6" w:color="1A7F37"/>
        </w:pBdr>
      </w:pPr>
      <w:r>
        <w:rPr>
          <w:rFonts w:ascii="Calibri" w:hAnsi="Calibri" w:eastAsia="Microsoft YaHei"/>
          <w:b/>
          <w:color w:val="1A7F37"/>
        </w:rPr>
        <w:t xml:space="preserve">核心决策　</w:t>
      </w:r>
      <w:r>
        <w:rPr>
          <w:rFonts w:ascii="Calibri" w:hAnsi="Calibri" w:eastAsia="Microsoft YaHei"/>
          <w:color w:val="17365D"/>
        </w:rPr>
        <w:t>首版以严格多租户和可审计任务实例为基础，优先完成“分配—作答—评分—反馈”闭环；AI、口语、移动端和高级分析全部后置。</w:t>
      </w:r>
    </w:p>
    <w:p>
      <w:r>
        <w:rPr>
          <w:rFonts w:ascii="Calibri" w:hAnsi="Calibri" w:eastAsia="Microsoft YaHei"/>
          <w:color w:val="1F2937"/>
        </w:rPr>
        <w:t>本文件是 V1.1 主规格。数据表、字段与 RLS 细节以 data-model.md 为准；接口以 openapi-v1.yaml 为准；测试门禁以权限与租户测试矩阵.xlsx 为准；关键取舍以 ADR.md 为准。</w:t>
      </w:r>
    </w:p>
    <w:p>
      <w:r>
        <w:br w:type="page"/>
      </w:r>
    </w:p>
    <w:p>
      <w:bookmarkStart w:id="1" w:name="TOC"/>
      <w:bookmarkEnd w:id="1"/>
    </w:p>
    <w:p>
      <w:pPr>
        <w:pStyle w:val="Title"/>
        <w:spacing w:after="240"/>
      </w:pPr>
      <w:r>
        <w:rPr>
          <w:rFonts w:ascii="Calibri" w:hAnsi="Calibri" w:eastAsia="Microsoft YaHei"/>
          <w:b/>
          <w:color w:val="17365D"/>
          <w:sz w:val="44"/>
        </w:rPr>
        <w:t>目录</w:t>
      </w:r>
    </w:p>
    <w:p>
      <w:pPr>
        <w:keepLines/>
        <w:tabs>
          <w:tab w:pos="8640" w:val="left"/>
        </w:tabs>
        <w:spacing w:after="100"/>
      </w:pPr>
      <w:hyperlink w:anchor="sec_decisions" w:history="1">
        <w:r>
          <w:rPr>
            <w:color w:val="2E74B5"/>
            <w:u w:val="none"/>
          </w:rPr>
          <w:t>决策摘要</w:t>
        </w:r>
      </w:hyperlink>
      <w:r>
        <w:rPr>
          <w:rFonts w:ascii="Calibri" w:hAnsi="Calibri" w:eastAsia="Microsoft YaHei"/>
          <w:color w:val="667085"/>
          <w:sz w:val="20"/>
        </w:rPr>
        <w:tab/>
        <w:t>3</w:t>
      </w:r>
    </w:p>
    <w:p>
      <w:pPr>
        <w:keepLines/>
        <w:tabs>
          <w:tab w:pos="8640" w:val="left"/>
        </w:tabs>
        <w:spacing w:after="100"/>
      </w:pPr>
      <w:hyperlink w:anchor="sec_scope" w:history="1">
        <w:r>
          <w:rPr>
            <w:color w:val="2E74B5"/>
            <w:u w:val="none"/>
          </w:rPr>
          <w:t>MVP 边界与核心旅程</w:t>
        </w:r>
      </w:hyperlink>
      <w:r>
        <w:rPr>
          <w:rFonts w:ascii="Calibri" w:hAnsi="Calibri" w:eastAsia="Microsoft YaHei"/>
          <w:color w:val="667085"/>
          <w:sz w:val="20"/>
        </w:rPr>
        <w:tab/>
        <w:t>4</w:t>
      </w:r>
    </w:p>
    <w:p>
      <w:pPr>
        <w:keepLines/>
        <w:tabs>
          <w:tab w:pos="8640" w:val="left"/>
        </w:tabs>
        <w:spacing w:after="100"/>
      </w:pPr>
      <w:hyperlink w:anchor="sec_architecture" w:history="1">
        <w:r>
          <w:rPr>
            <w:color w:val="2E74B5"/>
            <w:u w:val="none"/>
          </w:rPr>
          <w:t>系统架构</w:t>
        </w:r>
      </w:hyperlink>
      <w:r>
        <w:rPr>
          <w:rFonts w:ascii="Calibri" w:hAnsi="Calibri" w:eastAsia="Microsoft YaHei"/>
          <w:color w:val="667085"/>
          <w:sz w:val="20"/>
        </w:rPr>
        <w:tab/>
        <w:t>5</w:t>
      </w:r>
    </w:p>
    <w:p>
      <w:pPr>
        <w:keepLines/>
        <w:tabs>
          <w:tab w:pos="8640" w:val="left"/>
        </w:tabs>
        <w:spacing w:after="100"/>
      </w:pPr>
      <w:hyperlink w:anchor="sec_tenant" w:history="1">
        <w:r>
          <w:rPr>
            <w:color w:val="2E74B5"/>
            <w:u w:val="none"/>
          </w:rPr>
          <w:t>身份、多租户与授权</w:t>
        </w:r>
      </w:hyperlink>
      <w:r>
        <w:rPr>
          <w:rFonts w:ascii="Calibri" w:hAnsi="Calibri" w:eastAsia="Microsoft YaHei"/>
          <w:color w:val="667085"/>
          <w:sz w:val="20"/>
        </w:rPr>
        <w:tab/>
        <w:t>6</w:t>
      </w:r>
    </w:p>
    <w:p>
      <w:pPr>
        <w:keepLines/>
        <w:tabs>
          <w:tab w:pos="8640" w:val="left"/>
        </w:tabs>
        <w:spacing w:after="100"/>
      </w:pPr>
      <w:hyperlink w:anchor="sec_domain" w:history="1">
        <w:r>
          <w:rPr>
            <w:color w:val="2E74B5"/>
            <w:u w:val="none"/>
          </w:rPr>
          <w:t>领域与数据模型</w:t>
        </w:r>
      </w:hyperlink>
      <w:r>
        <w:rPr>
          <w:rFonts w:ascii="Calibri" w:hAnsi="Calibri" w:eastAsia="Microsoft YaHei"/>
          <w:color w:val="667085"/>
          <w:sz w:val="20"/>
        </w:rPr>
        <w:tab/>
        <w:t>8</w:t>
      </w:r>
    </w:p>
    <w:p>
      <w:pPr>
        <w:keepLines/>
        <w:tabs>
          <w:tab w:pos="8640" w:val="left"/>
        </w:tabs>
        <w:spacing w:after="100"/>
      </w:pPr>
      <w:hyperlink w:anchor="sec_flows" w:history="1">
        <w:r>
          <w:rPr>
            <w:color w:val="2E74B5"/>
            <w:u w:val="none"/>
          </w:rPr>
          <w:t>核心业务流程</w:t>
        </w:r>
      </w:hyperlink>
      <w:r>
        <w:rPr>
          <w:rFonts w:ascii="Calibri" w:hAnsi="Calibri" w:eastAsia="Microsoft YaHei"/>
          <w:color w:val="667085"/>
          <w:sz w:val="20"/>
        </w:rPr>
        <w:tab/>
        <w:t>9</w:t>
      </w:r>
    </w:p>
    <w:p>
      <w:pPr>
        <w:keepLines/>
        <w:tabs>
          <w:tab w:pos="8640" w:val="left"/>
        </w:tabs>
        <w:spacing w:after="100"/>
      </w:pPr>
      <w:hyperlink w:anchor="sec_state" w:history="1">
        <w:r>
          <w:rPr>
            <w:color w:val="2E74B5"/>
            <w:u w:val="none"/>
          </w:rPr>
          <w:t>状态、并发与幂等</w:t>
        </w:r>
      </w:hyperlink>
      <w:r>
        <w:rPr>
          <w:rFonts w:ascii="Calibri" w:hAnsi="Calibri" w:eastAsia="Microsoft YaHei"/>
          <w:color w:val="667085"/>
          <w:sz w:val="20"/>
        </w:rPr>
        <w:tab/>
        <w:t>11</w:t>
      </w:r>
    </w:p>
    <w:p>
      <w:pPr>
        <w:keepLines/>
        <w:tabs>
          <w:tab w:pos="8640" w:val="left"/>
        </w:tabs>
        <w:spacing w:after="100"/>
      </w:pPr>
      <w:hyperlink w:anchor="sec_api" w:history="1">
        <w:r>
          <w:rPr>
            <w:color w:val="2E74B5"/>
            <w:u w:val="none"/>
          </w:rPr>
          <w:t>API 与工程契约</w:t>
        </w:r>
      </w:hyperlink>
      <w:r>
        <w:rPr>
          <w:rFonts w:ascii="Calibri" w:hAnsi="Calibri" w:eastAsia="Microsoft YaHei"/>
          <w:color w:val="667085"/>
          <w:sz w:val="20"/>
        </w:rPr>
        <w:tab/>
        <w:t>12</w:t>
      </w:r>
    </w:p>
    <w:p>
      <w:pPr>
        <w:keepLines/>
        <w:tabs>
          <w:tab w:pos="8640" w:val="left"/>
        </w:tabs>
        <w:spacing w:after="100"/>
      </w:pPr>
      <w:hyperlink w:anchor="sec_security" w:history="1">
        <w:r>
          <w:rPr>
            <w:color w:val="2E74B5"/>
            <w:u w:val="none"/>
          </w:rPr>
          <w:t>安全、隐私与运维</w:t>
        </w:r>
      </w:hyperlink>
      <w:r>
        <w:rPr>
          <w:rFonts w:ascii="Calibri" w:hAnsi="Calibri" w:eastAsia="Microsoft YaHei"/>
          <w:color w:val="667085"/>
          <w:sz w:val="20"/>
        </w:rPr>
        <w:tab/>
        <w:t>14</w:t>
      </w:r>
    </w:p>
    <w:p>
      <w:pPr>
        <w:keepLines/>
        <w:tabs>
          <w:tab w:pos="8640" w:val="left"/>
        </w:tabs>
        <w:spacing w:after="100"/>
      </w:pPr>
      <w:hyperlink w:anchor="sec_delivery" w:history="1">
        <w:r>
          <w:rPr>
            <w:color w:val="2E74B5"/>
            <w:u w:val="none"/>
          </w:rPr>
          <w:t>纵向交付与验收</w:t>
        </w:r>
      </w:hyperlink>
      <w:r>
        <w:rPr>
          <w:rFonts w:ascii="Calibri" w:hAnsi="Calibri" w:eastAsia="Microsoft YaHei"/>
          <w:color w:val="667085"/>
          <w:sz w:val="20"/>
        </w:rPr>
        <w:tab/>
        <w:t>15</w:t>
      </w:r>
    </w:p>
    <w:p>
      <w:pPr>
        <w:keepLines/>
        <w:tabs>
          <w:tab w:pos="8640" w:val="left"/>
        </w:tabs>
        <w:spacing w:after="100"/>
      </w:pPr>
      <w:hyperlink w:anchor="sec_post" w:history="1">
        <w:r>
          <w:rPr>
            <w:color w:val="2E74B5"/>
            <w:u w:val="none"/>
          </w:rPr>
          <w:t>Post-MVP 路线</w:t>
        </w:r>
      </w:hyperlink>
      <w:r>
        <w:rPr>
          <w:rFonts w:ascii="Calibri" w:hAnsi="Calibri" w:eastAsia="Microsoft YaHei"/>
          <w:color w:val="667085"/>
          <w:sz w:val="20"/>
        </w:rPr>
        <w:tab/>
        <w:t>16</w:t>
      </w:r>
    </w:p>
    <w:p>
      <w:pPr>
        <w:keepLines/>
        <w:tabs>
          <w:tab w:pos="8640" w:val="left"/>
        </w:tabs>
        <w:spacing w:after="100"/>
      </w:pPr>
      <w:hyperlink w:anchor="sec_appendix" w:history="1">
        <w:r>
          <w:rPr>
            <w:color w:val="2E74B5"/>
            <w:u w:val="none"/>
          </w:rPr>
          <w:t>附录：术语、枚举与工程附件</w:t>
        </w:r>
      </w:hyperlink>
      <w:r>
        <w:rPr>
          <w:rFonts w:ascii="Calibri" w:hAnsi="Calibri" w:eastAsia="Microsoft YaHei"/>
          <w:color w:val="667085"/>
          <w:sz w:val="20"/>
        </w:rPr>
        <w:tab/>
        <w:t>17</w:t>
      </w:r>
    </w:p>
    <w:p>
      <w:pPr>
        <w:pStyle w:val="SmallText"/>
      </w:pPr>
      <w:r>
        <w:t>本目录由生成器根据真实 Heading 结构生成，条目可点击跳转。</w:t>
      </w:r>
    </w:p>
    <w:p>
      <w:r>
        <w:br w:type="page"/>
      </w:r>
    </w:p>
    <w:p>
      <w:pPr>
        <w:pStyle w:val="Heading1"/>
      </w:pPr>
      <w:bookmarkStart w:id="2" w:name="sec_decisions"/>
      <w:r>
        <w:t>决策摘要</w:t>
      </w:r>
      <w:bookmarkEnd w:id="2"/>
    </w:p>
    <w:p>
      <w:pPr>
        <w:pStyle w:val="LeadCallout"/>
        <w:shd w:fill="F4F6F9"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设计目标　</w:t>
      </w:r>
      <w:r>
        <w:rPr>
          <w:rFonts w:ascii="Calibri" w:hAnsi="Calibri" w:eastAsia="Microsoft YaHei"/>
          <w:color w:val="17365D"/>
        </w:rPr>
        <w:t>让另一支工程团队无需重新决定租户、版本、任务解析、状态机和 API 约定，即可直接拆分实现。</w:t>
      </w:r>
    </w:p>
    <w:p>
      <w:pPr>
        <w:pStyle w:val="Heading2"/>
      </w:pPr>
      <w:bookmarkStart w:id="3" w:name="decisions_fixed"/>
      <w:r>
        <w:t>已冻结的技术决策</w:t>
      </w:r>
      <w:bookmarkEnd w:id="3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2600"/>
        <w:gridCol w:w="46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主题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决策</w:t>
            </w:r>
          </w:p>
        </w:tc>
        <w:tc>
          <w:tcPr>
            <w:tcW w:type="dxa" w:w="46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工程含义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后端形态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NestJS 模块化单体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单仓库内保持模块边界；AI 服务后置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租户存储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共享库、共享 Schema、FORCE RLS</w:t>
            </w:r>
          </w:p>
        </w:tc>
        <w:tc>
          <w:tcPr>
            <w:tcW w:type="dxa" w:w="4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应用授权 + 复合外键 + 数据库 RLS 三层隔离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账号模型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全局 User + TenantMembership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同一邮箱可加入多个机构并拥有不同角色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发布模型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稳定实体 + 不可变版本</w:t>
            </w:r>
          </w:p>
        </w:tc>
        <w:tc>
          <w:tcPr>
            <w:tcW w:type="dxa" w:w="4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已发布 Content/Question/Path/Task 不原地修改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任务模型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物化 StudentTaskItem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查询快、来源可审计、覆盖可恢复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契约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OpenAPI 3.1</w:t>
            </w:r>
          </w:p>
        </w:tc>
        <w:tc>
          <w:tcPr>
            <w:tcW w:type="dxa" w:w="4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前后端生成客户端；错误、分页、时间和幂等统一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首发内容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General + TOEFL</w:t>
            </w:r>
          </w:p>
        </w:tc>
        <w:tc>
          <w:tcPr>
            <w:tcW w:type="dxa" w:w="4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其他考试只保留配置和数据结构</w:t>
            </w:r>
          </w:p>
        </w:tc>
      </w:tr>
    </w:tbl>
    <w:p>
      <w:pPr>
        <w:spacing w:after="60"/>
      </w:pPr>
    </w:p>
    <w:p>
      <w:pPr>
        <w:pStyle w:val="Heading2"/>
      </w:pPr>
      <w:bookmarkStart w:id="4" w:name="decisions_invariants"/>
      <w:r>
        <w:t>工程不变量</w:t>
      </w:r>
      <w:bookmarkEnd w:id="4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所有租户业务表 tenant_id NOT NULL；跨租户关系必须使用 (tenant_id, id) 复合外键。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运行时数据库角色不是表所有者且不可 BYPASSRLS；Worker 与 API 使用相同租户上下文。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学生任务权限只能由后端和数据库过滤，禁止把全量数据下载到前端再隐藏。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发布版本、提交快照、评分决策和覆盖记录只追加，不覆盖历史。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只有相同 slot_key 的候选任务才参与冲突；优先级不影响无关任务。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任何状态变更必须可通过 actor、request_id、reason 和时间追踪。</w:t>
      </w:r>
    </w:p>
    <w:p>
      <w:pPr>
        <w:pStyle w:val="Heading1"/>
      </w:pPr>
      <w:bookmarkStart w:id="5" w:name="sec_scope"/>
      <w:r>
        <w:t>MVP 边界与核心旅程</w:t>
      </w:r>
      <w:bookmarkEnd w:id="5"/>
    </w:p>
    <w:p>
      <w:pPr>
        <w:pStyle w:val="Heading2"/>
      </w:pPr>
      <w:bookmarkStart w:id="6" w:name="scope_in"/>
      <w:r>
        <w:t>首发范围</w:t>
      </w:r>
      <w:bookmarkEnd w:id="6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4100"/>
        <w:gridCol w:w="31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能力域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MVP 包含</w:t>
            </w:r>
          </w:p>
        </w:tc>
        <w:tc>
          <w:tcPr>
            <w:tcW w:type="dxa" w:w="31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机构与账号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机构、邀请、邮箱注册、成员角色、会话</w:t>
            </w:r>
          </w:p>
        </w:tc>
        <w:tc>
          <w:tcPr>
            <w:tcW w:type="dxa" w:w="3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用户可加入多个机构并安全切换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内容与路径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基础 CMS、批量导入、General/TOEFL 路径、不可变版本</w:t>
            </w:r>
          </w:p>
        </w:tc>
        <w:tc>
          <w:tcPr>
            <w:tcW w:type="dxa" w:w="3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管理员可发布内容，学生绑定确定路径版本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任务编排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全机构、路径、班级、个人、管理员强制；覆盖与恢复</w:t>
            </w:r>
          </w:p>
        </w:tc>
        <w:tc>
          <w:tcPr>
            <w:tcW w:type="dxa" w:w="3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学生看到确定、可审计的任务列表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作答提交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选择、填空、题组、文本写作；自动保存、重做、迟交</w:t>
            </w:r>
          </w:p>
        </w:tc>
        <w:tc>
          <w:tcPr>
            <w:tcW w:type="dxa" w:w="3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断线/重复请求不丢答案、不重复提交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评分反馈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客观题自动评分、教师写作批改、退回、管理员修正</w:t>
            </w:r>
          </w:p>
        </w:tc>
        <w:tc>
          <w:tcPr>
            <w:tcW w:type="dxa" w:w="3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最终分数与历史决策可重现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基础进度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完成率、分数趋势、最近反馈</w:t>
            </w:r>
          </w:p>
        </w:tc>
        <w:tc>
          <w:tcPr>
            <w:tcW w:type="dxa" w:w="3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学生和教师看到一致的基础数据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平台能力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审计、对象存储、可观测、备份恢复、限流</w:t>
            </w:r>
          </w:p>
        </w:tc>
        <w:tc>
          <w:tcPr>
            <w:tcW w:type="dxa" w:w="3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满足上线门禁与故障恢复目标</w:t>
            </w:r>
          </w:p>
        </w:tc>
      </w:tr>
    </w:tbl>
    <w:p>
      <w:pPr>
        <w:spacing w:after="60"/>
      </w:pPr>
    </w:p>
    <w:p>
      <w:pPr>
        <w:pStyle w:val="Heading2"/>
      </w:pPr>
      <w:bookmarkStart w:id="7" w:name="scope_out"/>
      <w:r>
        <w:t>明确后置</w:t>
      </w:r>
      <w:bookmarkEnd w:id="7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AI 写作评分、自动推荐、错误分类、内容生成和 AI 周报。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口语录音、转录、语音评分、视频流媒体和直播课程。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原生移动端、家长账号、SSO、白标、课程市场和第三方开放 API。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IELTS、SAT、高考的内容生产；数据模型仍允许未来配置。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完整错题本、复习算法、高级班级分析、自适应测评和 GraphQL。</w:t>
      </w:r>
    </w:p>
    <w:p>
      <w:pPr>
        <w:pStyle w:val="Heading2"/>
      </w:pPr>
      <w:bookmarkStart w:id="8" w:name="scope_journeys"/>
      <w:r>
        <w:t>五条核心验收旅程</w:t>
      </w:r>
      <w:bookmarkEnd w:id="8"/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机构管理员创建机构，邀请教师和学生，成员在多个机构间安全切换。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学生完成 Onboarding，自动加入 General 与 TOEFL 路径并收到首批任务。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教师按班级或个人发布任务，覆盖低优先级同槽位任务且可恢复。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学生开始任务、自动保存、提交、重做；历史题目和评分规则保持可重现。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</w:rPr>
        <w:t>教师批改文本写作、退回或确认成绩，学生看到最终分数和反馈。</w:t>
      </w:r>
    </w:p>
    <w:p>
      <w:pPr>
        <w:pStyle w:val="Heading1"/>
      </w:pPr>
      <w:bookmarkStart w:id="9" w:name="sec_architecture"/>
      <w:r>
        <w:t>系统架构</w:t>
      </w:r>
      <w:bookmarkEnd w:id="9"/>
    </w:p>
    <w:p>
      <w:r>
        <w:rPr>
          <w:rFonts w:ascii="Calibri" w:hAnsi="Calibri" w:eastAsia="Microsoft YaHei"/>
          <w:color w:val="1F2937"/>
        </w:rPr>
        <w:t>系统采用模块化单体：对外只有一个 REST API 边界，但领域模块拥有独立服务、仓储、策略和事件；耗时或可重试工作由独立 Worker 执行。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6128" cy="3046781"/>
            <wp:docPr id="1" name="Picture 1" descr="学生、教师和管理员通过 Next.js Web 访问 NestJS API；API 与 Worker 使用 PostgreSQL、Redis、对象存储和可观测平台。" title="系统容器与运行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ain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04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0" w:name="fig_1"/>
      <w:bookmarkEnd w:id="10"/>
      <w:r>
        <w:rPr>
          <w:rFonts w:ascii="Calibri" w:hAnsi="Calibri" w:eastAsia="Microsoft YaHei"/>
          <w:color w:val="667085"/>
          <w:sz w:val="19"/>
        </w:rPr>
        <w:t>图 1　系统容器与运行单元</w:t>
      </w:r>
    </w:p>
    <w:p>
      <w:pPr>
        <w:pStyle w:val="Heading2"/>
      </w:pPr>
      <w:bookmarkStart w:id="11" w:name="architecture_modules"/>
      <w:r>
        <w:t>模块边界</w:t>
      </w:r>
      <w:bookmarkEnd w:id="11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100"/>
        <w:gridCol w:w="3926"/>
        <w:gridCol w:w="30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39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主要职责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明确不负责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Identity / Tenant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认证、会话、租户、成员、邀请、角色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学生业务数据与任务解析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 / Class</w:t>
            </w:r>
          </w:p>
        </w:tc>
        <w:tc>
          <w:tcPr>
            <w:tcW w:type="dxa" w:w="3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档案、考试目标、师生关系、班级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内容版本和评分算法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Catalog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内容、题目、标签、版本、批量导入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任务受众和学生状态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Learning Path</w:t>
            </w:r>
          </w:p>
        </w:tc>
        <w:tc>
          <w:tcPr>
            <w:tcW w:type="dxa" w:w="3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路径版本、节点、前置条件、Enrollment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作答和最终评分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 Orchestration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任务版本、分配、物化、覆盖、解析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答案持久化和文件扫描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Assessment</w:t>
            </w:r>
          </w:p>
        </w:tc>
        <w:tc>
          <w:tcPr>
            <w:tcW w:type="dxa" w:w="3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Attempt、草稿、提交快照、评分、反馈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租户邀请和内容编辑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Progress</w:t>
            </w:r>
          </w:p>
        </w:tc>
        <w:tc>
          <w:tcPr>
            <w:tcW w:type="dxa" w:w="3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完成率、分数趋势和教师基础看板投影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作为交易真相源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Platform</w:t>
            </w:r>
          </w:p>
        </w:tc>
        <w:tc>
          <w:tcPr>
            <w:tcW w:type="dxa" w:w="3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文件、审计、Outbox、幂等、通知、可观测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领域业务决策</w:t>
            </w:r>
          </w:p>
        </w:tc>
      </w:tr>
    </w:tbl>
    <w:p>
      <w:pPr>
        <w:spacing w:after="60"/>
      </w:pPr>
    </w:p>
    <w:p>
      <w:pPr>
        <w:pStyle w:val="Heading2"/>
      </w:pPr>
      <w:bookmarkStart w:id="12" w:name="architecture_async"/>
      <w:r>
        <w:t>同步与异步边界</w:t>
      </w:r>
      <w:bookmarkEnd w:id="12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必须同步完成：会话验证、授权、开始任务、自动保存、提交快照、教师评分和用户可见状态变更。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通过 Outbox 异步完成：任务受众展开、学生任务重解析、邮件通知、基础进度投影、对象扫描回调。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数据库写入与 outbox_events 必须同事务；Worker 以 consumer key 幂等消费，可安全重放。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Redis 失效时不得阻断答题和提交；队列恢复后补偿处理异步任务。</w:t>
      </w:r>
    </w:p>
    <w:p>
      <w:pPr>
        <w:pStyle w:val="Heading1"/>
      </w:pPr>
      <w:bookmarkStart w:id="13" w:name="sec_tenant"/>
      <w:r>
        <w:t>身份、多租户与授权</w:t>
      </w:r>
      <w:bookmarkEnd w:id="13"/>
    </w:p>
    <w:p>
      <w:pPr>
        <w:pStyle w:val="Heading2"/>
      </w:pPr>
      <w:bookmarkStart w:id="14" w:name="tenant_identity"/>
      <w:r>
        <w:t>身份与成员关系</w:t>
      </w:r>
      <w:bookmarkEnd w:id="14"/>
    </w:p>
    <w:p>
      <w:r>
        <w:rPr>
          <w:rFonts w:ascii="Calibri" w:hAnsi="Calibri" w:eastAsia="Microsoft YaHei"/>
          <w:color w:val="1F2937"/>
        </w:rPr>
        <w:t>users 仅保存全局身份；tenant_memberships 表示用户在机构中的成员资格；membership_role_assignments 允许一个成员同时拥有 student、teacher 或 tenant_admin 角色。super_admin 为平台控制面角色，不默认拥有租户学生数据读取权。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3600"/>
        <w:gridCol w:w="36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默认可见范围</w:t>
            </w:r>
          </w:p>
        </w:tc>
        <w:tc>
          <w:tcPr>
            <w:tcW w:type="dxa" w:w="36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本人档案、任务、Attempt、提交、成绩和反馈</w:t>
            </w:r>
          </w:p>
        </w:tc>
        <w:tc>
          <w:tcPr>
            <w:tcW w:type="dxa" w:w="3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不能读取其他学生或修改评分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teacher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直接关联学生与任教班级学生</w:t>
            </w:r>
          </w:p>
        </w:tc>
        <w:tc>
          <w:tcPr>
            <w:tcW w:type="dxa" w:w="3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无关系资源返回 404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tenant_admin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本机构用户、内容、路径、任务、审计</w:t>
            </w:r>
          </w:p>
        </w:tc>
        <w:tc>
          <w:tcPr>
            <w:tcW w:type="dxa" w:w="3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成绩修正必须填写原因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super_admin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平台控制面</w:t>
            </w:r>
          </w:p>
        </w:tc>
        <w:tc>
          <w:tcPr>
            <w:tcW w:type="dxa" w:w="3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访问租户学生数据需审批式临时提权并审计</w:t>
            </w:r>
          </w:p>
        </w:tc>
      </w:tr>
    </w:tbl>
    <w:p>
      <w:pPr>
        <w:spacing w:after="60"/>
      </w:pPr>
    </w:p>
    <w:p>
      <w:pPr>
        <w:pStyle w:val="Heading2"/>
      </w:pPr>
      <w:bookmarkStart w:id="15" w:name="tenant_sequence"/>
      <w:r>
        <w:t>请求鉴权顺序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6128" cy="3295498"/>
            <wp:docPr id="2" name="Picture 2" descr="浏览器请求携带会话、CSRF 和 tenantId；API 校验成员关系并在事务设置租户上下文，PostgreSQL 强制执行 RLS。" title="租户请求鉴权与数据库 RLS 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nant-auth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29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6" w:name="fig_2"/>
      <w:bookmarkEnd w:id="16"/>
      <w:r>
        <w:rPr>
          <w:rFonts w:ascii="Calibri" w:hAnsi="Calibri" w:eastAsia="Microsoft YaHei"/>
          <w:color w:val="667085"/>
          <w:sz w:val="19"/>
        </w:rPr>
        <w:t>图 2　租户请求鉴权与数据库 RLS 时序</w:t>
      </w:r>
    </w:p>
    <w:p>
      <w:pPr>
        <w:pStyle w:val="CodeBlock"/>
        <w:shd w:fill="F2F4F7"/>
        <w:pBdr>
          <w:left w:val="single" w:sz="8" w:space="6" w:color="1F4D78"/>
        </w:pBdr>
      </w:pPr>
      <w:r>
        <w:rPr>
          <w:rFonts w:ascii="Consolas" w:hAnsi="Consolas" w:eastAsia="Microsoft YaHei"/>
          <w:color w:val="17365D"/>
          <w:sz w:val="19"/>
        </w:rPr>
        <w:t>BEGIN;</w:t>
        <w:br/>
        <w:t>SELECT set_config('app.tenant_id', :tenant_id, true);</w:t>
        <w:br/>
        <w:t>SELECT set_config('app.user_id', :user_id, true);</w:t>
        <w:br/>
        <w:t>SELECT set_config('app.membership_id', :membership_id, true);</w:t>
        <w:br/>
        <w:t>-- service query; FORCE ROW LEVEL SECURITY remains active</w:t>
        <w:br/>
        <w:t>COMMIT;</w:t>
      </w:r>
    </w:p>
    <w:p>
      <w:pPr>
        <w:pStyle w:val="Heading2"/>
      </w:pPr>
      <w:bookmarkStart w:id="17" w:name="tenant_rls"/>
      <w:r>
        <w:t>RLS 与复合约束</w:t>
      </w:r>
      <w:bookmarkEnd w:id="17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每个租户表建立 UNIQUE (tenant_id, id)，引用方同时保存 tenant_id 并使用复合外键。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对租户表启用 ENABLE ROW LEVEL SECURITY 与 FORCE ROW LEVEL SECURITY。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运行时 API/Worker 数据库角色不是表所有者、不可 BYPASSRLS、只授予所需 DML 权限。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对象存储 Key、Redis Key、事件载荷和日志索引均使用 tenant_id 前缀。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平台官方内容位于独立 platform schema；租户修改时复制为本租户实体和草稿版本。</w:t>
      </w:r>
    </w:p>
    <w:p>
      <w:pPr>
        <w:pStyle w:val="Heading1"/>
      </w:pPr>
      <w:bookmarkStart w:id="18" w:name="sec_domain"/>
      <w:r>
        <w:t>领域与数据模型</w:t>
      </w:r>
      <w:bookmarkEnd w:id="18"/>
    </w:p>
    <w:p>
      <w:pPr>
        <w:pStyle w:val="LeadCallout"/>
        <w:shd w:fill="F4F6F9"/>
        <w:keepNext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唯一数据设计附件　</w:t>
      </w:r>
      <w:r>
        <w:rPr>
          <w:rFonts w:ascii="Calibri" w:hAnsi="Calibri" w:eastAsia="Microsoft YaHei"/>
          <w:color w:val="17365D"/>
        </w:rPr>
        <w:t>完整 ERD、字段、索引、唯一约束、RLS policy 和迁移注意事项见同目录 data-model.md。正文只保留领域责任和跨模块不变量。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6128" cy="3133832"/>
            <wp:docPr id="3" name="Picture 3" descr="核心数据按身份租户、班级关系、内容题目版本、学习路径版本、任务编排、作答评分和平台能力分组。" title="核心领域 ERD（简化视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re-domain-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13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9" w:name="fig_3"/>
      <w:bookmarkEnd w:id="19"/>
      <w:r>
        <w:rPr>
          <w:rFonts w:ascii="Calibri" w:hAnsi="Calibri" w:eastAsia="Microsoft YaHei"/>
          <w:color w:val="667085"/>
          <w:sz w:val="19"/>
        </w:rPr>
        <w:t>图 3　核心领域 ERD（简化视图）</w:t>
      </w:r>
    </w:p>
    <w:p>
      <w:pPr>
        <w:pStyle w:val="Heading2"/>
      </w:pPr>
      <w:bookmarkStart w:id="20" w:name="domain_versioning"/>
      <w:r>
        <w:t>不可变版本模型</w:t>
      </w:r>
      <w:bookmarkEnd w:id="20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200"/>
        <w:gridCol w:w="2500"/>
        <w:gridCol w:w="4326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稳定实体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不可变版本</w:t>
            </w:r>
          </w:p>
        </w:tc>
        <w:tc>
          <w:tcPr>
            <w:tcW w:type="dxa" w:w="43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绑定规则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contents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content_versions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发布任务引用确定 content_version_id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questions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question_versions</w:t>
            </w:r>
          </w:p>
        </w:tc>
        <w:tc>
          <w:tcPr>
            <w:tcW w:type="dxa" w:w="43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content_version_items 固定题目版本和顺序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learning_paths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learning_path_versions</w:t>
            </w:r>
          </w:p>
        </w:tc>
        <w:tc>
          <w:tcPr>
            <w:tcW w:type="dxa" w:w="43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student_path_enrollments 固定版本，升级需显式迁移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tasks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task_versions</w:t>
            </w:r>
          </w:p>
        </w:tc>
        <w:tc>
          <w:tcPr>
            <w:tcW w:type="dxa" w:w="43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task_assignments 只绑定已发布版本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  <w:color w:val="1F2937"/>
        </w:rPr>
        <w:t>草稿允许编辑；发布后禁止 UPDATE 和物理 DELETE。更改内容时创建下一版本。学生开始任务时把题目版本、展示内容、选项顺序、评分规则、分值和内容哈希固化到 attempt_item_snapshots。</w:t>
      </w:r>
    </w:p>
    <w:p>
      <w:pPr>
        <w:pStyle w:val="Heading2"/>
      </w:pPr>
      <w:bookmarkStart w:id="21" w:name="domain_objects"/>
      <w:r>
        <w:t>核心对象责任</w:t>
      </w:r>
      <w:bookmarkEnd w:id="21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3400"/>
        <w:gridCol w:w="38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对象组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核心表</w:t>
            </w:r>
          </w:p>
        </w:tc>
        <w:tc>
          <w:tcPr>
            <w:tcW w:type="dxa" w:w="38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责任边界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受众与任务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task_assignments + assignment_*_targets</w:t>
            </w:r>
          </w:p>
        </w:tc>
        <w:tc>
          <w:tcPr>
            <w:tcW w:type="dxa" w:w="3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描述分配配置和真实外键目标，不保存学生完成状态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学生任务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student_task_items / sources / overrides</w:t>
            </w:r>
          </w:p>
        </w:tc>
        <w:tc>
          <w:tcPr>
            <w:tcW w:type="dxa" w:w="3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保存解析结果、全部来源和追加式教师干预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task_attempts / attempt_item_snapshots / attempt_drafts</w:t>
            </w:r>
          </w:p>
        </w:tc>
        <w:tc>
          <w:tcPr>
            <w:tcW w:type="dxa" w:w="3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保存一次尝试、固定内容和当前草稿 revision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提交与评分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submission_snapshots / score_decisions / feedback</w:t>
            </w:r>
          </w:p>
        </w:tc>
        <w:tc>
          <w:tcPr>
            <w:tcW w:type="dxa" w:w="3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保存不可变提交、追加式评分和反馈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平台一致性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idempotency_records / outbox_events / audit_logs</w:t>
            </w:r>
          </w:p>
        </w:tc>
        <w:tc>
          <w:tcPr>
            <w:tcW w:type="dxa" w:w="3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保证重复请求、异步事件和关键操作可追踪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查询投影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progress_projections</w:t>
            </w:r>
          </w:p>
        </w:tc>
        <w:tc>
          <w:tcPr>
            <w:tcW w:type="dxa" w:w="3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提供基础进度读取，不作为交易真相源</w:t>
            </w:r>
          </w:p>
        </w:tc>
      </w:tr>
    </w:tbl>
    <w:p>
      <w:pPr>
        <w:spacing w:after="60"/>
      </w:pPr>
    </w:p>
    <w:p>
      <w:pPr>
        <w:pStyle w:val="Heading1"/>
      </w:pPr>
      <w:bookmarkStart w:id="22" w:name="sec_flows"/>
      <w:r>
        <w:t>核心业务流程</w:t>
      </w:r>
      <w:bookmarkEnd w:id="22"/>
    </w:p>
    <w:p>
      <w:pPr>
        <w:pStyle w:val="Heading2"/>
      </w:pPr>
      <w:bookmarkStart w:id="23" w:name="flows_onboarding"/>
      <w:r>
        <w:t>注册与默认路径</w:t>
      </w:r>
      <w:bookmarkEnd w:id="23"/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用户注册并验证邮箱，接受机构邀请或输入机构邀请码。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创建 tenant_membership 和 student_profile，收集年级、地区、目标分数、考试日期和学习时间。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创建 General 与 TOEFL 的 student_path_enrollment，分别固定当前已发布路径版本。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同事务写 outbox_events；Worker 展开首批路径任务并物化 student_task_items。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</w:rPr>
        <w:t>Dashboard 读取活动任务、路径进度和最近反馈；未物化完成时显示可重试的初始化状态。</w:t>
      </w:r>
    </w:p>
    <w:p>
      <w:pPr>
        <w:pStyle w:val="Heading2"/>
      </w:pPr>
      <w:bookmarkStart w:id="24" w:name="flows_resolution"/>
      <w:r>
        <w:t>任务来源解析</w:t>
      </w:r>
      <w:bookmarkEnd w:id="2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6128" cy="3416583"/>
            <wp:docPr id="4" name="Picture 4" descr="五级任务来源展开为候选；同一任务多来源合并，只有相同 slot_key 发生冲突，覆盖操作以追加记录触发重解析。" title="学生任务解析、去重、冲突与覆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re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416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25" w:name="fig_4"/>
      <w:bookmarkEnd w:id="25"/>
      <w:r>
        <w:rPr>
          <w:rFonts w:ascii="Calibri" w:hAnsi="Calibri" w:eastAsia="Microsoft YaHei"/>
          <w:color w:val="667085"/>
          <w:sz w:val="19"/>
        </w:rPr>
        <w:t>图 4　学生任务解析、去重、冲突与覆盖</w:t>
      </w:r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1600"/>
        <w:gridCol w:w="3100"/>
        <w:gridCol w:w="25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来源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固定优先级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默认受众语义</w:t>
            </w:r>
          </w:p>
        </w:tc>
        <w:tc>
          <w:tcPr>
            <w:tcW w:type="dxa" w:w="25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教师可隐藏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管理员强制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动态全机构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个人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400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显式学生列表</w:t>
            </w:r>
          </w:p>
        </w:tc>
        <w:tc>
          <w:tcPr>
            <w:tcW w:type="dxa" w:w="25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创建者/管理员可撤销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班级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默认快照当前成员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TOEFL 路径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200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动态路径 Enrollment</w:t>
            </w:r>
          </w:p>
        </w:tc>
        <w:tc>
          <w:tcPr>
            <w:tcW w:type="dxa" w:w="25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General 路径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100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动态路径 Enrollment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</w:t>
            </w:r>
          </w:p>
        </w:tc>
      </w:tr>
    </w:tbl>
    <w:p>
      <w:pPr>
        <w:spacing w:after="60"/>
      </w:pPr>
    </w:p>
    <w:p>
      <w:pPr>
        <w:pStyle w:val="Heading2"/>
      </w:pPr>
      <w:bookmarkStart w:id="26" w:name="flows_rules"/>
      <w:r>
        <w:t>确定性解析规则</w:t>
      </w:r>
      <w:bookmarkEnd w:id="26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先过滤租户、成员资格、受众、发布状态和有效时间窗。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相同 student_id + task_version_id 合并为一个 item，并为每个来源保存 student_task_source。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只有 slot_key 非空且相同的候选才冲突；无关任务全部共存。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冲突按来源优先级、显式 priority、published_at、UUIDv7 稳定排序。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胜者 resolution_state=active，其余 superseded；hide/unhide、replace/restore 等 override 追加后重新解析。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退班或退路径不删除已开始、已提交和历史记录；无剩余来源的未开始动态任务取消。</w:t>
      </w:r>
    </w:p>
    <w:p>
      <w:pPr>
        <w:pStyle w:val="Heading1"/>
      </w:pPr>
      <w:bookmarkStart w:id="27" w:name="sec_state"/>
      <w:r>
        <w:t>状态、并发与幂等</w:t>
      </w:r>
      <w:bookmarkEnd w:id="2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6128" cy="3593303"/>
            <wp:docPr id="5" name="Picture 5" descr="可用性、工作流和解析结果采用三套正交状态；逾期和迟交为派生属性。" title="学生任务、可用性与提交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ate-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59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28" w:name="fig_5"/>
      <w:bookmarkEnd w:id="28"/>
      <w:r>
        <w:rPr>
          <w:rFonts w:ascii="Calibri" w:hAnsi="Calibri" w:eastAsia="Microsoft YaHei"/>
          <w:color w:val="667085"/>
          <w:sz w:val="19"/>
        </w:rPr>
        <w:t>图 5　学生任务、可用性与提交状态机</w:t>
      </w:r>
    </w:p>
    <w:p>
      <w:pPr>
        <w:pStyle w:val="Heading2"/>
      </w:pPr>
      <w:bookmarkStart w:id="29" w:name="state_defs"/>
      <w:r>
        <w:t>状态定义</w:t>
      </w:r>
      <w:bookmarkEnd w:id="29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4200"/>
        <w:gridCol w:w="30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枚举</w:t>
            </w:r>
          </w:p>
        </w:tc>
        <w:tc>
          <w:tcPr>
            <w:tcW w:type="dxa" w:w="30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availability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locked | upcoming | available</w:t>
            </w:r>
          </w:p>
        </w:tc>
        <w:tc>
          <w:tcPr>
            <w:tcW w:type="dxa" w:w="3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由前置条件、open_at 和路径状态派生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workflow_state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not_started | in_progress | submitted | grading | returned | completed | cancelled</w:t>
            </w:r>
          </w:p>
        </w:tc>
        <w:tc>
          <w:tcPr>
            <w:tcW w:type="dxa" w:w="30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持久化合法迁移；不能用 hidden 表示作答进度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resolution_state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active | hidden | superseded</w:t>
            </w:r>
          </w:p>
        </w:tc>
        <w:tc>
          <w:tcPr>
            <w:tcW w:type="dxa" w:w="3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任务解析与覆盖结果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late flags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is_overdue | is_late</w:t>
            </w:r>
          </w:p>
        </w:tc>
        <w:tc>
          <w:tcPr>
            <w:tcW w:type="dxa" w:w="30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独立派生；MVP 不自动扣分</w:t>
            </w:r>
          </w:p>
        </w:tc>
      </w:tr>
    </w:tbl>
    <w:p>
      <w:pPr>
        <w:spacing w:after="60"/>
      </w:pPr>
    </w:p>
    <w:p>
      <w:pPr>
        <w:pStyle w:val="Heading2"/>
      </w:pPr>
      <w:bookmarkStart w:id="30" w:name="state_concurrency"/>
      <w:r>
        <w:t>并发与幂等契约</w:t>
      </w:r>
      <w:bookmarkEnd w:id="30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3500"/>
        <w:gridCol w:w="37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并发控制</w:t>
            </w:r>
          </w:p>
        </w:tc>
        <w:tc>
          <w:tcPr>
            <w:tcW w:type="dxa" w:w="37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重复请求语义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 / 分配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Idempotency-Key + request hash</w:t>
            </w:r>
          </w:p>
        </w:tc>
        <w:tc>
          <w:tcPr>
            <w:tcW w:type="dxa" w:w="3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相同键同请求返回原响应；不同请求体返回 409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开始任务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学生任务行锁 + 活动 attempt 唯一约束</w:t>
            </w:r>
          </w:p>
        </w:tc>
        <w:tc>
          <w:tcPr>
            <w:tcW w:type="dxa" w:w="37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已有活动 attempt 时返回原 attempt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自动保存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ETag / If-Match + draft revision</w:t>
            </w:r>
          </w:p>
        </w:tc>
        <w:tc>
          <w:tcPr>
            <w:tcW w:type="dxa" w:w="3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旧 revision 返回 412/409 和最新 revision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attempt 行锁 + Idempotency-Key</w:t>
            </w:r>
          </w:p>
        </w:tc>
        <w:tc>
          <w:tcPr>
            <w:tcW w:type="dxa" w:w="37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相同键返回原 snapshot；不同键重复提交返回 409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教师评分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grading version + Idempotency-Key</w:t>
            </w:r>
          </w:p>
        </w:tc>
        <w:tc>
          <w:tcPr>
            <w:tcW w:type="dxa" w:w="3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并发评分仅一个成功，另一个返回 409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Worker 消费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consumer key + unique constraint</w:t>
            </w:r>
          </w:p>
        </w:tc>
        <w:tc>
          <w:tcPr>
            <w:tcW w:type="dxa" w:w="37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消息可安全重放，不产生重复 item/projection</w:t>
            </w:r>
          </w:p>
        </w:tc>
      </w:tr>
    </w:tbl>
    <w:p>
      <w:pPr>
        <w:spacing w:after="60"/>
      </w:pPr>
    </w:p>
    <w:p>
      <w:pPr>
        <w:pStyle w:val="Heading2"/>
      </w:pPr>
      <w:bookmarkStart w:id="31" w:name="state_scores"/>
      <w:r>
        <w:t>评分决策</w:t>
      </w:r>
      <w:bookmarkEnd w:id="31"/>
    </w:p>
    <w:p>
      <w:r>
        <w:rPr>
          <w:rFonts w:ascii="Calibri" w:hAnsi="Calibri" w:eastAsia="Microsoft YaHei"/>
          <w:color w:val="1F2937"/>
        </w:rPr>
        <w:t>score_decisions 永远追加。最终成绩解析优先级为 tenant_admin correction &gt; teacher confirmation &gt; auto score。管理员修正必须填写原因并产生 audit_log；教师退回后，同一 attempt 可形成新的 submission revision；学生主动重做创建新的 attempt_no。</w:t>
      </w:r>
    </w:p>
    <w:p>
      <w:pPr>
        <w:pStyle w:val="Heading1"/>
      </w:pPr>
      <w:bookmarkStart w:id="32" w:name="sec_api"/>
      <w:r>
        <w:t>API 与工程契约</w:t>
      </w:r>
      <w:bookmarkEnd w:id="32"/>
    </w:p>
    <w:p>
      <w:pPr>
        <w:pStyle w:val="LeadCallout"/>
        <w:shd w:fill="F4F6F9"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</w:rPr>
        <w:t xml:space="preserve">唯一接口真相源　</w:t>
      </w:r>
      <w:r>
        <w:rPr>
          <w:rFonts w:ascii="Calibri" w:hAnsi="Calibri" w:eastAsia="Microsoft YaHei"/>
          <w:color w:val="17365D"/>
        </w:rPr>
        <w:t>完整路径、参数、Schema、错误码和示例见 openapi-v1.yaml。正文只规定跨接口一致性。</w:t>
      </w:r>
    </w:p>
    <w:p>
      <w:pPr>
        <w:pStyle w:val="Heading2"/>
      </w:pPr>
      <w:bookmarkStart w:id="33" w:name="api_conventions"/>
      <w:r>
        <w:t>全局约定</w:t>
      </w:r>
      <w:bookmarkEnd w:id="33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7126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主题</w:t>
            </w:r>
          </w:p>
        </w:tc>
        <w:tc>
          <w:tcPr>
            <w:tcW w:type="dxa" w:w="71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基础路径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/api/v1；租户资源统一位于 /api/v1/tenants/{tenantId}/...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标识符</w:t>
            </w:r>
          </w:p>
        </w:tc>
        <w:tc>
          <w:tcPr>
            <w:tcW w:type="dxa" w:w="7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UUIDv7；wire format 使用 uuid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时间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UTC RFC3339；数据库 timestamptz；客户端按时区展示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分页</w:t>
            </w:r>
          </w:p>
        </w:tc>
        <w:tc>
          <w:tcPr>
            <w:tcW w:type="dxa" w:w="7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cursor + limit；响应返回 data 与 page.next_cursor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application/problem+json；RFC 7807 ProblemDetails + request_id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会话</w:t>
            </w:r>
          </w:p>
        </w:tc>
        <w:tc>
          <w:tcPr>
            <w:tcW w:type="dxa" w:w="7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HttpOnly + Secure + SameSite Cookie；写请求要求 CSRF header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并发</w:t>
            </w:r>
          </w:p>
        </w:tc>
        <w:tc>
          <w:tcPr>
            <w:tcW w:type="dxa" w:w="71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非幂等写操作使用 Idempotency-Key；可编辑资源使用 ETag/If-Match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资源隐藏</w:t>
            </w:r>
          </w:p>
        </w:tc>
        <w:tc>
          <w:tcPr>
            <w:tcW w:type="dxa" w:w="71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无权获知资源存在返回 404；资源可见但操作不允许返回 403</w:t>
            </w:r>
          </w:p>
        </w:tc>
      </w:tr>
    </w:tbl>
    <w:p>
      <w:pPr>
        <w:spacing w:after="60"/>
      </w:pPr>
    </w:p>
    <w:p>
      <w:pPr>
        <w:pStyle w:val="Heading2"/>
      </w:pPr>
      <w:bookmarkStart w:id="34" w:name="api_groups"/>
      <w:r>
        <w:t>核心端点组</w:t>
      </w:r>
      <w:bookmarkEnd w:id="34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4400"/>
        <w:gridCol w:w="2926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端点组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代表接口</w:t>
            </w:r>
          </w:p>
        </w:tc>
        <w:tc>
          <w:tcPr>
            <w:tcW w:type="dxa" w:w="29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关键契约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Auth / Me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/auth/*；/me；/me/tenants</w:t>
            </w:r>
          </w:p>
        </w:tc>
        <w:tc>
          <w:tcPr>
            <w:tcW w:type="dxa" w:w="2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Cookie、CSRF、Refresh 轮换和复用检测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/students/me/profile|dashboard|task-items|learning-paths|progress|feedback</w:t>
            </w:r>
          </w:p>
        </w:tc>
        <w:tc>
          <w:tcPr>
            <w:tcW w:type="dxa" w:w="2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只能读取本人；无权资源 404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Attempt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/task-items/{id}/attempts；/attempts/{id}/draft|submit</w:t>
            </w:r>
          </w:p>
        </w:tc>
        <w:tc>
          <w:tcPr>
            <w:tcW w:type="dxa" w:w="2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开始/提交幂等；draft 使用 ETag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Teacher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/teachers/me/students；/task-assignments；/student-task-items/{id}/overrides</w:t>
            </w:r>
          </w:p>
        </w:tc>
        <w:tc>
          <w:tcPr>
            <w:tcW w:type="dxa" w:w="2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验证师生或班级关系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Grading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/attempts/{id}/grade|return</w:t>
            </w:r>
          </w:p>
        </w:tc>
        <w:tc>
          <w:tcPr>
            <w:tcW w:type="dxa" w:w="2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幂等、版本控制、追加 score decision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Admin / Catalog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/memberships；/contents；/questions；/learning-paths；/audit-logs</w:t>
            </w:r>
          </w:p>
        </w:tc>
        <w:tc>
          <w:tcPr>
            <w:tcW w:type="dxa" w:w="29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租户管理员权限和不可变发布版本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Files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/files/presign；/files/{id}/complete</w:t>
            </w:r>
          </w:p>
        </w:tc>
        <w:tc>
          <w:tcPr>
            <w:tcW w:type="dxa" w:w="2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租户前缀、MIME/大小、扫描和短期签名 URL</w:t>
            </w:r>
          </w:p>
        </w:tc>
      </w:tr>
    </w:tbl>
    <w:p>
      <w:pPr>
        <w:spacing w:after="60"/>
      </w:pPr>
    </w:p>
    <w:p>
      <w:pPr>
        <w:pStyle w:val="CodeBlock"/>
        <w:shd w:fill="F2F4F7"/>
        <w:pBdr>
          <w:left w:val="single" w:sz="8" w:space="6" w:color="1F4D78"/>
        </w:pBdr>
      </w:pPr>
      <w:r>
        <w:rPr>
          <w:rFonts w:ascii="Consolas" w:hAnsi="Consolas" w:eastAsia="Microsoft YaHei"/>
          <w:color w:val="17365D"/>
          <w:sz w:val="19"/>
        </w:rPr>
        <w:t>{</w:t>
        <w:br/>
        <w:t xml:space="preserve">  "type": "https://docs.example.com/problems/concurrent-update",</w:t>
        <w:br/>
        <w:t xml:space="preserve">  "title": "Concurrent update",</w:t>
        <w:br/>
        <w:t xml:space="preserve">  "status": 409,</w:t>
        <w:br/>
        <w:t xml:space="preserve">  "code": "DRAFT_REVISION_CONFLICT",</w:t>
        <w:br/>
        <w:t xml:space="preserve">  "request_id": "0190...",</w:t>
        <w:br/>
        <w:t xml:space="preserve">  "details": { "current_revision": 4 }</w:t>
        <w:br/>
        <w:t>}</w:t>
      </w:r>
    </w:p>
    <w:p>
      <w:pPr>
        <w:pStyle w:val="Heading1"/>
      </w:pPr>
      <w:bookmarkStart w:id="35" w:name="sec_security"/>
      <w:r>
        <w:t>安全、隐私与运维</w:t>
      </w:r>
      <w:bookmarkEnd w:id="35"/>
    </w:p>
    <w:p>
      <w:pPr>
        <w:pStyle w:val="Heading2"/>
      </w:pPr>
      <w:bookmarkStart w:id="36" w:name="security_submission"/>
      <w:r>
        <w:t>作答、提交与批改时序</w:t>
      </w:r>
      <w:bookmarkEnd w:id="3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6128" cy="3652210"/>
            <wp:docPr id="6" name="Picture 6" descr="学生开始任务时固化题目快照；草稿使用乐观锁；提交与 Outbox 同事务；客观题自动评分，文本写作进入教师批改。" title="自动保存、幂等提交、自动评分与教师批改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ubmission-grading-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65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37" w:name="fig_6"/>
      <w:bookmarkEnd w:id="37"/>
      <w:r>
        <w:rPr>
          <w:rFonts w:ascii="Calibri" w:hAnsi="Calibri" w:eastAsia="Microsoft YaHei"/>
          <w:color w:val="667085"/>
          <w:sz w:val="19"/>
        </w:rPr>
        <w:t>图 6　自动保存、幂等提交、自动评分与教师批改时序</w:t>
      </w:r>
    </w:p>
    <w:p>
      <w:pPr>
        <w:pStyle w:val="Heading2"/>
      </w:pPr>
      <w:bookmarkStart w:id="38" w:name="security_controls"/>
      <w:r>
        <w:t>安全控制</w:t>
      </w:r>
      <w:bookmarkEnd w:id="38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00"/>
        <w:gridCol w:w="4400"/>
        <w:gridCol w:w="3026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控制域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最低要求</w:t>
            </w:r>
          </w:p>
        </w:tc>
        <w:tc>
          <w:tcPr>
            <w:tcW w:type="dxa" w:w="30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认证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Argon2id；Refresh hash；轮换与复用检测；管理员 MFA 预留</w:t>
            </w:r>
          </w:p>
        </w:tc>
        <w:tc>
          <w:tcPr>
            <w:tcW w:type="dxa" w:w="3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失窃 Refresh 重放会撤销 token family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授权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RBAC + 资源关系 + tenant + RLS</w:t>
            </w:r>
          </w:p>
        </w:tc>
        <w:tc>
          <w:tcPr>
            <w:tcW w:type="dxa" w:w="30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两租户越权矩阵全部通过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Web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HTTPS、CSRF、CSP、严格 CORS、输出编码、富文本清理</w:t>
            </w:r>
          </w:p>
        </w:tc>
        <w:tc>
          <w:tcPr>
            <w:tcW w:type="dxa" w:w="3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安全扫描和手工渗透关键路径通过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文件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私有对象、预签名、MIME sniff、大小限制、隔离扫描</w:t>
            </w:r>
          </w:p>
        </w:tc>
        <w:tc>
          <w:tcPr>
            <w:tcW w:type="dxa" w:w="30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未扫描对象不可发布或下载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审计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分配、覆盖、评分、提权、成员角色和敏感读取</w:t>
            </w:r>
          </w:p>
        </w:tc>
        <w:tc>
          <w:tcPr>
            <w:tcW w:type="dxa" w:w="30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记录 actor、reason、resource、request_id；不写完整答案/Token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隐私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数据最小化、境内存储、未成年人同意、导出/删除流程</w:t>
            </w:r>
          </w:p>
        </w:tc>
        <w:tc>
          <w:tcPr>
            <w:tcW w:type="dxa" w:w="30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生产保留期限完成合规签字并配置化</w:t>
            </w:r>
          </w:p>
        </w:tc>
      </w:tr>
    </w:tbl>
    <w:p>
      <w:pPr>
        <w:spacing w:after="60"/>
      </w:pPr>
    </w:p>
    <w:p>
      <w:pPr>
        <w:pStyle w:val="Heading2"/>
      </w:pPr>
      <w:bookmarkStart w:id="39" w:name="security_ops"/>
      <w:r>
        <w:t>SLO、备份与可观测</w:t>
      </w:r>
      <w:bookmarkEnd w:id="39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00"/>
        <w:gridCol w:w="2500"/>
        <w:gridCol w:w="472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47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监控/处置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常规 API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P95 &lt; 500 ms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 route/tenant tier 观测，不记录 PII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自动保存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P95 &lt; 300 ms</w:t>
            </w:r>
          </w:p>
        </w:tc>
        <w:tc>
          <w:tcPr>
            <w:tcW w:type="dxa" w:w="47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监控失败率、revision 冲突和重试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容量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10,000 注册；1,000 并发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staging 运行混合流量压测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可用性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99.9%</w:t>
            </w:r>
          </w:p>
        </w:tc>
        <w:tc>
          <w:tcPr>
            <w:tcW w:type="dxa" w:w="47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核心提交链路与异步依赖分级降级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数据库恢复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RPO ≤ 15 min；RTO ≤ 4 h</w:t>
            </w:r>
          </w:p>
        </w:tc>
        <w:tc>
          <w:tcPr>
            <w:tcW w:type="dxa" w:w="4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PITR、定期恢复演练和报告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任务解析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P95 queue lag &lt; 60 s</w:t>
            </w:r>
          </w:p>
        </w:tc>
        <w:tc>
          <w:tcPr>
            <w:tcW w:type="dxa" w:w="47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Outbox/BullMQ 积压告警和幂等补偿</w:t>
            </w:r>
          </w:p>
        </w:tc>
      </w:tr>
    </w:tbl>
    <w:p>
      <w:pPr>
        <w:spacing w:after="6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开发、staging、production 三环境；生产变更只通过版本化 Migration。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结构化日志统一 request_id、tenant_id（非敏感形式）、actor_id 和 trace_id。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监控 API P95、自动保存失败、任务解析延迟、Outbox 积压、跨租户拒绝、对象扫描失败和批改队列。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Redis、邮件或扫描服务异常时，核心答题/提交保持可用；异步动作进入可重试队列或隔离区。</w:t>
      </w:r>
    </w:p>
    <w:p>
      <w:pPr>
        <w:pStyle w:val="Heading1"/>
      </w:pPr>
      <w:bookmarkStart w:id="40" w:name="sec_delivery"/>
      <w:r>
        <w:t>纵向交付与验收</w:t>
      </w:r>
      <w:bookmarkEnd w:id="40"/>
    </w:p>
    <w:p>
      <w:pPr>
        <w:pStyle w:val="Heading2"/>
      </w:pPr>
      <w:bookmarkStart w:id="41" w:name="delivery_slices"/>
      <w:r>
        <w:t>纵向切片</w:t>
      </w:r>
      <w:bookmarkEnd w:id="41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50"/>
        <w:gridCol w:w="3850"/>
        <w:gridCol w:w="3626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切片</w:t>
            </w:r>
          </w:p>
        </w:tc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可演示结果</w:t>
            </w:r>
          </w:p>
        </w:tc>
        <w:tc>
          <w:tcPr>
            <w:tcW w:type="dxa" w:w="36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1. 租户与认证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多机构邀请、登录、切换和角色授权</w:t>
            </w:r>
          </w:p>
        </w:tc>
        <w:tc>
          <w:tcPr>
            <w:tcW w:type="dxa" w:w="3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Cookie/CSRF/RLS 基线与 RLS-001~006 通过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2. 内容与路径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 General/TOEFL 内容和路径；学生绑定版本</w:t>
            </w:r>
          </w:p>
        </w:tc>
        <w:tc>
          <w:tcPr>
            <w:tcW w:type="dxa" w:w="3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不可变版本、平台复制和历史引用测试通过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3. 任务编排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全机构/路径/班级/个人分配及覆盖恢复</w:t>
            </w:r>
          </w:p>
        </w:tc>
        <w:tc>
          <w:tcPr>
            <w:tcW w:type="dxa" w:w="3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TC-019~036 通过；解析可重放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4. 作答提交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客观题与文本写作、自动保存、提交、重做</w:t>
            </w:r>
          </w:p>
        </w:tc>
        <w:tc>
          <w:tcPr>
            <w:tcW w:type="dxa" w:w="3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TC-037~051 通过；并发不丢答案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5. 评分反馈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自动评分、教师批改/退回、管理员修正</w:t>
            </w:r>
          </w:p>
        </w:tc>
        <w:tc>
          <w:tcPr>
            <w:tcW w:type="dxa" w:w="36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评分历史、权限和最终分数一致</w:t>
            </w:r>
          </w:p>
        </w:tc>
      </w:tr>
      <w:tr>
        <w:trPr>
          <w:cantSplit/>
        </w:trPr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6. 上线加固</w:t>
            </w:r>
          </w:p>
        </w:tc>
        <w:tc>
          <w:tcPr>
            <w:tcW w:type="dxa" w:w="3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监控、备份、对象扫描、基础进度和压测</w:t>
            </w:r>
          </w:p>
        </w:tc>
        <w:tc>
          <w:tcPr>
            <w:tcW w:type="dxa" w:w="36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P0 用例全过；RPO/RTO 演练完成</w:t>
            </w:r>
          </w:p>
        </w:tc>
      </w:tr>
    </w:tbl>
    <w:p>
      <w:pPr>
        <w:spacing w:after="60"/>
      </w:pPr>
    </w:p>
    <w:p>
      <w:pPr>
        <w:pStyle w:val="Heading2"/>
      </w:pPr>
      <w:bookmarkStart w:id="42" w:name="delivery_gates"/>
      <w:r>
        <w:t>上线门禁</w:t>
      </w:r>
      <w:bookmarkEnd w:id="42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权限与租户测试矩阵中所有 P0 状态为“通过”，P1 无未批准的阻塞。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OpenAPI lint、契约测试和前端客户端生成成功；未声明状态码或字段为零。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RLS 使用非表所有者运行时账号验证，证明遗漏 ORM 条件仍不能越权。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任务解析覆盖五级来源、slot_key、合并、隐藏/恢复、替换/恢复和 Outbox 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历史 attempt 在题目、任务和路径发布新版本后仍可完整重现。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1,000 并发混合压测、PITR 恢复演练、对象扫描失败隔离和 Migration 回滚通过。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隐私、未成年人数据、数据保留期限和境内存储策略完成业务与合规签字。</w:t>
      </w:r>
    </w:p>
    <w:p>
      <w:pPr>
        <w:pStyle w:val="Heading2"/>
      </w:pPr>
      <w:bookmarkStart w:id="43" w:name="delivery_done"/>
      <w:r>
        <w:t>完成定义</w:t>
      </w:r>
      <w:bookmarkEnd w:id="43"/>
    </w:p>
    <w:p>
      <w:r>
        <w:rPr>
          <w:rFonts w:ascii="Calibri" w:hAnsi="Calibri" w:eastAsia="Microsoft YaHei"/>
          <w:color w:val="1F2937"/>
        </w:rPr>
        <w:t>每个纵向切片必须同时具备：迁移、RLS policy、NestJS module、OpenAPI 变更、自动化测试、审计事件、指标/告警、回滚说明和可演示用户旅程。仅完成页面或仅完成数据库表均不视为完成。</w:t>
      </w:r>
    </w:p>
    <w:p>
      <w:pPr>
        <w:pStyle w:val="Heading1"/>
      </w:pPr>
      <w:bookmarkStart w:id="44" w:name="sec_post"/>
      <w:r>
        <w:t>Post-MVP 路线</w:t>
      </w:r>
      <w:bookmarkEnd w:id="44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4700"/>
        <w:gridCol w:w="2826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候选能力</w:t>
            </w:r>
          </w:p>
        </w:tc>
        <w:tc>
          <w:tcPr>
            <w:tcW w:type="dxa" w:w="28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进入条件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完整错题本、复习计划、批量任务、学生周报</w:t>
            </w:r>
          </w:p>
        </w:tc>
        <w:tc>
          <w:tcPr>
            <w:tcW w:type="dxa" w:w="2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核心任务和进度事件稳定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R3</w:t>
            </w:r>
          </w:p>
        </w:tc>
        <w:tc>
          <w:tcPr>
            <w:tcW w:type="dxa" w:w="4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口语录音、转录、教师口语批改</w:t>
            </w:r>
          </w:p>
        </w:tc>
        <w:tc>
          <w:tcPr>
            <w:tcW w:type="dxa" w:w="2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对象存储、配额、扫描和隐私评审成熟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写作建议、错误分类、推荐任务</w:t>
            </w:r>
          </w:p>
        </w:tc>
        <w:tc>
          <w:tcPr>
            <w:tcW w:type="dxa" w:w="2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模型评测、提示词版本、成本和教师确认流程完成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R5</w:t>
            </w:r>
          </w:p>
        </w:tc>
        <w:tc>
          <w:tcPr>
            <w:tcW w:type="dxa" w:w="4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IELTS/SAT/高考内容、移动端、家长账号、SSO/白标</w:t>
            </w:r>
          </w:p>
        </w:tc>
        <w:tc>
          <w:tcPr>
            <w:tcW w:type="dxa" w:w="2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多考试配置与租户运营能力验证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长期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开放 API、GraphQL 聚合、课程市场、直播</w:t>
            </w:r>
          </w:p>
        </w:tc>
        <w:tc>
          <w:tcPr>
            <w:tcW w:type="dxa" w:w="2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有明确外部客户和独立容量/安全评审</w:t>
            </w:r>
          </w:p>
        </w:tc>
      </w:tr>
    </w:tbl>
    <w:p>
      <w:pPr>
        <w:spacing w:after="60"/>
      </w:pPr>
    </w:p>
    <w:p>
      <w:pPr>
        <w:pStyle w:val="Heading1"/>
      </w:pPr>
      <w:bookmarkStart w:id="45" w:name="sec_appendix"/>
      <w:r>
        <w:t>附录：术语、枚举与工程附件</w:t>
      </w:r>
      <w:bookmarkEnd w:id="45"/>
    </w:p>
    <w:p>
      <w:pPr>
        <w:pStyle w:val="Heading2"/>
      </w:pPr>
      <w:bookmarkStart w:id="46" w:name="appendix_terms"/>
      <w:r>
        <w:t>规范术语</w:t>
      </w:r>
      <w:bookmarkEnd w:id="46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00"/>
        <w:gridCol w:w="6526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65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TenantMembership</w:t>
            </w:r>
          </w:p>
        </w:tc>
        <w:tc>
          <w:tcPr>
            <w:tcW w:type="dxa" w:w="6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全局用户在某一机构中的成员资格和状态；角色通过 assignment 表关联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Content / Question / Path / Task</w:t>
            </w:r>
          </w:p>
        </w:tc>
        <w:tc>
          <w:tcPr>
            <w:tcW w:type="dxa" w:w="65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稳定业务身份；Version 保存不可变发布内容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TaskAssignment</w:t>
            </w:r>
          </w:p>
        </w:tc>
        <w:tc>
          <w:tcPr>
            <w:tcW w:type="dxa" w:w="6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已发布任务版本的分配配置；受众目标保存在带真实外键的目标表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StudentTaskItem</w:t>
            </w:r>
          </w:p>
        </w:tc>
        <w:tc>
          <w:tcPr>
            <w:tcW w:type="dxa" w:w="65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面向一个学生的物化任务实例，承载解析结果和工作流状态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StudentTaskSource</w:t>
            </w:r>
          </w:p>
        </w:tc>
        <w:tc>
          <w:tcPr>
            <w:tcW w:type="dxa" w:w="6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任务实例的来源证明；同一实例可有多个来源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StudentTaskOverride</w:t>
            </w:r>
          </w:p>
        </w:tc>
        <w:tc>
          <w:tcPr>
            <w:tcW w:type="dxa" w:w="65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追加式教师/管理员干预，支持隐藏、替换、恢复和改期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TaskAttempt</w:t>
            </w:r>
          </w:p>
        </w:tc>
        <w:tc>
          <w:tcPr>
            <w:tcW w:type="dxa" w:w="6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学生一次连续作答周期；return 后在同一 attempt 继续，主动重做才产生新 attempt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SubmissionSnapshot</w:t>
            </w:r>
          </w:p>
        </w:tc>
        <w:tc>
          <w:tcPr>
            <w:tcW w:type="dxa" w:w="65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某次提交的不可变答案快照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ScoreDecision</w:t>
            </w:r>
          </w:p>
        </w:tc>
        <w:tc>
          <w:tcPr>
            <w:tcW w:type="dxa" w:w="6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自动评分、教师确认或管理员修正的追加式评分记录</w:t>
            </w:r>
          </w:p>
        </w:tc>
      </w:tr>
    </w:tbl>
    <w:p>
      <w:pPr>
        <w:spacing w:after="60"/>
      </w:pPr>
    </w:p>
    <w:p>
      <w:pPr>
        <w:pStyle w:val="Heading2"/>
      </w:pPr>
      <w:bookmarkStart w:id="47" w:name="appendix_enums"/>
      <w:r>
        <w:t>规范枚举</w:t>
      </w:r>
      <w:bookmarkEnd w:id="47"/>
    </w:p>
    <w:p>
      <w:pPr>
        <w:pStyle w:val="CodeBlock"/>
        <w:shd w:fill="F2F4F7"/>
        <w:pBdr>
          <w:left w:val="single" w:sz="8" w:space="6" w:color="1F4D78"/>
        </w:pBdr>
      </w:pPr>
      <w:r>
        <w:rPr>
          <w:rFonts w:ascii="Consolas" w:hAnsi="Consolas" w:eastAsia="Microsoft YaHei"/>
          <w:color w:val="17365D"/>
          <w:sz w:val="19"/>
        </w:rPr>
        <w:t>resolution_state = active | hidden | superseded</w:t>
        <w:br/>
        <w:t>workflow_state   = not_started | in_progress | submitted | grading | returned | completed | cancelled</w:t>
        <w:br/>
        <w:t>availability     = locked | upcoming | available</w:t>
        <w:br/>
        <w:t>score_source     = auto | teacher | tenant_admin</w:t>
        <w:br/>
        <w:t>late_policy      = allow | block</w:t>
      </w:r>
    </w:p>
    <w:p>
      <w:pPr>
        <w:pStyle w:val="Heading2"/>
      </w:pPr>
      <w:bookmarkStart w:id="48" w:name="appendix_artifacts"/>
      <w:r>
        <w:t>工程附件与优先级</w:t>
      </w:r>
      <w:bookmarkEnd w:id="48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700"/>
        <w:gridCol w:w="3500"/>
        <w:gridCol w:w="2826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文件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8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冲突时优先级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个性化英语学习平台开发者文档_V1.1.docx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架构、边界、流程和验收主规格</w:t>
            </w:r>
          </w:p>
        </w:tc>
        <w:tc>
          <w:tcPr>
            <w:tcW w:type="dxa" w:w="2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领域意图与非功能要求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data-model.md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完整 ERD、字段、约束、索引和 RLS</w:t>
            </w:r>
          </w:p>
        </w:tc>
        <w:tc>
          <w:tcPr>
            <w:tcW w:type="dxa" w:w="2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数据库对象与约束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openapi-v1.yaml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OpenAPI 3.1 路径、Schema、状态码和示例</w:t>
            </w:r>
          </w:p>
        </w:tc>
        <w:tc>
          <w:tcPr>
            <w:tcW w:type="dxa" w:w="2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HTTP 接口契约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权限与租户测试矩阵.xlsx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权限、RLS、并发、端到端和运维门禁</w:t>
            </w:r>
          </w:p>
        </w:tc>
        <w:tc>
          <w:tcPr>
            <w:tcW w:type="dxa" w:w="2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验收用例与执行状态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ADR.md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关键技术决策、取舍和验证方式</w:t>
            </w:r>
          </w:p>
        </w:tc>
        <w:tc>
          <w:tcPr>
            <w:tcW w:type="dxa" w:w="2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架构决策背景与后果</w:t>
            </w:r>
          </w:p>
        </w:tc>
      </w:tr>
    </w:tbl>
    <w:p>
      <w:pPr>
        <w:spacing w:after="60"/>
      </w:pPr>
    </w:p>
    <w:p>
      <w:pPr>
        <w:pStyle w:val="LeadCallout"/>
        <w:shd w:fill="FFF8E1"/>
        <w:pBdr>
          <w:left w:val="single" w:sz="12" w:space="6" w:color="7A5A00"/>
        </w:pBdr>
      </w:pPr>
      <w:r>
        <w:rPr>
          <w:rFonts w:ascii="Calibri" w:hAnsi="Calibri" w:eastAsia="Microsoft YaHei"/>
          <w:b/>
          <w:color w:val="7A5A00"/>
        </w:rPr>
        <w:t xml:space="preserve">变更纪律　</w:t>
      </w:r>
      <w:r>
        <w:rPr>
          <w:rFonts w:ascii="Calibri" w:hAnsi="Calibri" w:eastAsia="Microsoft YaHei"/>
          <w:color w:val="17365D"/>
        </w:rPr>
        <w:t>如附件之间出现命名或行为冲突，必须先更新 ADR 并同步修改全部受影响文件；禁止只在实现代码中形成隐含规则。</w:t>
      </w:r>
    </w:p>
    <w:p>
      <w:pPr>
        <w:pStyle w:val="Heading2"/>
      </w:pPr>
      <w:bookmarkStart w:id="49" w:name="appendix_startup"/>
      <w:r>
        <w:t>实施启动清单</w:t>
      </w:r>
      <w:bookmarkEnd w:id="49"/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在实现仓库落地 ADR 编号、模块目录和 CODEOWNERS，禁止跨模块直接访问数据库表。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先建立 tenants、users、memberships、运行时数据库角色与 FORCE RLS 测试夹具。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把 openapi-v1.yaml 接入 lint、契约测试和前端客户端生成流水线。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以 data-model.md 生成首批 SQL Migration；原生 RLS、复合外键和部分索引不得只靠 ORM 表达。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准备 tenant_a / tenant_b、学生、教师、管理员及 General/TOEFL 的最小种子数据。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</w:rPr>
        <w:t>把权限与租户测试矩阵中的 P0 用例映射到 CI job，并为每次执行保存 request_id 与报告链接。</w:t>
      </w:r>
    </w:p>
    <w:p>
      <w:pPr>
        <w:pStyle w:val="Heading2"/>
      </w:pPr>
      <w:bookmarkStart w:id="50" w:name="appendix_signoff"/>
      <w:r>
        <w:t>上线前外部签字项</w:t>
      </w:r>
      <w:bookmarkEnd w:id="50"/>
    </w:p>
    <w:tbl>
      <w:tblPr>
        <w:tblStyle w:val="TableGrid"/>
        <w:tblW w:type="dxa" w:w="902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800"/>
        <w:gridCol w:w="2400"/>
        <w:gridCol w:w="3826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签字项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责任人</w:t>
            </w:r>
          </w:p>
        </w:tc>
        <w:tc>
          <w:tcPr>
            <w:tcW w:type="dxa" w:w="38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必须明确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隐私与未成年人数据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业务负责人 + 法务/合规</w:t>
            </w:r>
          </w:p>
        </w:tc>
        <w:tc>
          <w:tcPr>
            <w:tcW w:type="dxa" w:w="3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同意流程、监护人机制、最小化字段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数据保留与删除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业务负责人 + 数据负责人</w:t>
            </w:r>
          </w:p>
        </w:tc>
        <w:tc>
          <w:tcPr>
            <w:tcW w:type="dxa" w:w="3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各类记录期限、匿名化、法定义务保留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境内存储与供应商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安全负责人</w:t>
            </w:r>
          </w:p>
        </w:tc>
        <w:tc>
          <w:tcPr>
            <w:tcW w:type="dxa" w:w="3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数据库、对象存储、邮件与监控供应商区域</w:t>
            </w:r>
          </w:p>
        </w:tc>
      </w:tr>
      <w:tr>
        <w:trPr>
          <w:cantSplit/>
        </w:trP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容量与恢复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技术负责人 + 运维</w:t>
            </w:r>
          </w:p>
        </w:tc>
        <w:tc>
          <w:tcPr>
            <w:tcW w:type="dxa" w:w="382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RPO/RTO、备份恢复演练和告警值班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V1.1　|　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 / 共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712" w:val="left"/>
      </w:tabs>
      <w:jc w:val="left"/>
    </w:pPr>
    <w:r/>
    <w:r>
      <w:rPr>
        <w:rFonts w:ascii="Calibri" w:hAnsi="Calibri" w:eastAsia="Microsoft YaHei"/>
        <w:b/>
        <w:color w:val="667085"/>
        <w:sz w:val="17"/>
      </w:rPr>
      <w:t>个性化英语学习平台开发者文档</w:t>
    </w:r>
    <w:r>
      <w:rPr>
        <w:rFonts w:ascii="Calibri" w:hAnsi="Calibri" w:eastAsia="Microsoft YaHei"/>
        <w:color w:val="667085"/>
        <w:sz w:val="17"/>
      </w:rPr>
      <w:tab/>
      <w:t>V1.1 工程规格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</w:p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7365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Calibri" w:hAnsi="Calibri" w:eastAsia="Microsoft YaHei"/>
      <w:b/>
      <w:bCs/>
      <w:i w:val="0"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64" w:lineRule="auto"/>
      <w:ind w:left="283" w:right="283"/>
    </w:pPr>
    <w:rPr>
      <w:rFonts w:ascii="Consolas" w:hAnsi="Consolas" w:eastAsia="Microsoft YaHei"/>
      <w:color w:val="17365D"/>
      <w:sz w:val="19"/>
    </w:rPr>
  </w:style>
  <w:style w:type="paragraph" w:customStyle="1" w:styleId="LeadCallout">
    <w:name w:val="Lead Callout"/>
    <w:pPr>
      <w:spacing w:before="120" w:after="160" w:line="288" w:lineRule="auto"/>
      <w:ind w:left="283" w:right="170"/>
    </w:pPr>
    <w:rPr>
      <w:rFonts w:ascii="Calibri" w:hAnsi="Calibri" w:eastAsia="Microsoft YaHei"/>
      <w:color w:val="17365D"/>
      <w:sz w:val="21"/>
    </w:rPr>
  </w:style>
  <w:style w:type="paragraph" w:customStyle="1" w:styleId="SmallText">
    <w:name w:val="Small Text"/>
    <w:pPr>
      <w:spacing w:after="60"/>
    </w:pPr>
    <w:rPr>
      <w:rFonts w:ascii="Calibri" w:hAnsi="Calibr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个性化英语学习平台开发者文档 V1.1</dc:title>
  <dc:subject>General + TOEFL 多租户个性化英语学习平台工程规格</dc:subject>
  <dc:creator>项目组</dc:creator>
  <cp:keywords>Next.js,NestJS,PostgreSQL,RLS,TOEFL,Learning Platform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Developer Specification</cp:category>
</cp:coreProperties>
</file>