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宋体" w:ascii="Times New Roman" w:hAnsi="Times New Roman"/>
          <w:sz w:val="24"/>
        </w:rPr>
        <w:t xml:space="preserve">说明书摘要</w:t>
      </w:r>
    </w:p>
    <w:p/>
    <w:p>
      <w:r>
        <w:rPr>
          <w:rFonts w:eastAsia="宋体" w:ascii="Times New Roman" w:hAnsi="Times New Roman"/>
          <w:sz w:val="24"/>
        </w:rPr>
        <w:t xml:space="preserve">发明名称：一种游戏内容的程序化生成与运行时动态注册方法</w:t>
      </w:r>
    </w:p>
    <w:p/>
    <w:p/>
    <w:p/>
    <w:p>
      <w:r>
        <w:rPr>
          <w:rFonts w:eastAsia="宋体" w:ascii="Times New Roman" w:hAnsi="Times New Roman"/>
          <w:sz w:val="24"/>
        </w:rPr>
        <w:t xml:space="preserve">本发明公开了一种游戏内容的程序化生成与运行时动态注册方法，属于计算机游戏软件技术领域。该方法包括：预置词池与规则模板；基于种子随机数从词池抽取词汇与修饰参数并填充规则模板，程序化生成装备套装、功法心法或名器等游戏内容项；将生成的内容项动态注册至游戏的静态配置表（套装表、装备基座表、功法表），使生成内容与静态内容经由同一解析与数值聚合链路被统一处理；将生成内容项作为玩家存档的一部分序列化持久化；在读档时从存档反序列化并重新执行动态注册，精确重建运行期配置表状态。本发明还包含无尽模式现世策略：已存在动态内容时以高于新建的概率沿用已有内容之一，并对动态内容数量设上限以抑制数值膨胀。本发明使游戏内容在不修改代码、不重新发布版本的前提下可无限扩展，且生成内容能与静态内容共用解析与数值链路、随存档持久化与读档重建，显著降低了内容运营成本并保持了数值与进度的一致性。</w:t>
      </w:r>
    </w:p>
    <w:p/>
    <w:p>
      <w:r>
        <w:rPr>
          <w:rFonts w:eastAsia="宋体" w:ascii="Times New Roman" w:hAnsi="Times New Roman"/>
          <w:sz w:val="24"/>
        </w:rPr>
        <w:t xml:space="preserve">（附图说明：摘要附图采用说明书附图中的图 1。）</w:t>
      </w:r>
    </w:p>
    <w:p/>
    <w:p/>
    <w:p/>
    <w:sectPr>
      <w:pgSz w:w="11906" w:h="16838"/>
      <w:pgMar w:top="1418" w:right="1418" w:bottom="1418" w:left="1418"/>
    </w:sectPr>
  </w:body>
</w:document>
</file>