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宋体" w:ascii="Times New Roman" w:hAnsi="Times New Roman"/>
          <w:sz w:val="24"/>
        </w:rPr>
        <w:t xml:space="preserve">权利要求书</w:t>
      </w:r>
    </w:p>
    <w:p/>
    <w:p>
      <w:r>
        <w:rPr>
          <w:rFonts w:eastAsia="宋体" w:ascii="Times New Roman" w:hAnsi="Times New Roman"/>
          <w:sz w:val="24"/>
        </w:rPr>
        <w:t xml:space="preserve">发明名称：一种基于统一修饰聚合的攻击形态动态求值方法</w:t>
      </w:r>
    </w:p>
    <w:p/>
    <w:p>
      <w:r>
        <w:rPr>
          <w:rFonts w:eastAsia="宋体" w:ascii="Times New Roman" w:hAnsi="Times New Roman"/>
          <w:sz w:val="24"/>
        </w:rPr>
        <w:t xml:space="preserve">1. 一种基于统一修饰聚合的攻击形态动态求值方法，其特征在于，包括：</w:t>
      </w:r>
    </w:p>
    <w:p>
      <w:r>
        <w:rPr>
          <w:rFonts w:eastAsia="宋体" w:ascii="Times New Roman" w:hAnsi="Times New Roman"/>
          <w:sz w:val="24"/>
        </w:rPr>
        <w:t xml:space="preserve">定义包含固定键集合的统一修饰向量；</w:t>
      </w:r>
    </w:p>
    <w:p>
      <w:r>
        <w:rPr>
          <w:rFonts w:eastAsia="宋体" w:ascii="Times New Roman" w:hAnsi="Times New Roman"/>
          <w:sz w:val="24"/>
        </w:rPr>
        <w:t xml:space="preserve">将来自装备、词缀、套装、心法与天赋的多来源修饰归一化累加到所述统一修饰向量，得到聚合修饰；以及</w:t>
      </w:r>
    </w:p>
    <w:p>
      <w:r>
        <w:rPr>
          <w:rFonts w:eastAsia="宋体" w:ascii="Times New Roman" w:hAnsi="Times New Roman"/>
          <w:sz w:val="24"/>
        </w:rPr>
        <w:t xml:space="preserve">依据优先级链从所述聚合修饰实时求值当前攻击形态，所述优先级链为：套装触发效果优先于主修招式、主修招式优先于职业默认形态。</w:t>
      </w:r>
    </w:p>
    <w:p/>
    <w:p>
      <w:r>
        <w:rPr>
          <w:rFonts w:eastAsia="宋体" w:ascii="Times New Roman" w:hAnsi="Times New Roman"/>
          <w:sz w:val="24"/>
        </w:rPr>
        <w:t xml:space="preserve">2. 根据权利要求 1 所述的方法，其特征在于，所述统一修饰向量包含攻击、防御、速度、会心、气血及各项百分比加成共计十二个键，所有来源经同一累加函数写入所述统一修饰向量，无来源分支特判。</w:t>
      </w:r>
    </w:p>
    <w:p/>
    <w:p>
      <w:r>
        <w:rPr>
          <w:rFonts w:eastAsia="宋体" w:ascii="Times New Roman" w:hAnsi="Times New Roman"/>
          <w:sz w:val="24"/>
        </w:rPr>
        <w:t xml:space="preserve">3. 根据权利要求 1 所述的方法，其特征在于，所述套装触发效果能够同时改写普攻攻击形态与神通形态，且改写以套装件数达到预设阈值为条件。</w:t>
      </w:r>
    </w:p>
    <w:p/>
    <w:p>
      <w:r>
        <w:rPr>
          <w:rFonts w:eastAsia="宋体" w:ascii="Times New Roman" w:hAnsi="Times New Roman"/>
          <w:sz w:val="24"/>
        </w:rPr>
        <w:t xml:space="preserve">4. 根据权利要求 1 所述的方法，其特征在于，所述攻击形态与套装效果以配置数据登记于配置表与枚举中，新增攻击形态或新增修饰来源时不改动主战斗流程，实现数据驱动扩展。</w:t>
      </w:r>
    </w:p>
    <w:p/>
    <w:p>
      <w:r>
        <w:rPr>
          <w:rFonts w:eastAsia="宋体" w:ascii="Times New Roman" w:hAnsi="Times New Roman"/>
          <w:sz w:val="24"/>
        </w:rPr>
        <w:t xml:space="preserve">5. 根据权利要求 1 所述的方法，其特征在于，应用于移动端竖屏单手操作场景，玩家以单一攻击键触发由所述优先级链求值得出的当前攻击形态，所述攻击形态随装备、套装、招式或天赋的变化自动改变。</w:t>
      </w:r>
    </w:p>
    <w:p/>
    <w:p>
      <w:r>
        <w:rPr>
          <w:rFonts w:eastAsia="宋体" w:ascii="Times New Roman" w:hAnsi="Times New Roman"/>
          <w:sz w:val="24"/>
        </w:rPr>
        <w:t xml:space="preserve">6. 一种计算机可读存储介质，其上存储有计算机程序，所述程序被处理器执行时实现权利要求 1 至 5 中任一项所述的方法。</w:t>
      </w:r>
    </w:p>
    <w:p/>
    <w:sectPr>
      <w:pgSz w:w="11906" w:h="16838"/>
      <w:pgMar w:top="1418" w:right="1418" w:bottom="1418" w:left="1418"/>
    </w:sectPr>
  </w:body>
</w:document>
</file>