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sz w:val="21"/>
          <w:szCs w:val="21"/>
        </w:rPr>
        <w:t>The dissolution rates of Capsaicin, Dihydrocapsaicin and Capsaicinoids in brine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4"/>
        <w:gridCol w:w="2376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Sample No.</w:t>
            </w:r>
          </w:p>
        </w:tc>
        <w:tc>
          <w:tcPr>
            <w:tcW w:w="198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>Capsaicin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(</w:t>
            </w:r>
            <w:r>
              <w:t>g/kg</w:t>
            </w:r>
            <w:r>
              <w:rPr>
                <w:rFonts w:hint="eastAsia"/>
              </w:rPr>
              <w:t>)</w:t>
            </w:r>
          </w:p>
        </w:tc>
        <w:tc>
          <w:tcPr>
            <w:tcW w:w="23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1"/>
                <w:szCs w:val="21"/>
              </w:rPr>
              <w:t xml:space="preserve">Dihydrocapsaicin </w:t>
            </w:r>
            <w:r>
              <w:rPr>
                <w:rFonts w:hint="eastAsia"/>
                <w:szCs w:val="21"/>
              </w:rPr>
              <w:t>(</w:t>
            </w:r>
            <w:r>
              <w:t>g/kg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 xml:space="preserve">Capsaicinoids </w:t>
            </w:r>
            <w:r>
              <w:rPr>
                <w:rFonts w:hint="eastAsia"/>
              </w:rPr>
              <w:t>(</w:t>
            </w:r>
            <w:r>
              <w:t>g/kg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2.62±0.48</w:t>
            </w:r>
            <w:r>
              <w:rPr>
                <w:vertAlign w:val="superscript"/>
              </w:rPr>
              <w:t>fgh</w:t>
            </w:r>
          </w:p>
        </w:tc>
        <w:tc>
          <w:tcPr>
            <w:tcW w:w="237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0.91±0.17</w:t>
            </w:r>
            <w:r>
              <w:rPr>
                <w:vertAlign w:val="superscript"/>
              </w:rPr>
              <w:t>ij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3.92±0.67</w:t>
            </w:r>
            <w:r>
              <w:rPr>
                <w:vertAlign w:val="superscript"/>
              </w:rPr>
              <w:t>ghijk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4.49±0.31</w:t>
            </w:r>
            <w:r>
              <w:rPr>
                <w:vertAlign w:val="superscript"/>
              </w:rPr>
              <w:t>c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1.49±0.05</w:t>
            </w:r>
            <w:r>
              <w:rPr>
                <w:vertAlign w:val="superscript"/>
              </w:rPr>
              <w:t>cd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6.64±0.38</w:t>
            </w:r>
            <w:r>
              <w:rPr>
                <w:vertAlign w:val="superscript"/>
              </w:rPr>
              <w:t>cd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4.29±0.52</w:t>
            </w:r>
            <w:r>
              <w:rPr>
                <w:vertAlign w:val="superscript"/>
              </w:rPr>
              <w:t>c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1.46±0.15</w:t>
            </w:r>
            <w:r>
              <w:rPr>
                <w:vertAlign w:val="superscript"/>
              </w:rPr>
              <w:t>d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6.39±0.72</w:t>
            </w:r>
            <w:r>
              <w:rPr>
                <w:vertAlign w:val="superscript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5.28±0.13</w:t>
            </w:r>
            <w:r>
              <w:rPr>
                <w:vertAlign w:val="superscript"/>
              </w:rPr>
              <w:t>b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1.82±0.07</w:t>
            </w:r>
            <w:r>
              <w:rPr>
                <w:vertAlign w:val="superscript"/>
              </w:rPr>
              <w:t>a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7.90±0.21</w:t>
            </w:r>
            <w:r>
              <w:rPr>
                <w:vertAlign w:val="superscript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1.11±0.01</w:t>
            </w:r>
            <w:r>
              <w:rPr>
                <w:vertAlign w:val="superscript"/>
              </w:rPr>
              <w:t>o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0.26±0.01</w:t>
            </w:r>
            <w:r>
              <w:rPr>
                <w:vertAlign w:val="superscript"/>
              </w:rPr>
              <w:t>l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1.52±0.01</w:t>
            </w:r>
            <w:r>
              <w:rPr>
                <w:vertAlign w:val="superscript"/>
              </w:rPr>
              <w:t>nop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1.48±0.08</w:t>
            </w:r>
            <w:r>
              <w:rPr>
                <w:vertAlign w:val="superscript"/>
              </w:rPr>
              <w:t>no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0.59±0.05</w:t>
            </w:r>
            <w:r>
              <w:rPr>
                <w:vertAlign w:val="superscript"/>
              </w:rPr>
              <w:t>k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2.30±0.14</w:t>
            </w:r>
            <w:r>
              <w:rPr>
                <w:vertAlign w:val="superscript"/>
              </w:rPr>
              <w:t>lmn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1.39±0.02</w:t>
            </w:r>
            <w:r>
              <w:rPr>
                <w:vertAlign w:val="superscript"/>
              </w:rPr>
              <w:t>no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0.51±0.01</w:t>
            </w:r>
            <w:r>
              <w:rPr>
                <w:vertAlign w:val="superscript"/>
              </w:rPr>
              <w:t>k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2.11±0.01</w:t>
            </w:r>
            <w:r>
              <w:rPr>
                <w:vertAlign w:val="superscript"/>
              </w:rPr>
              <w:t>mno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2.57±0.03</w:t>
            </w:r>
            <w:r>
              <w:rPr>
                <w:vertAlign w:val="superscript"/>
              </w:rPr>
              <w:t>ghi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0.83±0.02</w:t>
            </w:r>
            <w:r>
              <w:rPr>
                <w:vertAlign w:val="superscript"/>
              </w:rPr>
              <w:t>j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3.78±0.05</w:t>
            </w:r>
            <w:r>
              <w:rPr>
                <w:vertAlign w:val="superscript"/>
              </w:rPr>
              <w:t>ghijkl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7.94±0.50</w:t>
            </w:r>
            <w:r>
              <w:rPr>
                <w:vertAlign w:val="superscript"/>
              </w:rPr>
              <w:t>a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1.63±0.08</w:t>
            </w:r>
            <w:r>
              <w:rPr>
                <w:vertAlign w:val="superscript"/>
              </w:rPr>
              <w:t>bc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10.64±0.65</w:t>
            </w:r>
            <w:r>
              <w:rPr>
                <w:vertAlign w:val="superscript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2.56±0.27</w:t>
            </w:r>
            <w:r>
              <w:rPr>
                <w:vertAlign w:val="superscript"/>
              </w:rPr>
              <w:t>ghi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1.07±0.12</w:t>
            </w:r>
            <w:r>
              <w:rPr>
                <w:vertAlign w:val="superscript"/>
              </w:rPr>
              <w:t>gh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4.04±0.43</w:t>
            </w:r>
            <w:r>
              <w:rPr>
                <w:vertAlign w:val="superscript"/>
              </w:rPr>
              <w:t>ghij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3.33±0.29</w:t>
            </w:r>
            <w:r>
              <w:rPr>
                <w:vertAlign w:val="superscript"/>
              </w:rPr>
              <w:t>de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1.40±0.20</w:t>
            </w:r>
            <w:r>
              <w:rPr>
                <w:vertAlign w:val="superscript"/>
              </w:rPr>
              <w:t>de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5.26±0.52</w:t>
            </w:r>
            <w:r>
              <w:rPr>
                <w:vertAlign w:val="superscript"/>
              </w:rPr>
              <w:t>defg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2.98±0.02</w:t>
            </w:r>
            <w:r>
              <w:rPr>
                <w:vertAlign w:val="superscript"/>
              </w:rPr>
              <w:t>ef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1.45±0.01</w:t>
            </w:r>
            <w:r>
              <w:rPr>
                <w:vertAlign w:val="superscript"/>
              </w:rPr>
              <w:t>d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4.92±0.03</w:t>
            </w:r>
            <w:r>
              <w:rPr>
                <w:vertAlign w:val="superscript"/>
              </w:rPr>
              <w:t>efgh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2.33±0.08</w:t>
            </w:r>
            <w:r>
              <w:rPr>
                <w:vertAlign w:val="superscript"/>
              </w:rPr>
              <w:t>hijk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1.21±0.05</w:t>
            </w:r>
            <w:r>
              <w:rPr>
                <w:vertAlign w:val="superscript"/>
              </w:rPr>
              <w:t>fg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3.93±0.14</w:t>
            </w:r>
            <w:r>
              <w:rPr>
                <w:vertAlign w:val="superscript"/>
              </w:rPr>
              <w:t>ghijk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1.66±0.04</w:t>
            </w:r>
            <w:r>
              <w:rPr>
                <w:vertAlign w:val="superscript"/>
              </w:rPr>
              <w:t>mn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0.58±0.01</w:t>
            </w:r>
            <w:r>
              <w:rPr>
                <w:vertAlign w:val="superscript"/>
              </w:rPr>
              <w:t>k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2.49±0.04</w:t>
            </w:r>
            <w:r>
              <w:rPr>
                <w:vertAlign w:val="superscript"/>
              </w:rPr>
              <w:t>klmn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2.14±0.01</w:t>
            </w:r>
            <w:r>
              <w:rPr>
                <w:vertAlign w:val="superscript"/>
              </w:rPr>
              <w:t>jkl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0.52±0.05</w:t>
            </w:r>
            <w:r>
              <w:rPr>
                <w:vertAlign w:val="superscript"/>
              </w:rPr>
              <w:t>k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2.96±0.06</w:t>
            </w:r>
            <w:r>
              <w:rPr>
                <w:vertAlign w:val="superscript"/>
              </w:rPr>
              <w:t>ijklmn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0.53±0.04</w:t>
            </w:r>
            <w:r>
              <w:rPr>
                <w:vertAlign w:val="superscript"/>
              </w:rPr>
              <w:t>p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0.23±0.01</w:t>
            </w:r>
            <w:r>
              <w:rPr>
                <w:vertAlign w:val="superscript"/>
              </w:rPr>
              <w:t>l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0.85±0.06</w:t>
            </w:r>
            <w:r>
              <w:rPr>
                <w:vertAlign w:val="superscript"/>
              </w:rPr>
              <w:t>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4.25±0.26</w:t>
            </w:r>
            <w:r>
              <w:rPr>
                <w:vertAlign w:val="superscript"/>
              </w:rPr>
              <w:t>c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1.27±0.07</w:t>
            </w:r>
            <w:r>
              <w:rPr>
                <w:vertAlign w:val="superscript"/>
              </w:rPr>
              <w:t>ef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6.14±0.36</w:t>
            </w:r>
            <w:r>
              <w:rPr>
                <w:vertAlign w:val="superscript"/>
              </w:rPr>
              <w:t>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5.32±0.29</w:t>
            </w:r>
            <w:r>
              <w:rPr>
                <w:vertAlign w:val="superscript"/>
              </w:rPr>
              <w:t>b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1.75±0.15</w:t>
            </w:r>
            <w:r>
              <w:rPr>
                <w:vertAlign w:val="superscript"/>
              </w:rPr>
              <w:t>ab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7.85±0.49</w:t>
            </w:r>
            <w:r>
              <w:rPr>
                <w:vertAlign w:val="superscript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5.26±0.25</w:t>
            </w:r>
            <w:r>
              <w:rPr>
                <w:vertAlign w:val="superscript"/>
              </w:rPr>
              <w:t>b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1.89±0.20a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7.95±0.48</w:t>
            </w:r>
            <w:r>
              <w:rPr>
                <w:vertAlign w:val="superscript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1.79±0.01</w:t>
            </w:r>
            <w:r>
              <w:rPr>
                <w:vertAlign w:val="superscript"/>
              </w:rPr>
              <w:t>lmn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0.56±0.01</w:t>
            </w:r>
            <w:r>
              <w:rPr>
                <w:vertAlign w:val="superscript"/>
              </w:rPr>
              <w:t>k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2.61±0.02</w:t>
            </w:r>
            <w:r>
              <w:rPr>
                <w:vertAlign w:val="superscript"/>
              </w:rPr>
              <w:t>jklmn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2.91±0.11</w:t>
            </w:r>
            <w:r>
              <w:rPr>
                <w:vertAlign w:val="superscript"/>
              </w:rPr>
              <w:t>fg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1.03±0.03</w:t>
            </w:r>
            <w:r>
              <w:rPr>
                <w:vertAlign w:val="superscript"/>
              </w:rPr>
              <w:t>hi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4.37±0.14</w:t>
            </w:r>
            <w:r>
              <w:rPr>
                <w:vertAlign w:val="superscript"/>
              </w:rPr>
              <w:t>fghi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2.20±0.16</w:t>
            </w:r>
            <w:r>
              <w:rPr>
                <w:vertAlign w:val="superscript"/>
              </w:rPr>
              <w:t>ijk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0.63±0.10</w:t>
            </w:r>
            <w:r>
              <w:rPr>
                <w:vertAlign w:val="superscript"/>
              </w:rPr>
              <w:t>k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bookmarkStart w:id="0" w:name="_GoBack"/>
            <w:r>
              <w:t>3.15±0.27</w:t>
            </w:r>
            <w:r>
              <w:rPr>
                <w:vertAlign w:val="superscript"/>
              </w:rPr>
              <w:t>ijklm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1.96±0.12</w:t>
            </w:r>
            <w:r>
              <w:rPr>
                <w:vertAlign w:val="superscript"/>
              </w:rPr>
              <w:t>klm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0.63±0.04</w:t>
            </w:r>
            <w:r>
              <w:rPr>
                <w:vertAlign w:val="superscript"/>
              </w:rPr>
              <w:t>k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2.88±0.17</w:t>
            </w:r>
            <w:r>
              <w:rPr>
                <w:vertAlign w:val="superscript"/>
              </w:rPr>
              <w:t>ijklmn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2.54±0.03</w:t>
            </w:r>
            <w:r>
              <w:rPr>
                <w:vertAlign w:val="superscript"/>
              </w:rPr>
              <w:t>ghij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0.80±0.01</w:t>
            </w:r>
            <w:r>
              <w:rPr>
                <w:vertAlign w:val="superscript"/>
              </w:rPr>
              <w:t>j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3.71±0.03</w:t>
            </w:r>
            <w:r>
              <w:rPr>
                <w:vertAlign w:val="superscript"/>
              </w:rPr>
              <w:t>hijkl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</w:pPr>
            <w:r>
              <w:t>3.57±0.08</w:t>
            </w:r>
            <w:r>
              <w:rPr>
                <w:vertAlign w:val="superscript"/>
              </w:rPr>
              <w:t>d</w:t>
            </w:r>
          </w:p>
        </w:tc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</w:pPr>
            <w:r>
              <w:t>1.37±0.11</w:t>
            </w:r>
            <w:r>
              <w:rPr>
                <w:vertAlign w:val="superscript"/>
              </w:rPr>
              <w:t>de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</w:pPr>
            <w:r>
              <w:t>5.48±0.18</w:t>
            </w:r>
            <w:r>
              <w:rPr>
                <w:vertAlign w:val="superscript"/>
              </w:rPr>
              <w:t>def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0.20±0.01</w:t>
            </w:r>
            <w:r>
              <w:rPr>
                <w:vertAlign w:val="superscript"/>
              </w:rPr>
              <w:t>p</w:t>
            </w:r>
          </w:p>
        </w:tc>
        <w:tc>
          <w:tcPr>
            <w:tcW w:w="237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0.17±0.01</w:t>
            </w:r>
            <w:r>
              <w:rPr>
                <w:vertAlign w:val="superscript"/>
              </w:rPr>
              <w:t>l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0.41±0.02</w:t>
            </w:r>
            <w:r>
              <w:rPr>
                <w:vertAlign w:val="superscript"/>
              </w:rPr>
              <w:t>p</w:t>
            </w:r>
          </w:p>
        </w:tc>
      </w:tr>
    </w:tbl>
    <w:p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esults</w:t>
      </w:r>
      <w:r>
        <w:rPr>
          <w:sz w:val="18"/>
          <w:szCs w:val="18"/>
        </w:rPr>
        <w:t xml:space="preserve"> were expressed as </w:t>
      </w:r>
      <w:r>
        <w:rPr>
          <w:rFonts w:hint="eastAsia"/>
          <w:sz w:val="18"/>
          <w:szCs w:val="18"/>
        </w:rPr>
        <w:t>means±</w:t>
      </w:r>
      <w:r>
        <w:rPr>
          <w:sz w:val="18"/>
          <w:szCs w:val="18"/>
        </w:rPr>
        <w:t xml:space="preserve">SD, different </w:t>
      </w:r>
      <w:r>
        <w:rPr>
          <w:rFonts w:hint="eastAsia"/>
          <w:sz w:val="18"/>
          <w:szCs w:val="18"/>
        </w:rPr>
        <w:t>letters</w:t>
      </w:r>
      <w:r>
        <w:rPr>
          <w:sz w:val="18"/>
          <w:szCs w:val="18"/>
        </w:rPr>
        <w:t xml:space="preserve"> in the same column represent significant difference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i/>
          <w:iCs/>
          <w:sz w:val="18"/>
          <w:szCs w:val="18"/>
        </w:rPr>
        <w:t>P</w:t>
      </w:r>
      <w:r>
        <w:rPr>
          <w:rFonts w:hint="eastAsia"/>
          <w:sz w:val="18"/>
          <w:szCs w:val="18"/>
        </w:rPr>
        <w:t>&lt;0.05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vGulliv-R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AdvOT596495f2+20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XnslqcWarnockPro-It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PngrwtMTSYN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YttksfWarnockPro-It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AdvGulliv-I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1EF6"/>
    <w:rsid w:val="FA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jc w:val="both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Calibri" w:hAnsi="Calibri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2022-02-03T10:39:00Z</dcterms:created>
  <dc:creator>xingzheng</dc:creator>
  <cp:lastModifiedBy>xingzheng</cp:lastModifiedBy>
  <dcterms:modified xsi:type="dcterms:W3CDTF">2022-02-03T10:40:36Z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