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修饰符主要分为以下两类：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非访问修饰符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访问控制修饰符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Java中，可以使用访问控制符来保护对类、变量、方法和构造方法的访问。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Java 支持 4 种不同的访问权限。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(即默认，什么也不写）: 在同一包内可见，不使用任何修饰符。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使用对象：</w:t>
      </w:r>
      <w:r>
        <w:rPr>
          <w:rFonts w:hint="eastAsia"/>
          <w:lang w:val="en-US" w:eastAsia="zh-CN"/>
        </w:rPr>
        <w:tab/>
        <w:t>类、接口、变量、方法。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不同包： 可以访问同包内的基类 protected 方法，不同包的不能访问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: 在同一类内可见。使用对象：变量、方法。 注意：不能修饰类（外部类）</w:t>
      </w:r>
      <w:r>
        <w:rPr>
          <w:rFonts w:hint="eastAsia"/>
          <w:lang w:val="en-US" w:eastAsia="zh-CN"/>
        </w:rPr>
        <w:tab/>
        <w:t>同一包内也访问不到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: 对所有类可见。使用对象：类、接口、变量、方法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: 对同一包内的类和所有子类可见。使用对象：变量、方法。 注意：不能修饰类（外部类）。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protected的可见性在于两点：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基类的 protected 成员是包内可见的，并且对子类可见；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若子类与基类不在同一包中，那么在</w:t>
      </w:r>
      <w:r>
        <w:rPr>
          <w:rFonts w:hint="eastAsia"/>
          <w:color w:val="FF0000"/>
          <w:lang w:val="en-US" w:eastAsia="zh-CN"/>
        </w:rPr>
        <w:t>子类中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子类实例</w:t>
      </w:r>
      <w:r>
        <w:rPr>
          <w:rFonts w:hint="eastAsia"/>
          <w:lang w:val="en-US" w:eastAsia="zh-CN"/>
        </w:rPr>
        <w:t>可以访问其从基类继承而来的protected方法，而不能访问基类实例的protected方法。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865" cy="31794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obj是实例化的父类，父的clone方法可见是自身跟子类，此操作属于在类外访问自身的p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otected方法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tobj是实例化的子类，父子不同包,子类实例可以访问从父类继承来的protect方法。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非访问修饰符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修饰符，用来修饰类方法和类变量。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修饰符，用来修饰类、方法和变量，final 修饰的类不能够被继承，修饰的方法不能被继承类重新定义，修饰的变量为常量，是不可修改的。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修饰符，用来创建抽象类和抽象方法。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和 volatile 修饰符，主要用于线程的编程。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synchronized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关键字声明的方法同一时间只能被一个线程访问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synchronized 修饰符可以应用于四个访问修饰符。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transient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6637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volatile 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volatile 修饰的成员变量在每次被线程访问时，都强制从共享内存中重新读取该成员变量的值。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当成员变量发生变化时，会强制线程将变化值回写到共享内存。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这样在任何时刻，两个不同的线程总是看到某个成员变量的同一个值。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 volatile 对象引用可能是 null。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0500" cy="27285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04A7F"/>
    <w:multiLevelType w:val="singleLevel"/>
    <w:tmpl w:val="89D04A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2CB7B9"/>
    <w:multiLevelType w:val="singleLevel"/>
    <w:tmpl w:val="C32CB7B9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C38F44D8"/>
    <w:multiLevelType w:val="singleLevel"/>
    <w:tmpl w:val="C38F44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9B72610"/>
    <w:multiLevelType w:val="singleLevel"/>
    <w:tmpl w:val="F9B7261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3C132F"/>
    <w:multiLevelType w:val="singleLevel"/>
    <w:tmpl w:val="643C13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73B323"/>
    <w:multiLevelType w:val="singleLevel"/>
    <w:tmpl w:val="6B73B323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71681"/>
    <w:rsid w:val="00CB52CF"/>
    <w:rsid w:val="02C07B39"/>
    <w:rsid w:val="02D15C52"/>
    <w:rsid w:val="10561F7C"/>
    <w:rsid w:val="23246FBF"/>
    <w:rsid w:val="2DFA0C39"/>
    <w:rsid w:val="3524639B"/>
    <w:rsid w:val="36F1563D"/>
    <w:rsid w:val="3AE26274"/>
    <w:rsid w:val="3C4E3697"/>
    <w:rsid w:val="3E0A5CE9"/>
    <w:rsid w:val="40374549"/>
    <w:rsid w:val="406A7FC7"/>
    <w:rsid w:val="41841ABD"/>
    <w:rsid w:val="428C2397"/>
    <w:rsid w:val="47125B40"/>
    <w:rsid w:val="4F38670E"/>
    <w:rsid w:val="4F760D0B"/>
    <w:rsid w:val="508B6C99"/>
    <w:rsid w:val="54A36155"/>
    <w:rsid w:val="54D71681"/>
    <w:rsid w:val="59385F45"/>
    <w:rsid w:val="59D43CA6"/>
    <w:rsid w:val="60981B6D"/>
    <w:rsid w:val="621143D7"/>
    <w:rsid w:val="62CA166F"/>
    <w:rsid w:val="6FEF4680"/>
    <w:rsid w:val="734A3700"/>
    <w:rsid w:val="774B36C3"/>
    <w:rsid w:val="7C5A623A"/>
    <w:rsid w:val="7D6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2020-12-03T02:48:00Z</dcterms:created>
  <dc:creator>Hello Word</dc:creator>
  <cp:lastModifiedBy>Hello Word</cp:lastModifiedBy>
  <dcterms:modified xsi:type="dcterms:W3CDTF">2020-12-03T06:37:03Z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