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after="200"/>
        <w:jc w:val="center"/>
      </w:pPr>
      <w:r>
        <w:rPr>
          <w:rFonts w:hint="eastAsia" w:ascii="Times New Roman" w:hAnsi="Times New Roman" w:eastAsia="黑体"/>
          <w:b/>
          <w:color w:val="000000"/>
          <w:sz w:val="36"/>
        </w:rPr>
        <w:t xml:space="preserve">一种基于车辆动力学可微闭环仿真的车辆横纵向控制器参数自动整定方法</w:t>
      </w:r>
    </w:p>
    <w:bookmarkStart w:id="68" w:name="技术交底书"/>
    <w:p>
      <w:pPr>
        <w:pStyle w:val="Heading1"/>
      </w:pPr>
      <w:r>
        <w:rPr>
          <w:rFonts w:hint="eastAsia" w:ascii="Times New Roman" w:hAnsi="Times New Roman" w:eastAsia="黑体"/>
          <w:b/>
          <w:i w:val="0"/>
          <w:color w:val="000000"/>
        </w:rPr>
        <w:t xml:space="preserve">技术交底书</w:t>
      </w:r>
    </w:p>
    <w:p>
      <w:pPr>
        <w:pStyle w:val="FirstParagraph"/>
        <w:spacing w:line="324" w:lineRule="auto" w:after="120"/>
      </w:pPr>
      <w:r>
        <w:rPr>
          <w:rFonts w:hint="eastAsia" w:ascii="Times New Roman" w:hAnsi="Times New Roman" w:eastAsia="宋体"/>
          <w:b/>
          <w:bCs/>
          <w:color w:val="000000"/>
        </w:rPr>
        <w:t xml:space="preserve">案件名称</w:t>
      </w:r>
      <w:r>
        <w:rPr>
          <w:rFonts w:hint="eastAsia" w:ascii="Times New Roman" w:hAnsi="Times New Roman" w:eastAsia="宋体"/>
          <w:color w:val="000000"/>
        </w:rPr>
        <w:t xml:space="preserve">：一种基于车辆动力学可微闭环仿真的车辆横纵向控制器参数自动整定方法</w:t>
      </w:r>
    </w:p>
    <w:p>
      <w:pPr>
        <w:pStyle w:val="BodyText"/>
        <w:spacing w:line="324" w:lineRule="auto" w:after="120"/>
      </w:pPr>
      <w:r>
        <w:rPr>
          <w:rFonts w:hint="eastAsia" w:ascii="Times New Roman" w:hAnsi="Times New Roman" w:eastAsia="宋体"/>
          <w:b/>
          <w:bCs/>
          <w:color w:val="000000"/>
        </w:rPr>
        <w:t xml:space="preserve">技术联系人</w:t>
      </w:r>
      <w:r>
        <w:rPr>
          <w:rFonts w:hint="eastAsia" w:ascii="Times New Roman" w:hAnsi="Times New Roman" w:eastAsia="宋体"/>
          <w:color w:val="000000"/>
        </w:rPr>
        <w:t xml:space="preserve">：</w:t>
      </w:r>
      <w:r>
        <w:rPr>
          <w:rFonts w:ascii="Times New Roman" w:hAnsi="Times New Roman" w:eastAsia="宋体"/>
          <w:color w:val="000000"/>
        </w:rPr>
        <w:t xml:space="preserve"> </w:t>
      </w:r>
      <w:r>
        <w:rPr>
          <w:rFonts w:ascii="Times New Roman" w:hAnsi="Times New Roman" w:eastAsia="宋体"/>
          <w:color w:val="000000"/>
        </w:rPr>
        <w:t xml:space="preserve">- </w:t>
      </w:r>
      <w:r>
        <w:rPr>
          <w:rFonts w:hint="eastAsia" w:ascii="Times New Roman" w:hAnsi="Times New Roman" w:eastAsia="宋体"/>
          <w:color w:val="000000"/>
        </w:rPr>
        <w:t xml:space="preserve">姓名：[待填写]</w:t>
      </w:r>
      <w:r>
        <w:rPr>
          <w:rFonts w:ascii="Times New Roman" w:hAnsi="Times New Roman" w:eastAsia="宋体"/>
          <w:color w:val="000000"/>
        </w:rPr>
        <w:t xml:space="preserve"> </w:t>
      </w:r>
      <w:r>
        <w:rPr>
          <w:rFonts w:ascii="Times New Roman" w:hAnsi="Times New Roman" w:eastAsia="宋体"/>
          <w:color w:val="000000"/>
        </w:rPr>
        <w:t xml:space="preserve">- </w:t>
      </w:r>
      <w:r>
        <w:rPr>
          <w:rFonts w:hint="eastAsia" w:ascii="Times New Roman" w:hAnsi="Times New Roman" w:eastAsia="宋体"/>
          <w:color w:val="000000"/>
        </w:rPr>
        <w:t xml:space="preserve">电话：[待填写]</w:t>
      </w:r>
      <w:r>
        <w:rPr>
          <w:rFonts w:ascii="Times New Roman" w:hAnsi="Times New Roman" w:eastAsia="宋体"/>
          <w:color w:val="000000"/>
        </w:rPr>
        <w:t xml:space="preserve"> </w:t>
      </w:r>
      <w:r>
        <w:rPr>
          <w:rFonts w:ascii="Times New Roman" w:hAnsi="Times New Roman" w:eastAsia="宋体"/>
          <w:color w:val="000000"/>
        </w:rPr>
        <w:t xml:space="preserve">- </w:t>
      </w:r>
      <w:r>
        <w:rPr>
          <w:rFonts w:hint="eastAsia" w:ascii="Times New Roman" w:hAnsi="Times New Roman" w:eastAsia="宋体"/>
          <w:color w:val="000000"/>
        </w:rPr>
        <w:t xml:space="preserve">邮箱：[待填写]</w:t>
      </w:r>
    </w:p>
    <w:p>
      <w:pPr>
        <w:pStyle w:val="BodyText"/>
        <w:spacing w:line="324" w:lineRule="auto" w:after="120"/>
      </w:pPr>
      <w:r>
        <w:rPr>
          <w:rFonts w:hint="eastAsia" w:ascii="Times New Roman" w:hAnsi="Times New Roman" w:eastAsia="宋体"/>
          <w:b/>
          <w:bCs/>
          <w:color w:val="000000"/>
        </w:rPr>
        <w:t xml:space="preserve">专利类型</w:t>
      </w:r>
      <w:r>
        <w:rPr>
          <w:rFonts w:hint="eastAsia" w:ascii="Times New Roman" w:hAnsi="Times New Roman" w:eastAsia="宋体"/>
          <w:color w:val="000000"/>
        </w:rPr>
        <w:t xml:space="preserve">：发明</w:t>
      </w:r>
    </w:p>
    <w:p>
      <w:pPr>
        <w:spacing w:line="324" w:lineRule="auto" w:after="120"/>
      </w:pPr>
      <w:r>
        <w:rPr>
          <w:rFonts w:ascii="Times New Roman" w:hAnsi="Times New Roman" w:eastAsia="宋体"/>
          <w:color w:val="000000"/>
        </w:rPr>
        <w:pict>
          <v:rect style="width:0;height:1.5pt" o:hralign="center" o:hrstd="t" o:hr="t"/>
        </w:pict>
      </w:r>
    </w:p>
    <w:bookmarkStart w:id="27" w:name="一技术背景最接近现有技术及现有技术缺点"/>
    <w:p>
      <w:pPr>
        <w:pStyle w:val="Heading2"/>
      </w:pPr>
      <w:r>
        <w:rPr>
          <w:rFonts w:hint="eastAsia" w:ascii="Times New Roman" w:hAnsi="Times New Roman" w:eastAsia="黑体"/>
          <w:b/>
          <w:i w:val="0"/>
          <w:color w:val="000000"/>
        </w:rPr>
        <w:t xml:space="preserve">一、技术背景、最接近现有技术及现有技术缺点</w:t>
      </w:r>
    </w:p>
    <w:bookmarkStart w:id="25" w:name="现有技术"/>
    <w:p>
      <w:pPr>
        <w:pStyle w:val="Heading3"/>
      </w:pPr>
      <w:r>
        <w:rPr>
          <w:rFonts w:ascii="Times New Roman" w:hAnsi="Times New Roman" w:eastAsia="黑体"/>
          <w:b/>
          <w:i w:val="0"/>
          <w:color w:val="000000"/>
        </w:rPr>
        <w:t xml:space="preserve">1.1 </w:t>
      </w:r>
      <w:r>
        <w:rPr>
          <w:rFonts w:hint="eastAsia" w:ascii="Times New Roman" w:hAnsi="Times New Roman" w:eastAsia="黑体"/>
          <w:b/>
          <w:i w:val="0"/>
          <w:color w:val="000000"/>
        </w:rPr>
        <w:t xml:space="preserve">现有技术</w:t>
      </w:r>
    </w:p>
    <w:p>
      <w:pPr>
        <w:pStyle w:val="FirstParagraph"/>
        <w:spacing w:line="324" w:lineRule="auto" w:after="120"/>
      </w:pPr>
      <w:r>
        <w:rPr>
          <w:rFonts w:hint="eastAsia" w:ascii="Times New Roman" w:hAnsi="Times New Roman" w:eastAsia="宋体"/>
          <w:color w:val="000000"/>
        </w:rPr>
        <w:t xml:space="preserve">检索说明：在国家知识产权局专利公布公告系统、Google</w:t>
      </w:r>
      <w:r>
        <w:rPr>
          <w:rFonts w:ascii="Times New Roman" w:hAnsi="Times New Roman" w:eastAsia="宋体"/>
          <w:color w:val="000000"/>
        </w:rPr>
        <w:t xml:space="preserve"> Patents </w:t>
      </w:r>
      <w:r>
        <w:rPr>
          <w:rFonts w:hint="eastAsia" w:ascii="Times New Roman" w:hAnsi="Times New Roman" w:eastAsia="宋体"/>
          <w:color w:val="000000"/>
        </w:rPr>
        <w:t xml:space="preserve">和</w:t>
      </w:r>
      <w:r>
        <w:rPr>
          <w:rFonts w:ascii="Times New Roman" w:hAnsi="Times New Roman" w:eastAsia="宋体"/>
          <w:color w:val="000000"/>
        </w:rPr>
        <w:t xml:space="preserve"> arXiv </w:t>
      </w:r>
      <w:r>
        <w:rPr>
          <w:rFonts w:hint="eastAsia" w:ascii="Times New Roman" w:hAnsi="Times New Roman" w:eastAsia="宋体"/>
          <w:color w:val="000000"/>
        </w:rPr>
        <w:t xml:space="preserve">公开页面中，以“可微控制”“可微仿真”“车辆控制器标定”“车辆动力学模型”“车辆横向控制参数”“车辆纵向控制参数”“车辆横纵向控制”“闭环仿真”等为检索词进行检索；部分海外公开文献和论文以</w:t>
      </w:r>
      <w:r>
        <w:rPr>
          <w:rFonts w:ascii="Times New Roman" w:hAnsi="Times New Roman" w:eastAsia="宋体"/>
          <w:color w:val="000000"/>
        </w:rPr>
        <w:t xml:space="preserve"> Google Patents </w:t>
      </w:r>
      <w:r>
        <w:rPr>
          <w:rFonts w:hint="eastAsia" w:ascii="Times New Roman" w:hAnsi="Times New Roman" w:eastAsia="宋体"/>
          <w:color w:val="000000"/>
        </w:rPr>
        <w:t xml:space="preserve">或</w:t>
      </w:r>
      <w:r>
        <w:rPr>
          <w:rFonts w:ascii="Times New Roman" w:hAnsi="Times New Roman" w:eastAsia="宋体"/>
          <w:color w:val="000000"/>
        </w:rPr>
        <w:t xml:space="preserve"> arXiv </w:t>
      </w:r>
      <w:r>
        <w:rPr>
          <w:rFonts w:hint="eastAsia" w:ascii="Times New Roman" w:hAnsi="Times New Roman" w:eastAsia="宋体"/>
          <w:color w:val="000000"/>
        </w:rPr>
        <w:t xml:space="preserve">页面复核著录项。与本案最接近的公开材料主要集中在车辆横向控制参数调节、车辆纵向控制参数优化、车辆横纵向控制、车辆控制器标定、可微仿真训练和通用控制器自动调参六个方向。</w:t>
      </w:r>
    </w:p>
    <w:p>
      <w:pPr>
        <w:pStyle w:val="BodyText"/>
        <w:spacing w:line="324" w:lineRule="auto" w:after="120"/>
      </w:pPr>
      <w:r>
        <w:rPr>
          <w:rFonts w:hint="eastAsia" w:ascii="Times New Roman" w:hAnsi="Times New Roman" w:eastAsia="宋体"/>
          <w:color w:val="000000"/>
        </w:rPr>
        <w:t xml:space="preserve">（1）车辆横向控制参数调节方向。中国专利公开</w:t>
      </w:r>
      <w:r>
        <w:rPr>
          <w:rFonts w:ascii="Times New Roman" w:hAnsi="Times New Roman" w:eastAsia="宋体"/>
          <w:color w:val="000000"/>
        </w:rPr>
        <w:t xml:space="preserve"> </w:t>
      </w:r>
      <w:hyperlink r:id="rId9">
        <w:r>
          <w:rPr>
            <w:rStyle w:val="Hyperlink"/>
          </w:rPr>
          <w:t xml:space="preserve">CN119734760A</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公开了一种车辆横向控制参数调节方法及系统，其通过实时检测车辆轨迹偏差，分析车辆动态状态与道路环境，计算前馈与</w:t>
      </w:r>
      <w:r>
        <w:rPr>
          <w:rFonts w:ascii="Times New Roman" w:hAnsi="Times New Roman" w:eastAsia="宋体"/>
          <w:color w:val="000000"/>
        </w:rPr>
        <w:t xml:space="preserve"> LQR </w:t>
      </w:r>
      <w:r>
        <w:rPr>
          <w:rFonts w:hint="eastAsia" w:ascii="Times New Roman" w:hAnsi="Times New Roman" w:eastAsia="宋体"/>
          <w:color w:val="000000"/>
        </w:rPr>
        <w:t xml:space="preserve">转角指数，并综合约束调整方向盘角度。该方案强调运行过程中的偏差检测和横向控制执行，适用于复杂路段、弯道或突发环境变化下的横向偏差动态调节，但其核心仍是实时横向控制参数调整，并未公开把工程横向控制器参数作为待优化变量放入多轨迹、多速度车辆动力学闭环中进行反向传播整定。</w:t>
      </w:r>
    </w:p>
    <w:p>
      <w:pPr>
        <w:pStyle w:val="BodyText"/>
        <w:spacing w:line="324" w:lineRule="auto" w:after="120"/>
      </w:pPr>
      <w:r>
        <w:rPr>
          <w:rFonts w:hint="eastAsia" w:ascii="Times New Roman" w:hAnsi="Times New Roman" w:eastAsia="宋体"/>
          <w:color w:val="000000"/>
        </w:rPr>
        <w:t xml:space="preserve">中国专利公开</w:t>
      </w:r>
      <w:r>
        <w:rPr>
          <w:rFonts w:ascii="Times New Roman" w:hAnsi="Times New Roman" w:eastAsia="宋体"/>
          <w:color w:val="000000"/>
        </w:rPr>
        <w:t xml:space="preserve"> </w:t>
      </w:r>
      <w:hyperlink r:id="rId10">
        <w:r>
          <w:rPr>
            <w:rStyle w:val="Hyperlink"/>
          </w:rPr>
          <w:t xml:space="preserve">CN119270808A</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一种车辆横向控制算法稳定性测试方法及系统，其通过对车道线拟合系数加入正弦干扰，观察车辆横向轨迹并据此优化横向控制参数。该方案提高了横向控制算法稳定性测试的可实施性和测试效率，但其重点是干扰测试和稳定性验证，并未形成可微闭环仿真、自动梯度更新和硬逻辑复验一体化的整定流程。</w:t>
      </w:r>
    </w:p>
    <w:p>
      <w:pPr>
        <w:pStyle w:val="BodyText"/>
        <w:spacing w:line="324" w:lineRule="auto" w:after="120"/>
      </w:pPr>
      <w:r>
        <w:rPr>
          <w:rFonts w:hint="eastAsia" w:ascii="Times New Roman" w:hAnsi="Times New Roman" w:eastAsia="宋体"/>
          <w:color w:val="000000"/>
        </w:rPr>
        <w:t xml:space="preserve">中国专利公开</w:t>
      </w:r>
      <w:r>
        <w:rPr>
          <w:rFonts w:ascii="Times New Roman" w:hAnsi="Times New Roman" w:eastAsia="宋体"/>
          <w:color w:val="000000"/>
        </w:rPr>
        <w:t xml:space="preserve"> </w:t>
      </w:r>
      <w:hyperlink r:id="rId11">
        <w:r>
          <w:rPr>
            <w:rStyle w:val="Hyperlink"/>
          </w:rPr>
          <w:t xml:space="preserve">CN118062031A</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一种车辆横向控制参数调节方法，其根据速度和向心加速度查询二维增益表，得到目标增益，再调节横向控制器约束参数。该方案能够改善高速变曲率工况下的稳定性，但其参数来源依赖预设二维增益表和在线查表调节，并未公开通过车辆动力学时间展开链路对参数表节点、预瞄参数和纵向参数进行统一自动整定。</w:t>
      </w:r>
    </w:p>
    <w:p>
      <w:pPr>
        <w:pStyle w:val="BodyText"/>
        <w:spacing w:line="324" w:lineRule="auto" w:after="120"/>
      </w:pPr>
      <w:r>
        <w:rPr>
          <w:rFonts w:hint="eastAsia" w:ascii="Times New Roman" w:hAnsi="Times New Roman" w:eastAsia="宋体"/>
          <w:color w:val="000000"/>
        </w:rPr>
        <w:t xml:space="preserve">（2）车辆纵向控制参数优化方向。中国专利公开</w:t>
      </w:r>
      <w:r>
        <w:rPr>
          <w:rFonts w:ascii="Times New Roman" w:hAnsi="Times New Roman" w:eastAsia="宋体"/>
          <w:color w:val="000000"/>
        </w:rPr>
        <w:t xml:space="preserve"> </w:t>
      </w:r>
      <w:hyperlink r:id="rId12">
        <w:r>
          <w:rPr>
            <w:rStyle w:val="Hyperlink"/>
          </w:rPr>
          <w:t xml:space="preserve">CN120517441A</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一种基于载重辨识的车辆纵向控制参数优化方法及装置，其基于牛顿第二定律构建纵向动力学模型，根据期望加速度和实际加速度更新载重量，再利用更新后的载重值优化油门控制量和刹车控制量。该方案适合解决载重变化导致的纵向控制偏差，属于在线载重辨识与油门、制动控制量修正，尚未公开横向和纵向工程控制器参数的批量闭环可微整定，也未涉及验证路径保留原始硬逻辑的问题。</w:t>
      </w:r>
    </w:p>
    <w:p>
      <w:pPr>
        <w:pStyle w:val="BodyText"/>
        <w:spacing w:line="324" w:lineRule="auto" w:after="120"/>
      </w:pPr>
      <w:r>
        <w:rPr>
          <w:rFonts w:hint="eastAsia" w:ascii="Times New Roman" w:hAnsi="Times New Roman" w:eastAsia="宋体"/>
          <w:color w:val="000000"/>
        </w:rPr>
        <w:t xml:space="preserve">中国专利公开</w:t>
      </w:r>
      <w:r>
        <w:rPr>
          <w:rFonts w:ascii="Times New Roman" w:hAnsi="Times New Roman" w:eastAsia="宋体"/>
          <w:color w:val="000000"/>
        </w:rPr>
        <w:t xml:space="preserve"> </w:t>
      </w:r>
      <w:hyperlink r:id="rId13">
        <w:r>
          <w:rPr>
            <w:rStyle w:val="Hyperlink"/>
          </w:rPr>
          <w:t xml:space="preserve">CN118560523A</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一种自动驾驶车辆纵向控制方法，其使用预训练车辆纵向控制模型根据本车和前车行驶参数输出加速度，用于模拟驾驶员纵向驾驶风格。该方案强调驾驶风格学习和实时纵向控制输出，并非面向既有工程控制器参数的离线或半离线自动整定。</w:t>
      </w:r>
    </w:p>
    <w:p>
      <w:pPr>
        <w:pStyle w:val="BodyText"/>
        <w:spacing w:line="324" w:lineRule="auto" w:after="120"/>
      </w:pPr>
      <w:r>
        <w:rPr>
          <w:rFonts w:hint="eastAsia" w:ascii="Times New Roman" w:hAnsi="Times New Roman" w:eastAsia="宋体"/>
          <w:color w:val="000000"/>
        </w:rPr>
        <w:t xml:space="preserve">（3）车辆横纵向控制和车辆动力学模型方向。中国专利公开</w:t>
      </w:r>
      <w:r>
        <w:rPr>
          <w:rFonts w:ascii="Times New Roman" w:hAnsi="Times New Roman" w:eastAsia="宋体"/>
          <w:color w:val="000000"/>
        </w:rPr>
        <w:t xml:space="preserve"> </w:t>
      </w:r>
      <w:hyperlink r:id="rId14">
        <w:r>
          <w:rPr>
            <w:rStyle w:val="Hyperlink"/>
          </w:rPr>
          <w:t xml:space="preserve">CN120308157A</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一种基于道路边界约束的车辆横纵向控制方法及装置，其构建非线性数学模型并线性化为状态转移模型，利用约束迭代线性二次调节器求解控制变量序列，再生成车辆控制指令。该方案重点是基于道路边界约束求解控制量序列以跟踪轨迹，属于控制律求解或轨迹控制层面的优化，并未公开针对既有横向、纵向控制器标定参数的可微仿真环境搭建、参数投影更新和部署前硬逻辑复验。</w:t>
      </w:r>
    </w:p>
    <w:p>
      <w:pPr>
        <w:pStyle w:val="BodyText"/>
        <w:spacing w:line="324" w:lineRule="auto" w:after="120"/>
      </w:pPr>
      <w:r>
        <w:rPr>
          <w:rFonts w:hint="eastAsia" w:ascii="Times New Roman" w:hAnsi="Times New Roman" w:eastAsia="宋体"/>
          <w:color w:val="000000"/>
        </w:rPr>
        <w:t xml:space="preserve">中国专利公开</w:t>
      </w:r>
      <w:r>
        <w:rPr>
          <w:rFonts w:ascii="Times New Roman" w:hAnsi="Times New Roman" w:eastAsia="宋体"/>
          <w:color w:val="000000"/>
        </w:rPr>
        <w:t xml:space="preserve"> </w:t>
      </w:r>
      <w:hyperlink r:id="rId15">
        <w:r>
          <w:rPr>
            <w:rStyle w:val="Hyperlink"/>
          </w:rPr>
          <w:t xml:space="preserve">CN122323981A</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一种角模块车辆爆胎稳定性控制方法，其根据爆胎车轮位置更新等效侧偏刚度，建立二自由度车辆动力学模型，并通过零和博弈控制和纵向力分配维持车辆稳定。该方案说明车辆动力学模型可用于特殊工况稳定控制，但其应用目标是爆胎后的附加横摆力矩和纵向力分配，并非普通自动驾驶控制器参数的多场景可微整定。</w:t>
      </w:r>
    </w:p>
    <w:p>
      <w:pPr>
        <w:pStyle w:val="BodyText"/>
        <w:spacing w:line="324" w:lineRule="auto" w:after="120"/>
      </w:pPr>
      <w:r>
        <w:rPr>
          <w:rFonts w:hint="eastAsia" w:ascii="Times New Roman" w:hAnsi="Times New Roman" w:eastAsia="宋体"/>
          <w:color w:val="000000"/>
        </w:rPr>
        <w:t xml:space="preserve">（4）车辆控制器标定设备方向。中国专利公开</w:t>
      </w:r>
      <w:r>
        <w:rPr>
          <w:rFonts w:ascii="Times New Roman" w:hAnsi="Times New Roman" w:eastAsia="宋体"/>
          <w:color w:val="000000"/>
        </w:rPr>
        <w:t xml:space="preserve"> </w:t>
      </w:r>
      <w:hyperlink r:id="rId16">
        <w:r>
          <w:rPr>
            <w:rStyle w:val="Hyperlink"/>
          </w:rPr>
          <w:t xml:space="preserve">CN112039742A</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公开了一种标定设备、车辆控制器标定方法及装置，利用处理器、存储器、CAN</w:t>
      </w:r>
      <w:r>
        <w:rPr>
          <w:rFonts w:ascii="Times New Roman" w:hAnsi="Times New Roman" w:eastAsia="宋体"/>
          <w:color w:val="000000"/>
        </w:rPr>
        <w:t xml:space="preserve"> </w:t>
      </w:r>
      <w:r>
        <w:rPr>
          <w:rFonts w:hint="eastAsia" w:ascii="Times New Roman" w:hAnsi="Times New Roman" w:eastAsia="宋体"/>
          <w:color w:val="000000"/>
        </w:rPr>
        <w:t xml:space="preserve">收发器、提示器和通信接口发送标定指令并接收车辆控制器响应，从而简化标定操作。该方案解决的是标定设备和通信流程便利性问题，并未公开如何根据轨迹跟踪误差自动计算参数梯度，也未公开训练路径与验证路径分离的控制器复现结构。</w:t>
      </w:r>
    </w:p>
    <w:p>
      <w:pPr>
        <w:pStyle w:val="BodyText"/>
        <w:spacing w:line="324" w:lineRule="auto" w:after="120"/>
      </w:pPr>
      <w:r>
        <w:rPr>
          <w:rFonts w:hint="eastAsia" w:ascii="Times New Roman" w:hAnsi="Times New Roman" w:eastAsia="宋体"/>
          <w:color w:val="000000"/>
        </w:rPr>
        <w:t xml:space="preserve">（5）可微仿真训练方向。中国专利公开</w:t>
      </w:r>
      <w:r>
        <w:rPr>
          <w:rFonts w:ascii="Times New Roman" w:hAnsi="Times New Roman" w:eastAsia="宋体"/>
          <w:color w:val="000000"/>
        </w:rPr>
        <w:t xml:space="preserve"> </w:t>
      </w:r>
      <w:hyperlink r:id="rId17">
        <w:r>
          <w:rPr>
            <w:rStyle w:val="Hyperlink"/>
          </w:rPr>
          <w:t xml:space="preserve">CN122018327A</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公开了一种多旋翼无人机容错飞行控制方法，其构建可微仿真环境，在其中训练端到端控制网络，并通过随时间反向传播优化网络参数。中国专利公开</w:t>
      </w:r>
      <w:r>
        <w:rPr>
          <w:rFonts w:ascii="Times New Roman" w:hAnsi="Times New Roman" w:eastAsia="宋体"/>
          <w:color w:val="000000"/>
        </w:rPr>
        <w:t xml:space="preserve"> </w:t>
      </w:r>
      <w:hyperlink r:id="rId18">
        <w:r>
          <w:rPr>
            <w:rStyle w:val="Hyperlink"/>
          </w:rPr>
          <w:t xml:space="preserve">CN121455178A</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一种分布式无人机集群控制系统策略优化方法，其通过可微仿真实现无人机视觉端到端避障策略训练。这些方案表明可微仿真可用于端到端网络策略学习，但其优化对象是神经网络策略或无人机控制网络，并非从已有车辆工程控制器中识别可调标定参数、保留硬限幅和硬分支并输出可部署参数配置。</w:t>
      </w:r>
    </w:p>
    <w:p>
      <w:pPr>
        <w:pStyle w:val="BodyText"/>
        <w:spacing w:line="324" w:lineRule="auto" w:after="120"/>
      </w:pPr>
      <w:r>
        <w:rPr>
          <w:rFonts w:hint="eastAsia" w:ascii="Times New Roman" w:hAnsi="Times New Roman" w:eastAsia="宋体"/>
          <w:color w:val="000000"/>
        </w:rPr>
        <w:t xml:space="preserve">（6）海外公开文献和控制器调参方向。美国专利公开</w:t>
      </w:r>
      <w:r>
        <w:rPr>
          <w:rFonts w:ascii="Times New Roman" w:hAnsi="Times New Roman" w:eastAsia="宋体"/>
          <w:color w:val="000000"/>
        </w:rPr>
        <w:t xml:space="preserve"> </w:t>
      </w:r>
      <w:hyperlink r:id="rId19">
        <w:r>
          <w:rPr>
            <w:rStyle w:val="Hyperlink"/>
          </w:rPr>
          <w:t xml:space="preserve">US20220171353A1</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公开了面向物理系统的可微机器，用于仿真或控制物理系统。美国专利</w:t>
      </w:r>
      <w:r>
        <w:rPr>
          <w:rFonts w:ascii="Times New Roman" w:hAnsi="Times New Roman" w:eastAsia="宋体"/>
          <w:color w:val="000000"/>
        </w:rPr>
        <w:t xml:space="preserve"> </w:t>
      </w:r>
      <w:hyperlink r:id="rId20">
        <w:r>
          <w:rPr>
            <w:rStyle w:val="Hyperlink"/>
          </w:rPr>
          <w:t xml:space="preserve">US11731648B2</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公开了车辆横向控制特征的动态可调标定方案，根据天气、图像和车辆状态等信息选择横向调谐参数。美国专利公开</w:t>
      </w:r>
      <w:r>
        <w:rPr>
          <w:rFonts w:ascii="Times New Roman" w:hAnsi="Times New Roman" w:eastAsia="宋体"/>
          <w:color w:val="000000"/>
        </w:rPr>
        <w:t xml:space="preserve"> </w:t>
      </w:r>
      <w:hyperlink r:id="rId21">
        <w:r>
          <w:rPr>
            <w:rStyle w:val="Hyperlink"/>
          </w:rPr>
          <w:t xml:space="preserve">US20230159047A1</w:t>
        </w:r>
      </w:hyperlink>
      <w:r>
        <w:rPr>
          <w:rFonts w:ascii="Times New Roman" w:hAnsi="Times New Roman" w:eastAsia="宋体"/>
          <w:color w:val="000000"/>
        </w:rPr>
        <w:t xml:space="preserve"> </w:t>
      </w:r>
      <w:r>
        <w:rPr>
          <w:rFonts w:hint="eastAsia" w:ascii="Times New Roman" w:hAnsi="Times New Roman" w:eastAsia="宋体"/>
          <w:color w:val="000000"/>
        </w:rPr>
        <w:t xml:space="preserve">及同族</w:t>
      </w:r>
      <w:r>
        <w:rPr>
          <w:rFonts w:ascii="Times New Roman" w:hAnsi="Times New Roman" w:eastAsia="宋体"/>
          <w:color w:val="000000"/>
        </w:rPr>
        <w:t xml:space="preserve"> </w:t>
      </w:r>
      <w:hyperlink r:id="rId22">
        <w:r>
          <w:rPr>
            <w:rStyle w:val="Hyperlink"/>
          </w:rPr>
          <w:t xml:space="preserve">CN115907250A</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公开了利用学习型评价器对自动驾驶运动规划器参数进行自动调节。美国专利</w:t>
      </w:r>
      <w:r>
        <w:rPr>
          <w:rFonts w:ascii="Times New Roman" w:hAnsi="Times New Roman" w:eastAsia="宋体"/>
          <w:color w:val="000000"/>
        </w:rPr>
        <w:t xml:space="preserve"> </w:t>
      </w:r>
      <w:hyperlink r:id="rId23">
        <w:r>
          <w:rPr>
            <w:rStyle w:val="Hyperlink"/>
          </w:rPr>
          <w:t xml:space="preserve">US12007778B2</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公开了基于神经网络的车辆动力学模型，用于预测车辆状态量。论文</w:t>
      </w:r>
      <w:r>
        <w:rPr>
          <w:rFonts w:ascii="Times New Roman" w:hAnsi="Times New Roman" w:eastAsia="宋体"/>
          <w:color w:val="000000"/>
        </w:rPr>
        <w:t xml:space="preserve"> </w:t>
      </w:r>
      <w:hyperlink r:id="rId24">
        <w:r>
          <w:rPr>
            <w:rStyle w:val="Hyperlink"/>
          </w:rPr>
          <w:t xml:space="preserve">DiffTune: Auto-Tuning through Auto-Differentiation</w:t>
        </w:r>
      </w:hyperlink>
      <w:r>
        <w:rPr>
          <w:rFonts w:ascii="Times New Roman" w:hAnsi="Times New Roman" w:eastAsia="宋体"/>
          <w:color w:val="000000"/>
        </w:rPr>
        <w:t xml:space="preserve"> </w:t>
      </w:r>
      <w:r>
        <w:rPr>
          <w:rFonts w:hint="eastAsia" w:ascii="Times New Roman" w:hAnsi="Times New Roman" w:eastAsia="宋体"/>
          <w:color w:val="000000"/>
        </w:rPr>
        <w:t xml:space="preserve">将控制器调参表述为动态系统和控制器展开后的参数优化问题。这些公开材料分别涉及通用可微物理系统、横向标定选择、规划器参数调节、神经动力学建模或控制器自动调参，但均未同时公开本案中的车辆横纵向工程控制器双模式复现、车辆动力学闭环展开、批量场景域随机化、可微参数投影更新、以及原始硬逻辑复验后导出可部署参数的完整组合。</w:t>
      </w:r>
    </w:p>
    <w:p>
      <w:pPr>
        <w:pStyle w:val="BodyText"/>
        <w:spacing w:line="324" w:lineRule="auto" w:after="120"/>
      </w:pPr>
      <w:r>
        <w:rPr>
          <w:rFonts w:hint="eastAsia" w:ascii="Times New Roman" w:hAnsi="Times New Roman" w:eastAsia="宋体"/>
          <w:color w:val="000000"/>
        </w:rPr>
        <w:t xml:space="preserve">检索总结：现有技术已经公开了若干车辆横向控制参数调节、纵向控制量优化、车辆动力学模型控制、标定设备、可微仿真训练以及控制器自动调参方案，但这些方案通常只解决单一控制方向、单一运行时调节、标定通信便利、端到端网络训练或规划器调参问题。本发明的本质区别在于：把已有车辆横向和纵向工程控制器复现为训练路径与验证路径共用参数的双模式控制器，利用车辆动力学模型把控制器、轨迹查询、车辆状态更新和损失函数连成可微闭环时间链路，并在多轨迹、多速度、车辆参数域和扰动条件下自动更新控制器参数，最后通过保留工程硬逻辑的验证路径输出可部署参数。</w:t>
      </w:r>
    </w:p>
    <w:bookmarkEnd w:id="25"/>
    <w:bookmarkStart w:id="26" w:name="现有技术存在的缺点"/>
    <w:p>
      <w:pPr>
        <w:pStyle w:val="Heading3"/>
      </w:pPr>
      <w:r>
        <w:rPr>
          <w:rFonts w:ascii="Times New Roman" w:hAnsi="Times New Roman" w:eastAsia="黑体"/>
          <w:b/>
          <w:i w:val="0"/>
          <w:color w:val="000000"/>
        </w:rPr>
        <w:t xml:space="preserve">1.2 </w:t>
      </w:r>
      <w:r>
        <w:rPr>
          <w:rFonts w:hint="eastAsia" w:ascii="Times New Roman" w:hAnsi="Times New Roman" w:eastAsia="黑体"/>
          <w:b/>
          <w:i w:val="0"/>
          <w:color w:val="000000"/>
        </w:rPr>
        <w:t xml:space="preserve">现有技术存在的缺点</w:t>
      </w:r>
    </w:p>
    <w:p>
      <w:pPr>
        <w:pStyle w:val="FirstParagraph"/>
        <w:spacing w:line="324" w:lineRule="auto" w:after="120"/>
      </w:pPr>
      <w:r>
        <w:rPr>
          <w:rFonts w:hint="eastAsia" w:ascii="Times New Roman" w:hAnsi="Times New Roman" w:eastAsia="宋体"/>
          <w:color w:val="000000"/>
        </w:rPr>
        <w:t xml:space="preserve">（1）现有车辆横向控制参数调节方案多为在线查表、按偏差动态调节或稳定性测试后优化，难以一次性利用多轨迹、多速度和多车辆参数域数据对整组控制器参数进行全局整定。</w:t>
      </w:r>
    </w:p>
    <w:p>
      <w:pPr>
        <w:pStyle w:val="BodyText"/>
        <w:spacing w:line="324" w:lineRule="auto" w:after="120"/>
      </w:pPr>
      <w:r>
        <w:rPr>
          <w:rFonts w:hint="eastAsia" w:ascii="Times New Roman" w:hAnsi="Times New Roman" w:eastAsia="宋体"/>
          <w:color w:val="000000"/>
        </w:rPr>
        <w:t xml:space="preserve">（2）现有纵向控制优化方案多围绕载重辨识、驾驶风格学习或油门/制动控制量修正展开，未与横向控制器参数、轨迹跟踪误差和车辆动力学闭环统一建模。</w:t>
      </w:r>
    </w:p>
    <w:p>
      <w:pPr>
        <w:pStyle w:val="BodyText"/>
        <w:spacing w:line="324" w:lineRule="auto" w:after="120"/>
      </w:pPr>
      <w:r>
        <w:rPr>
          <w:rFonts w:hint="eastAsia" w:ascii="Times New Roman" w:hAnsi="Times New Roman" w:eastAsia="宋体"/>
          <w:color w:val="000000"/>
        </w:rPr>
        <w:t xml:space="preserve">（3）现有车辆动力学控制方案常用于轨迹控制量求解、稳定控制或特殊工况处置，优化对象通常是控制量序列或附加力矩，而不是已有工程控制器内部标定参数。</w:t>
      </w:r>
    </w:p>
    <w:p>
      <w:pPr>
        <w:pStyle w:val="BodyText"/>
        <w:spacing w:line="324" w:lineRule="auto" w:after="120"/>
      </w:pPr>
      <w:r>
        <w:rPr>
          <w:rFonts w:hint="eastAsia" w:ascii="Times New Roman" w:hAnsi="Times New Roman" w:eastAsia="宋体"/>
          <w:color w:val="000000"/>
        </w:rPr>
        <w:t xml:space="preserve">（4）现有标定设备方案关注通信、指令下发和人工标定流程便利性，无法自动给出参数梯度、参数更新方向和部署前闭环验证结果。</w:t>
      </w:r>
    </w:p>
    <w:p>
      <w:pPr>
        <w:pStyle w:val="BodyText"/>
        <w:spacing w:line="324" w:lineRule="auto" w:after="120"/>
      </w:pPr>
      <w:r>
        <w:rPr>
          <w:rFonts w:hint="eastAsia" w:ascii="Times New Roman" w:hAnsi="Times New Roman" w:eastAsia="宋体"/>
          <w:color w:val="000000"/>
        </w:rPr>
        <w:t xml:space="preserve">（5）现有可微仿真训练方案多用于端到端神经网络策略，若直接用于工程车辆控制器，容易忽略硬限幅、查表、分支逻辑和参数边界，导致训练结果难以直接部署。</w:t>
      </w:r>
    </w:p>
    <w:p>
      <w:pPr>
        <w:pStyle w:val="BodyText"/>
        <w:spacing w:line="324" w:lineRule="auto" w:after="120"/>
      </w:pPr>
      <w:r>
        <w:rPr>
          <w:rFonts w:hint="eastAsia" w:ascii="Times New Roman" w:hAnsi="Times New Roman" w:eastAsia="宋体"/>
          <w:color w:val="000000"/>
        </w:rPr>
        <w:t xml:space="preserve">（6）现有方法缺乏训练路径与验证路径分离而参数共享的结构，难以兼顾“可微训练需要平滑近似”和“工程部署需要原始硬逻辑”两类要求。</w:t>
      </w:r>
    </w:p>
    <w:bookmarkEnd w:id="26"/>
    <w:bookmarkEnd w:id="27"/>
    <w:bookmarkStart w:id="28" w:name="二本发明所要解决的技术问题"/>
    <w:p>
      <w:pPr>
        <w:pStyle w:val="Heading2"/>
      </w:pPr>
      <w:r>
        <w:rPr>
          <w:rFonts w:hint="eastAsia" w:ascii="Times New Roman" w:hAnsi="Times New Roman" w:eastAsia="黑体"/>
          <w:b/>
          <w:i w:val="0"/>
          <w:color w:val="000000"/>
        </w:rPr>
        <w:t xml:space="preserve">二、本发明所要解决的技术问题</w:t>
      </w:r>
    </w:p>
    <w:p>
      <w:pPr>
        <w:pStyle w:val="FirstParagraph"/>
        <w:spacing w:line="324" w:lineRule="auto" w:after="120"/>
      </w:pPr>
      <w:r>
        <w:rPr>
          <w:rFonts w:hint="eastAsia" w:ascii="Times New Roman" w:hAnsi="Times New Roman" w:eastAsia="宋体"/>
          <w:color w:val="000000"/>
        </w:rPr>
        <w:t xml:space="preserve">本发明所要解决的技术问题在于，在不改变既有车辆横向、纵向工程控制器主体结构的前提下，构建能够用于参数自动整定的车辆动力学可微闭环仿真环境，使控制器参数能够根据轨迹跟踪误差、速度误差和控制平滑性指标自动更新。</w:t>
      </w:r>
    </w:p>
    <w:p>
      <w:pPr>
        <w:pStyle w:val="BodyText"/>
        <w:spacing w:line="324" w:lineRule="auto" w:after="120"/>
      </w:pPr>
      <w:r>
        <w:rPr>
          <w:rFonts w:hint="eastAsia" w:ascii="Times New Roman" w:hAnsi="Times New Roman" w:eastAsia="宋体"/>
          <w:color w:val="000000"/>
        </w:rPr>
        <w:t xml:space="preserve">进一步地，本发明还解决训练可微性与工程可部署性之间的冲突：训练阶段允许对限幅、分段切换、速率限制等非光滑环节采用可微近似，以便获得参数更新方向；验证和部署前仍使用原始硬限幅、硬分支和硬速率限制进行闭环复验，以保证整定参数能够回到原工程控制模块中使用。</w:t>
      </w:r>
    </w:p>
    <w:p>
      <w:pPr>
        <w:pStyle w:val="BodyText"/>
        <w:spacing w:line="324" w:lineRule="auto" w:after="120"/>
      </w:pPr>
      <w:r>
        <w:rPr>
          <w:rFonts w:hint="eastAsia" w:ascii="Times New Roman" w:hAnsi="Times New Roman" w:eastAsia="宋体"/>
          <w:color w:val="000000"/>
        </w:rPr>
        <w:t xml:space="preserve">此外，本发明还解决多轨迹、多速度和车辆物理参数不确定性下的统一整定问题，使横向预瞄、收敛、角速度误差预瞄、纵向位置环和速度环等多类参数能够在同一批量闭环训练过程中协同更新，并通过物理边界约束和日志产物保证整定过程可追溯。</w:t>
      </w:r>
    </w:p>
    <w:bookmarkEnd w:id="28"/>
    <w:bookmarkStart w:id="45" w:name="三本发明技术方案的详细阐述"/>
    <w:p>
      <w:pPr>
        <w:pStyle w:val="Heading2"/>
      </w:pPr>
      <w:r>
        <w:rPr>
          <w:rFonts w:hint="eastAsia" w:ascii="Times New Roman" w:hAnsi="Times New Roman" w:eastAsia="黑体"/>
          <w:b/>
          <w:i w:val="0"/>
          <w:color w:val="000000"/>
        </w:rPr>
        <w:t xml:space="preserve">三、本发明技术方案的详细阐述</w:t>
      </w:r>
    </w:p>
    <w:bookmarkStart w:id="29" w:name="背景"/>
    <w:p>
      <w:pPr>
        <w:pStyle w:val="Heading3"/>
      </w:pPr>
      <w:r>
        <w:rPr>
          <w:rFonts w:ascii="Times New Roman" w:hAnsi="Times New Roman" w:eastAsia="黑体"/>
          <w:b/>
          <w:i w:val="0"/>
          <w:color w:val="000000"/>
        </w:rPr>
        <w:t xml:space="preserve">3.1 </w:t>
      </w:r>
      <w:r>
        <w:rPr>
          <w:rFonts w:hint="eastAsia" w:ascii="Times New Roman" w:hAnsi="Times New Roman" w:eastAsia="黑体"/>
          <w:b/>
          <w:i w:val="0"/>
          <w:color w:val="000000"/>
        </w:rPr>
        <w:t xml:space="preserve">背景</w:t>
      </w:r>
    </w:p>
    <w:p>
      <w:pPr>
        <w:pStyle w:val="FirstParagraph"/>
        <w:spacing w:line="324" w:lineRule="auto" w:after="120"/>
      </w:pPr>
      <w:r>
        <w:rPr>
          <w:rFonts w:hint="eastAsia" w:ascii="Times New Roman" w:hAnsi="Times New Roman" w:eastAsia="宋体"/>
          <w:color w:val="000000"/>
        </w:rPr>
        <w:t xml:space="preserve">自动驾驶车辆控制模块通常以固定周期运行，横向控制器根据参考轨迹、当前车辆位置、航向、速度和曲率等信息给出转向相关指令，纵向控制器根据目标速度、当前位置误差和速度误差给出加速度或扭矩相关指令。工程控制器内部往往包含查表、限幅、分段切换、速率限制和安全保护逻辑，这些逻辑对部署可靠性很重要，但也会使传统手工调参依赖大量试验和经验。</w:t>
      </w:r>
    </w:p>
    <w:p>
      <w:pPr>
        <w:pStyle w:val="BodyText"/>
        <w:spacing w:line="324" w:lineRule="auto" w:after="120"/>
      </w:pPr>
      <w:r>
        <w:rPr>
          <w:rFonts w:hint="eastAsia" w:ascii="Times New Roman" w:hAnsi="Times New Roman" w:eastAsia="宋体"/>
          <w:color w:val="000000"/>
        </w:rPr>
        <w:t xml:space="preserve">本发明将已有工程控制器复现为双模式结构：训练模式保留主要物理关系并对非光滑环节采用可微近似，验证模式保留原始硬逻辑。两种模式共享同一组待整定参数。通过车辆动力学模型把多个控制周期串联成闭环时间链路，综合损失可以沿时间反向传播到控制器参数，从而自动得到参数更新方向。</w:t>
      </w:r>
    </w:p>
    <w:bookmarkEnd w:id="29"/>
    <w:bookmarkStart w:id="33" w:name="系统框图"/>
    <w:p>
      <w:pPr>
        <w:pStyle w:val="Heading3"/>
      </w:pPr>
      <w:r>
        <w:rPr>
          <w:rFonts w:ascii="Times New Roman" w:hAnsi="Times New Roman" w:eastAsia="黑体"/>
          <w:b/>
          <w:i w:val="0"/>
          <w:color w:val="000000"/>
        </w:rPr>
        <w:t xml:space="preserve">3.2 </w:t>
      </w:r>
      <w:r>
        <w:rPr>
          <w:rFonts w:hint="eastAsia" w:ascii="Times New Roman" w:hAnsi="Times New Roman" w:eastAsia="黑体"/>
          <w:b/>
          <w:i w:val="0"/>
          <w:color w:val="000000"/>
        </w:rPr>
        <w:t xml:space="preserve">系统框图</w:t>
      </w:r>
    </w:p>
    <w:p>
      <w:pPr>
        <w:pStyle w:val="FirstParagraph"/>
        <w:spacing w:line="324" w:lineRule="auto" w:after="120"/>
        <w:jc w:val="center"/>
      </w:pPr>
      <w:r>
        <w:rPr>
          <w:rFonts w:hint="eastAsia" w:ascii="Times New Roman" w:hAnsi="Times New Roman" w:eastAsia="宋体"/>
          <w:color w:val="000000"/>
        </w:rPr>
        <w:t xml:space="preserve">图1示出了本发明的一种系统组成。系统包括原始控制器代码/参数表、双模式控制器、车辆动力学模型、多场景轨迹库、闭环展开模块、损失计算模块、自动微分模块、参数投影模块、产物生成模块和硬逻辑复验模块。各模块之间形成从工程控制器复现、闭环仿真、参数更新到部署验证的闭环流程。</w:t>
      </w:r>
    </w:p>
    <w:p>
      <w:pPr>
        <w:pStyle w:val="CaptionedFigure"/>
        <w:spacing w:line="324" w:lineRule="auto" w:after="120"/>
        <w:jc w:val="center"/>
      </w:pPr>
      <w:r>
        <w:rPr>
          <w:rFonts w:ascii="Times New Roman" w:hAnsi="Times New Roman" w:eastAsia="宋体"/>
          <w:color w:val="000000"/>
        </w:rPr>
        <w:drawing>
          <wp:inline>
            <wp:extent cx="5334000" cy="2963333"/>
            <wp:effectExtent b="0" l="0" r="0" t="0"/>
            <wp:docPr descr="图1 可微闭环整定系统框图" title="" id="31" name="Picture"/>
            <a:graphic>
              <a:graphicData uri="http://schemas.openxmlformats.org/drawingml/2006/picture">
                <pic:pic>
                  <pic:nvPicPr>
                    <pic:cNvPr descr="figures/fig1_system_architecture.png" id="32" name="Picture"/>
                    <pic:cNvPicPr>
                      <a:picLocks noChangeArrowheads="1" noChangeAspect="1"/>
                    </pic:cNvPicPr>
                  </pic:nvPicPr>
                  <pic:blipFill>
                    <a:blip r:embed="rId30"/>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spacing w:line="324" w:lineRule="auto" w:after="120"/>
        <w:jc w:val="center"/>
      </w:pPr>
      <w:r>
        <w:rPr>
          <w:rFonts w:hint="eastAsia" w:ascii="Times New Roman" w:hAnsi="Times New Roman" w:eastAsia="宋体"/>
          <w:color w:val="000000"/>
        </w:rPr>
        <w:t xml:space="preserve">图1</w:t>
      </w:r>
      <w:r>
        <w:rPr>
          <w:rFonts w:ascii="Times New Roman" w:hAnsi="Times New Roman" w:eastAsia="宋体"/>
          <w:color w:val="000000"/>
        </w:rPr>
        <w:t xml:space="preserve"> </w:t>
      </w:r>
      <w:r>
        <w:rPr>
          <w:rFonts w:hint="eastAsia" w:ascii="Times New Roman" w:hAnsi="Times New Roman" w:eastAsia="宋体"/>
          <w:color w:val="000000"/>
        </w:rPr>
        <w:t xml:space="preserve">可微闭环整定系统框图</w:t>
      </w:r>
    </w:p>
    <w:bookmarkEnd w:id="33"/>
    <w:bookmarkStart w:id="34" w:name="模块功能说明"/>
    <w:p>
      <w:pPr>
        <w:pStyle w:val="Heading3"/>
      </w:pPr>
      <w:r>
        <w:rPr>
          <w:rFonts w:ascii="Times New Roman" w:hAnsi="Times New Roman" w:eastAsia="黑体"/>
          <w:b/>
          <w:i w:val="0"/>
          <w:color w:val="000000"/>
        </w:rPr>
        <w:t xml:space="preserve">3.3 </w:t>
      </w:r>
      <w:r>
        <w:rPr>
          <w:rFonts w:hint="eastAsia" w:ascii="Times New Roman" w:hAnsi="Times New Roman" w:eastAsia="黑体"/>
          <w:b/>
          <w:i w:val="0"/>
          <w:color w:val="000000"/>
        </w:rPr>
        <w:t xml:space="preserve">模块功能说明</w:t>
      </w:r>
    </w:p>
    <w:p>
      <w:pPr>
        <w:pStyle w:val="FirstParagraph"/>
        <w:spacing w:line="324" w:lineRule="auto" w:after="120"/>
      </w:pPr>
      <w:r>
        <w:rPr>
          <w:rFonts w:hint="eastAsia" w:ascii="Times New Roman" w:hAnsi="Times New Roman" w:eastAsia="宋体"/>
          <w:color w:val="000000"/>
        </w:rPr>
        <w:t xml:space="preserve">（1）原始控制器代码/参数表用于提供待复现的横向和纵向工程控制逻辑，并给出初始标定参数、车辆物理常数和安全边界。</w:t>
      </w:r>
    </w:p>
    <w:p>
      <w:pPr>
        <w:pStyle w:val="BodyText"/>
        <w:spacing w:line="324" w:lineRule="auto" w:after="120"/>
      </w:pPr>
      <w:r>
        <w:rPr>
          <w:rFonts w:hint="eastAsia" w:ascii="Times New Roman" w:hAnsi="Times New Roman" w:eastAsia="宋体"/>
          <w:color w:val="000000"/>
        </w:rPr>
        <w:t xml:space="preserve">（2）双模式控制器用于在训练模式下提供可微计算路径，在验证模式下提供与工程控制器一致的硬逻辑路径。同一组整定参数在两个模式中共享。</w:t>
      </w:r>
    </w:p>
    <w:p>
      <w:pPr>
        <w:pStyle w:val="BodyText"/>
        <w:spacing w:line="324" w:lineRule="auto" w:after="120"/>
      </w:pPr>
      <w:r>
        <w:rPr>
          <w:rFonts w:hint="eastAsia" w:ascii="Times New Roman" w:hAnsi="Times New Roman" w:eastAsia="宋体"/>
          <w:color w:val="000000"/>
        </w:rPr>
        <w:t xml:space="preserve">（3）车辆动力学模型用于将转向、加速度或扭矩等控制指令转化为车辆状态变化。车辆动力学模型可以采用运动学自行车模型、动力学自行车模型、机理模型与残差模型组合，或牵引车与挂车双体模型。</w:t>
      </w:r>
    </w:p>
    <w:p>
      <w:pPr>
        <w:pStyle w:val="BodyText"/>
        <w:spacing w:line="324" w:lineRule="auto" w:after="120"/>
      </w:pPr>
      <w:r>
        <w:rPr>
          <w:rFonts w:hint="eastAsia" w:ascii="Times New Roman" w:hAnsi="Times New Roman" w:eastAsia="宋体"/>
          <w:color w:val="000000"/>
        </w:rPr>
        <w:t xml:space="preserve">（4）多场景轨迹库用于提供换道、双换道、渐变曲率弯道、S弯、弯前减速和换道加减速等场景，并覆盖多个速度段。</w:t>
      </w:r>
    </w:p>
    <w:p>
      <w:pPr>
        <w:pStyle w:val="BodyText"/>
        <w:spacing w:line="324" w:lineRule="auto" w:after="120"/>
      </w:pPr>
      <w:r>
        <w:rPr>
          <w:rFonts w:hint="eastAsia" w:ascii="Times New Roman" w:hAnsi="Times New Roman" w:eastAsia="宋体"/>
          <w:color w:val="000000"/>
        </w:rPr>
        <w:t xml:space="preserve">（5）闭环展开模块用于按控制周期串联横向控制器、纵向控制器和车辆动力学模型，使每一时刻的状态变化都依赖前一时刻的控制结果。</w:t>
      </w:r>
    </w:p>
    <w:p>
      <w:pPr>
        <w:pStyle w:val="BodyText"/>
        <w:spacing w:line="324" w:lineRule="auto" w:after="120"/>
      </w:pPr>
      <w:r>
        <w:rPr>
          <w:rFonts w:hint="eastAsia" w:ascii="Times New Roman" w:hAnsi="Times New Roman" w:eastAsia="宋体"/>
          <w:color w:val="000000"/>
        </w:rPr>
        <w:t xml:space="preserve">（6）损失计算模块用于评价横向误差、航向误差、速度误差、转向平滑性、加速度平滑性和参数偏移，得到可优化的综合损失。</w:t>
      </w:r>
    </w:p>
    <w:p>
      <w:pPr>
        <w:pStyle w:val="BodyText"/>
        <w:spacing w:line="324" w:lineRule="auto" w:after="120"/>
      </w:pPr>
      <w:r>
        <w:rPr>
          <w:rFonts w:hint="eastAsia" w:ascii="Times New Roman" w:hAnsi="Times New Roman" w:eastAsia="宋体"/>
          <w:color w:val="000000"/>
        </w:rPr>
        <w:t xml:space="preserve">（7）自动微分模块用于沿闭环时间链路反向传播，计算综合损失对控制器参数的梯度。</w:t>
      </w:r>
    </w:p>
    <w:p>
      <w:pPr>
        <w:pStyle w:val="BodyText"/>
        <w:spacing w:line="324" w:lineRule="auto" w:after="120"/>
      </w:pPr>
      <w:r>
        <w:rPr>
          <w:rFonts w:hint="eastAsia" w:ascii="Times New Roman" w:hAnsi="Times New Roman" w:eastAsia="宋体"/>
          <w:color w:val="000000"/>
        </w:rPr>
        <w:t xml:space="preserve">（8）参数投影模块用于将更新后的参数限制在物理合理范围和安全范围内，防止自动整定越过工程可部署边界。</w:t>
      </w:r>
    </w:p>
    <w:p>
      <w:pPr>
        <w:pStyle w:val="BodyText"/>
        <w:spacing w:line="324" w:lineRule="auto" w:after="120"/>
      </w:pPr>
      <w:r>
        <w:rPr>
          <w:rFonts w:hint="eastAsia" w:ascii="Times New Roman" w:hAnsi="Times New Roman" w:eastAsia="宋体"/>
          <w:color w:val="000000"/>
        </w:rPr>
        <w:t xml:space="preserve">（9）产物生成模块用于输出整定后的参数配置、训练曲线、参数变化图、验证统计图和日志。</w:t>
      </w:r>
    </w:p>
    <w:p>
      <w:pPr>
        <w:pStyle w:val="BodyText"/>
        <w:spacing w:line="324" w:lineRule="auto" w:after="120"/>
      </w:pPr>
      <w:r>
        <w:rPr>
          <w:rFonts w:hint="eastAsia" w:ascii="Times New Roman" w:hAnsi="Times New Roman" w:eastAsia="宋体"/>
          <w:color w:val="000000"/>
        </w:rPr>
        <w:t xml:space="preserve">（10）硬逻辑复验模块用于使用验证模式运行全场景闭环仿真，检查整定参数在原始硬分支、硬限幅和硬速率限制下的表现。</w:t>
      </w:r>
    </w:p>
    <w:bookmarkEnd w:id="34"/>
    <w:bookmarkStart w:id="38" w:name="系统流程说明"/>
    <w:p>
      <w:pPr>
        <w:pStyle w:val="Heading3"/>
      </w:pPr>
      <w:r>
        <w:rPr>
          <w:rFonts w:ascii="Times New Roman" w:hAnsi="Times New Roman" w:eastAsia="黑体"/>
          <w:b/>
          <w:i w:val="0"/>
          <w:color w:val="000000"/>
        </w:rPr>
        <w:t xml:space="preserve">3.4 </w:t>
      </w:r>
      <w:r>
        <w:rPr>
          <w:rFonts w:hint="eastAsia" w:ascii="Times New Roman" w:hAnsi="Times New Roman" w:eastAsia="黑体"/>
          <w:b/>
          <w:i w:val="0"/>
          <w:color w:val="000000"/>
        </w:rPr>
        <w:t xml:space="preserve">系统流程说明</w:t>
      </w:r>
    </w:p>
    <w:p>
      <w:pPr>
        <w:pStyle w:val="FirstParagraph"/>
        <w:spacing w:line="324" w:lineRule="auto" w:after="120"/>
        <w:jc w:val="center"/>
      </w:pPr>
      <w:r>
        <w:rPr>
          <w:rFonts w:hint="eastAsia" w:ascii="Times New Roman" w:hAnsi="Times New Roman" w:eastAsia="宋体"/>
          <w:color w:val="000000"/>
        </w:rPr>
        <w:t xml:space="preserve">图2示出了本发明的一种方法流程。</w:t>
      </w:r>
    </w:p>
    <w:p>
      <w:pPr>
        <w:pStyle w:val="CaptionedFigure"/>
        <w:spacing w:line="324" w:lineRule="auto" w:after="120"/>
        <w:jc w:val="center"/>
      </w:pPr>
      <w:r>
        <w:rPr>
          <w:rFonts w:ascii="Times New Roman" w:hAnsi="Times New Roman" w:eastAsia="宋体"/>
          <w:color w:val="000000"/>
        </w:rPr>
        <w:drawing>
          <wp:inline>
            <wp:extent cx="5334000" cy="3111500"/>
            <wp:effectExtent b="0" l="0" r="0" t="0"/>
            <wp:docPr descr="图2 控制器参数自动整定流程" title="" id="36" name="Picture"/>
            <a:graphic>
              <a:graphicData uri="http://schemas.openxmlformats.org/drawingml/2006/picture">
                <pic:pic>
                  <pic:nvPicPr>
                    <pic:cNvPr descr="figures/fig2_method_flow.png" id="37" name="Picture"/>
                    <pic:cNvPicPr>
                      <a:picLocks noChangeArrowheads="1" noChangeAspect="1"/>
                    </pic:cNvPicPr>
                  </pic:nvPicPr>
                  <pic:blipFill>
                    <a:blip r:embed="rId35"/>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spacing w:line="324" w:lineRule="auto" w:after="120"/>
        <w:jc w:val="center"/>
      </w:pPr>
      <w:r>
        <w:rPr>
          <w:rFonts w:hint="eastAsia" w:ascii="Times New Roman" w:hAnsi="Times New Roman" w:eastAsia="宋体"/>
          <w:color w:val="000000"/>
        </w:rPr>
        <w:t xml:space="preserve">图2</w:t>
      </w:r>
      <w:r>
        <w:rPr>
          <w:rFonts w:ascii="Times New Roman" w:hAnsi="Times New Roman" w:eastAsia="宋体"/>
          <w:color w:val="000000"/>
        </w:rPr>
        <w:t xml:space="preserve"> </w:t>
      </w:r>
      <w:r>
        <w:rPr>
          <w:rFonts w:hint="eastAsia" w:ascii="Times New Roman" w:hAnsi="Times New Roman" w:eastAsia="宋体"/>
          <w:color w:val="000000"/>
        </w:rPr>
        <w:t xml:space="preserve">控制器参数自动整定流程</w:t>
      </w:r>
    </w:p>
    <w:p>
      <w:pPr>
        <w:pStyle w:val="BodyText"/>
        <w:spacing w:line="324" w:lineRule="auto" w:after="120"/>
      </w:pPr>
      <w:r>
        <w:rPr>
          <w:rFonts w:hint="eastAsia" w:ascii="Times New Roman" w:hAnsi="Times New Roman" w:eastAsia="宋体"/>
          <w:color w:val="000000"/>
        </w:rPr>
        <w:t xml:space="preserve">具体流程如下：</w:t>
      </w:r>
    </w:p>
    <w:p>
      <w:pPr>
        <w:pStyle w:val="BodyText"/>
        <w:spacing w:line="324" w:lineRule="auto" w:after="120"/>
      </w:pPr>
      <w:r>
        <w:rPr>
          <w:rFonts w:hint="eastAsia" w:ascii="Times New Roman" w:hAnsi="Times New Roman" w:eastAsia="宋体"/>
          <w:color w:val="000000"/>
        </w:rPr>
        <w:t xml:space="preserve">S1，读取车辆控制器的原始代码和参数配置，识别可调参数、固定物理参数和安全约束参数。</w:t>
      </w:r>
    </w:p>
    <w:p>
      <w:pPr>
        <w:pStyle w:val="BodyText"/>
        <w:spacing w:line="324" w:lineRule="auto" w:after="120"/>
      </w:pPr>
      <w:r>
        <w:rPr>
          <w:rFonts w:hint="eastAsia" w:ascii="Times New Roman" w:hAnsi="Times New Roman" w:eastAsia="宋体"/>
          <w:color w:val="000000"/>
        </w:rPr>
        <w:t xml:space="preserve">S2，将横向控制器和纵向控制器封装为双模式控制器。训练模式保留控制器主要物理关系，并对非光滑步骤采用可微近似；验证模式保留原始工程硬逻辑。</w:t>
      </w:r>
    </w:p>
    <w:p>
      <w:pPr>
        <w:pStyle w:val="BodyText"/>
        <w:spacing w:line="324" w:lineRule="auto" w:after="120"/>
      </w:pPr>
      <w:r>
        <w:rPr>
          <w:rFonts w:hint="eastAsia" w:ascii="Times New Roman" w:hAnsi="Times New Roman" w:eastAsia="宋体"/>
          <w:color w:val="000000"/>
        </w:rPr>
        <w:t xml:space="preserve">S3，构建车辆动力学模型，并根据需要构建车辆物理参数域。物理参数域可包括牵引车质量、前轴侧偏刚度、后轴侧偏刚度和挂车相关参数。</w:t>
      </w:r>
    </w:p>
    <w:p>
      <w:pPr>
        <w:pStyle w:val="BodyText"/>
        <w:spacing w:line="324" w:lineRule="auto" w:after="120"/>
      </w:pPr>
      <w:r>
        <w:rPr>
          <w:rFonts w:hint="eastAsia" w:ascii="Times New Roman" w:hAnsi="Times New Roman" w:eastAsia="宋体"/>
          <w:color w:val="000000"/>
        </w:rPr>
        <w:t xml:space="preserve">S4，构造多轨迹多速度训练集，并将轨迹场景、速度段和车辆参数域展开为批量样本。</w:t>
      </w:r>
    </w:p>
    <w:p>
      <w:pPr>
        <w:pStyle w:val="BodyText"/>
        <w:spacing w:line="324" w:lineRule="auto" w:after="120"/>
      </w:pPr>
      <w:r>
        <w:rPr>
          <w:rFonts w:hint="eastAsia" w:ascii="Times New Roman" w:hAnsi="Times New Roman" w:eastAsia="宋体"/>
          <w:color w:val="000000"/>
        </w:rPr>
        <w:t xml:space="preserve">S5，在每一个控制周期内，按横向控制、纵向控制和车辆动力学更新的顺序推进闭环状态。</w:t>
      </w:r>
    </w:p>
    <w:p>
      <w:pPr>
        <w:pStyle w:val="BodyText"/>
        <w:spacing w:line="324" w:lineRule="auto" w:after="120"/>
      </w:pPr>
      <w:r>
        <w:rPr>
          <w:rFonts w:hint="eastAsia" w:ascii="Times New Roman" w:hAnsi="Times New Roman" w:eastAsia="宋体"/>
          <w:color w:val="000000"/>
        </w:rPr>
        <w:t xml:space="preserve">S6，根据车辆状态和参考轨迹计算综合损失。</w:t>
      </w:r>
    </w:p>
    <w:p>
      <w:pPr>
        <w:pStyle w:val="BodyText"/>
        <w:spacing w:line="324" w:lineRule="auto" w:after="120"/>
      </w:pPr>
      <w:r>
        <w:rPr>
          <w:rFonts w:hint="eastAsia" w:ascii="Times New Roman" w:hAnsi="Times New Roman" w:eastAsia="宋体"/>
          <w:color w:val="000000"/>
        </w:rPr>
        <w:t xml:space="preserve">S7，沿时间展开链路反向传播，获得损失对控制器参数的梯度，更新参数并执行物理约束投影。</w:t>
      </w:r>
    </w:p>
    <w:p>
      <w:pPr>
        <w:pStyle w:val="BodyText"/>
        <w:spacing w:line="324" w:lineRule="auto" w:after="120"/>
      </w:pPr>
      <w:r>
        <w:rPr>
          <w:rFonts w:hint="eastAsia" w:ascii="Times New Roman" w:hAnsi="Times New Roman" w:eastAsia="宋体"/>
          <w:color w:val="000000"/>
        </w:rPr>
        <w:t xml:space="preserve">S8，导出整定后的参数配置，并在验证模式下进行硬逻辑复验；若复验不满足要求，则以上一轮参数为起点继续整定或调整训练场景。</w:t>
      </w:r>
    </w:p>
    <w:bookmarkEnd w:id="38"/>
    <w:bookmarkStart w:id="43" w:name="符号与公式"/>
    <w:p>
      <w:pPr>
        <w:pStyle w:val="Heading3"/>
      </w:pPr>
      <w:r>
        <w:rPr>
          <w:rFonts w:ascii="Times New Roman" w:hAnsi="Times New Roman" w:eastAsia="黑体"/>
          <w:b/>
          <w:i w:val="0"/>
          <w:color w:val="000000"/>
        </w:rPr>
        <w:t xml:space="preserve">3.4.1 </w:t>
      </w:r>
      <w:r>
        <w:rPr>
          <w:rFonts w:hint="eastAsia" w:ascii="Times New Roman" w:hAnsi="Times New Roman" w:eastAsia="黑体"/>
          <w:b/>
          <w:i w:val="0"/>
          <w:color w:val="000000"/>
        </w:rPr>
        <w:t xml:space="preserve">符号与公式</w:t>
      </w:r>
    </w:p>
    <w:bookmarkStart w:id="39" w:name="符号与变量定义"/>
    <w:p>
      <w:pPr>
        <w:pStyle w:val="Heading4"/>
      </w:pPr>
      <w:r>
        <w:rPr>
          <w:rFonts w:hint="eastAsia" w:ascii="Times New Roman" w:hAnsi="Times New Roman" w:eastAsia="黑体"/>
          <w:b/>
          <w:i w:val="0"/>
          <w:color w:val="000000"/>
        </w:rPr>
        <w:t xml:space="preserve">（1）符号与变量定义</w:t>
      </w:r>
    </w:p>
    <w:tbl>
      <w:tblPr>
        <w:tblStyle w:val="Table"/>
        <w:tblW w:type="pct" w:w="5000"/>
        <w:jc w:val="center"/>
        <w:tblLayout w:type="autofit"/>
        <w:tblLook w:firstRow="1" w:lastRow="0" w:firstColumn="0" w:lastColumn="0" w:noHBand="0" w:noVBand="0" w:val="002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066"/>
        <w:gridCol w:w="2066"/>
        <w:gridCol w:w="3787"/>
      </w:tblGrid>
      <w:tr>
        <w:trPr>
          <w:tblHeader w:val="on"/>
        </w:trPr>
        <w:tc>
          <w:tcPr>
            <w:vAlign w:val="center"/>
            <w:shd w:fill="FFFFFF"/>
          </w:tcPr>
          <w:p>
            <w:pPr>
              <w:pStyle w:val="Compact"/>
              <w:spacing w:line="288" w:lineRule="auto" w:after="40"/>
            </w:pPr>
            <w:r>
              <w:rPr>
                <w:rFonts w:hint="eastAsia" w:ascii="Times New Roman" w:hAnsi="Times New Roman" w:eastAsia="宋体"/>
                <w:b/>
                <w:color w:val="000000"/>
                <w:sz w:val="21"/>
              </w:rPr>
              <w:t xml:space="preserve">符号</w:t>
            </w:r>
          </w:p>
        </w:tc>
        <w:tc>
          <w:tcPr>
            <w:vAlign w:val="center"/>
            <w:shd w:fill="FFFFFF"/>
          </w:tcPr>
          <w:p>
            <w:pPr>
              <w:pStyle w:val="Compact"/>
              <w:spacing w:line="288" w:lineRule="auto" w:after="40"/>
            </w:pPr>
            <w:r>
              <w:rPr>
                <w:rFonts w:hint="eastAsia" w:ascii="Times New Roman" w:hAnsi="Times New Roman" w:eastAsia="宋体"/>
                <w:b/>
                <w:color w:val="000000"/>
                <w:sz w:val="21"/>
              </w:rPr>
              <w:t xml:space="preserve">含义</w:t>
            </w:r>
          </w:p>
        </w:tc>
        <w:tc>
          <w:tcPr>
            <w:vAlign w:val="center"/>
            <w:shd w:fill="FFFFFF"/>
          </w:tcPr>
          <w:p>
            <w:pPr>
              <w:pStyle w:val="Compact"/>
              <w:spacing w:line="288" w:lineRule="auto" w:after="40"/>
            </w:pPr>
            <w:r>
              <w:rPr>
                <w:rFonts w:hint="eastAsia" w:ascii="Times New Roman" w:hAnsi="Times New Roman" w:eastAsia="宋体"/>
                <w:b/>
                <w:color w:val="000000"/>
                <w:sz w:val="21"/>
              </w:rPr>
              <w:t xml:space="preserve">下标/量纲</w:t>
            </w:r>
          </w:p>
        </w:tc>
      </w:tr>
      <w:tr>
        <w:tc>
          <w:tcPr>
            <w:vAlign w:val="center"/>
            <w:shd w:fill="FFFFFF"/>
          </w:tcPr>
          <w:p>
            <w:pPr>
              <w:pStyle w:val="Compact"/>
              <w:spacing w:line="288" w:lineRule="auto" w:after="40"/>
            </w:pPr>
            <m:oMath>
              <m:r>
                <m:t>t</m:t>
              </m:r>
            </m:oMath>
          </w:p>
        </w:tc>
        <w:tc>
          <w:tcPr>
            <w:vAlign w:val="center"/>
            <w:shd w:fill="FFFFFF"/>
          </w:tcPr>
          <w:p>
            <w:pPr>
              <w:pStyle w:val="Compact"/>
              <w:spacing w:line="288" w:lineRule="auto" w:after="40"/>
            </w:pPr>
            <w:r>
              <w:rPr>
                <w:rFonts w:hint="eastAsia" w:ascii="Times New Roman" w:hAnsi="Times New Roman" w:eastAsia="宋体"/>
                <w:color w:val="000000"/>
                <w:sz w:val="21"/>
              </w:rPr>
              <w:t xml:space="preserve">控制周期索引</w:t>
            </w:r>
          </w:p>
        </w:tc>
        <w:tc>
          <w:tcPr>
            <w:vAlign w:val="center"/>
            <w:shd w:fill="FFFFFF"/>
          </w:tcPr>
          <w:p>
            <w:pPr>
              <w:pStyle w:val="Compact"/>
              <w:spacing w:line="288" w:lineRule="auto" w:after="40"/>
            </w:pPr>
            <m:oMath>
              <m:r>
                <m:t>t</m:t>
              </m:r>
              <m:r>
                <m:rPr>
                  <m:sty m:val="p"/>
                </m:rPr>
                <m:t>=</m:t>
              </m:r>
              <m:r>
                <m:t>0</m:t>
              </m:r>
              <m:r>
                <m:rPr>
                  <m:sty m:val="p"/>
                </m:rPr>
                <m:t>,</m:t>
              </m:r>
              <m:r>
                <m:t>1</m:t>
              </m:r>
              <m:r>
                <m:rPr>
                  <m:sty m:val="p"/>
                </m:rPr>
                <m:t>,</m:t>
              </m:r>
              <m:r>
                <m:rPr>
                  <m:sty m:val="p"/>
                </m:rPr>
                <m:t>…</m:t>
              </m:r>
              <m:r>
                <m:rPr>
                  <m:sty m:val="p"/>
                </m:rPr>
                <m:t>,</m:t>
              </m:r>
              <m:r>
                <m:t>T</m:t>
              </m:r>
            </m:oMath>
            <w:r>
              <w:rPr>
                <w:rFonts w:hint="eastAsia" w:ascii="Times New Roman" w:hAnsi="Times New Roman" w:eastAsia="宋体"/>
                <w:color w:val="000000"/>
                <w:sz w:val="21"/>
              </w:rPr>
              <w:t xml:space="preserve">，周期可为</w:t>
            </w:r>
            <w:r>
              <w:rPr>
                <w:rFonts w:ascii="Times New Roman" w:hAnsi="Times New Roman" w:eastAsia="宋体"/>
                <w:color w:val="000000"/>
                <w:sz w:val="21"/>
              </w:rPr>
              <w:t xml:space="preserve"> 0.02 s</w:t>
            </w:r>
          </w:p>
        </w:tc>
      </w:tr>
      <w:tr>
        <w:tc>
          <w:tcPr>
            <w:vAlign w:val="center"/>
            <w:shd w:fill="FFFFFF"/>
          </w:tcPr>
          <w:p>
            <w:pPr>
              <w:pStyle w:val="Compact"/>
              <w:spacing w:line="288" w:lineRule="auto" w:after="40"/>
            </w:pPr>
            <m:oMath>
              <m:sSub>
                <m:e>
                  <m:r>
                    <m:t>x</m:t>
                  </m:r>
                </m:e>
                <m:sub>
                  <m:r>
                    <m:t>t</m:t>
                  </m:r>
                </m:sub>
              </m:sSub>
            </m:oMath>
          </w:p>
        </w:tc>
        <w:tc>
          <w:tcPr>
            <w:vAlign w:val="center"/>
            <w:shd w:fill="FFFFFF"/>
          </w:tcPr>
          <w:p>
            <w:pPr>
              <w:pStyle w:val="Compact"/>
              <w:spacing w:line="288" w:lineRule="auto" w:after="40"/>
            </w:pPr>
            <w:r>
              <w:rPr>
                <w:rFonts w:hint="eastAsia" w:ascii="Times New Roman" w:hAnsi="Times New Roman" w:eastAsia="宋体"/>
                <w:color w:val="000000"/>
                <w:sz w:val="21"/>
              </w:rPr>
              <w:t xml:space="preserve">第</w:t>
            </w:r>
            <w:r>
              <w:rPr>
                <w:rFonts w:ascii="Times New Roman" w:hAnsi="Times New Roman" w:eastAsia="宋体"/>
                <w:color w:val="000000"/>
                <w:sz w:val="21"/>
              </w:rPr>
              <w:t xml:space="preserve"> </w:t>
            </w:r>
            <m:oMath>
              <m:r>
                <m:t>t</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个周期的车辆状态</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包括位置、航向、速度、横摆角速度等</w:t>
            </w:r>
          </w:p>
        </w:tc>
      </w:tr>
      <w:tr>
        <w:tc>
          <w:tcPr>
            <w:vAlign w:val="center"/>
            <w:shd w:fill="FFFFFF"/>
          </w:tcPr>
          <w:p>
            <w:pPr>
              <w:pStyle w:val="Compact"/>
              <w:spacing w:line="288" w:lineRule="auto" w:after="40"/>
            </w:pPr>
            <m:oMath>
              <m:sSub>
                <m:e>
                  <m:r>
                    <m:t>r</m:t>
                  </m:r>
                </m:e>
                <m:sub>
                  <m:r>
                    <m:t>t</m:t>
                  </m:r>
                </m:sub>
              </m:sSub>
            </m:oMath>
          </w:p>
        </w:tc>
        <w:tc>
          <w:tcPr>
            <w:vAlign w:val="center"/>
            <w:shd w:fill="FFFFFF"/>
          </w:tcPr>
          <w:p>
            <w:pPr>
              <w:pStyle w:val="Compact"/>
              <w:spacing w:line="288" w:lineRule="auto" w:after="40"/>
            </w:pPr>
            <w:r>
              <w:rPr>
                <w:rFonts w:hint="eastAsia" w:ascii="Times New Roman" w:hAnsi="Times New Roman" w:eastAsia="宋体"/>
                <w:color w:val="000000"/>
                <w:sz w:val="21"/>
              </w:rPr>
              <w:t xml:space="preserve">第</w:t>
            </w:r>
            <w:r>
              <w:rPr>
                <w:rFonts w:ascii="Times New Roman" w:hAnsi="Times New Roman" w:eastAsia="宋体"/>
                <w:color w:val="000000"/>
                <w:sz w:val="21"/>
              </w:rPr>
              <w:t xml:space="preserve"> </w:t>
            </w:r>
            <m:oMath>
              <m:r>
                <m:t>t</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个周期查询到的参考轨迹状态</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包括参考位置、航向、曲率和速度</w:t>
            </w:r>
          </w:p>
        </w:tc>
      </w:tr>
      <w:tr>
        <w:tc>
          <w:tcPr>
            <w:vAlign w:val="center"/>
            <w:shd w:fill="FFFFFF"/>
          </w:tcPr>
          <w:p>
            <w:pPr>
              <w:pStyle w:val="Compact"/>
              <w:spacing w:line="288" w:lineRule="auto" w:after="40"/>
            </w:pPr>
            <m:oMath>
              <m:sSub>
                <m:e>
                  <m:r>
                    <m:t>u</m:t>
                  </m:r>
                </m:e>
                <m:sub>
                  <m:r>
                    <m:t>t</m:t>
                  </m:r>
                </m:sub>
              </m:sSub>
            </m:oMath>
          </w:p>
        </w:tc>
        <w:tc>
          <w:tcPr>
            <w:vAlign w:val="center"/>
            <w:shd w:fill="FFFFFF"/>
          </w:tcPr>
          <w:p>
            <w:pPr>
              <w:pStyle w:val="Compact"/>
              <w:spacing w:line="288" w:lineRule="auto" w:after="40"/>
            </w:pPr>
            <w:r>
              <w:rPr>
                <w:rFonts w:hint="eastAsia" w:ascii="Times New Roman" w:hAnsi="Times New Roman" w:eastAsia="宋体"/>
                <w:color w:val="000000"/>
                <w:sz w:val="21"/>
              </w:rPr>
              <w:t xml:space="preserve">第</w:t>
            </w:r>
            <w:r>
              <w:rPr>
                <w:rFonts w:ascii="Times New Roman" w:hAnsi="Times New Roman" w:eastAsia="宋体"/>
                <w:color w:val="000000"/>
                <w:sz w:val="21"/>
              </w:rPr>
              <w:t xml:space="preserve"> </w:t>
            </w:r>
            <m:oMath>
              <m:r>
                <m:t>t</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个周期的控制指令</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包括转向、加速度或扭矩</w:t>
            </w:r>
          </w:p>
        </w:tc>
      </w:tr>
      <w:tr>
        <w:tc>
          <w:tcPr>
            <w:vAlign w:val="center"/>
            <w:shd w:fill="FFFFFF"/>
          </w:tcPr>
          <w:p>
            <w:pPr>
              <w:pStyle w:val="Compact"/>
              <w:spacing w:line="288" w:lineRule="auto" w:after="40"/>
            </w:pPr>
            <m:oMath>
              <m:r>
                <m:t>θ</m:t>
              </m:r>
            </m:oMath>
          </w:p>
        </w:tc>
        <w:tc>
          <w:tcPr>
            <w:vAlign w:val="center"/>
            <w:shd w:fill="FFFFFF"/>
          </w:tcPr>
          <w:p>
            <w:pPr>
              <w:pStyle w:val="Compact"/>
              <w:spacing w:line="288" w:lineRule="auto" w:after="40"/>
            </w:pPr>
            <w:r>
              <w:rPr>
                <w:rFonts w:hint="eastAsia" w:ascii="Times New Roman" w:hAnsi="Times New Roman" w:eastAsia="宋体"/>
                <w:color w:val="000000"/>
                <w:sz w:val="21"/>
              </w:rPr>
              <w:t xml:space="preserve">待整定控制器参数集合</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含横向参数</w:t>
            </w:r>
            <w:r>
              <w:rPr>
                <w:rFonts w:ascii="Times New Roman" w:hAnsi="Times New Roman" w:eastAsia="宋体"/>
                <w:color w:val="000000"/>
                <w:sz w:val="21"/>
              </w:rPr>
              <w:t xml:space="preserve"> </w:t>
            </w:r>
            <m:oMath>
              <m:sSub>
                <m:e>
                  <m:r>
                    <m:t>θ</m:t>
                  </m:r>
                </m:e>
                <m:sub>
                  <m:r>
                    <m:rPr>
                      <m:sty m:val="p"/>
                    </m:rPr>
                    <m:t>l</m:t>
                  </m:r>
                  <m:r>
                    <m:rPr>
                      <m:sty m:val="p"/>
                    </m:rPr>
                    <m:t>a</m:t>
                  </m:r>
                  <m:r>
                    <m:rPr>
                      <m:sty m:val="p"/>
                    </m:rPr>
                    <m:t>t</m:t>
                  </m:r>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与纵向参数</w:t>
            </w:r>
            <w:r>
              <w:rPr>
                <w:rFonts w:ascii="Times New Roman" w:hAnsi="Times New Roman" w:eastAsia="宋体"/>
                <w:color w:val="000000"/>
                <w:sz w:val="21"/>
              </w:rPr>
              <w:t xml:space="preserve"> </w:t>
            </w:r>
            <m:oMath>
              <m:sSub>
                <m:e>
                  <m:r>
                    <m:t>θ</m:t>
                  </m:r>
                </m:e>
                <m:sub>
                  <m:r>
                    <m:rPr>
                      <m:sty m:val="p"/>
                    </m:rPr>
                    <m:t>l</m:t>
                  </m:r>
                  <m:r>
                    <m:rPr>
                      <m:sty m:val="p"/>
                    </m:rPr>
                    <m:t>o</m:t>
                  </m:r>
                  <m:r>
                    <m:rPr>
                      <m:sty m:val="p"/>
                    </m:rPr>
                    <m:t>n</m:t>
                  </m:r>
                </m:sub>
              </m:sSub>
            </m:oMath>
          </w:p>
        </w:tc>
      </w:tr>
      <w:tr>
        <w:tc>
          <w:tcPr>
            <w:vAlign w:val="center"/>
            <w:shd w:fill="FFFFFF"/>
          </w:tcPr>
          <w:p>
            <w:pPr>
              <w:pStyle w:val="Compact"/>
              <w:spacing w:line="288" w:lineRule="auto" w:after="40"/>
            </w:pPr>
            <m:oMath>
              <m:r>
                <m:t>ϕ</m:t>
              </m:r>
            </m:oMath>
          </w:p>
        </w:tc>
        <w:tc>
          <w:tcPr>
            <w:vAlign w:val="center"/>
            <w:shd w:fill="FFFFFF"/>
          </w:tcPr>
          <w:p>
            <w:pPr>
              <w:pStyle w:val="Compact"/>
              <w:spacing w:line="288" w:lineRule="auto" w:after="40"/>
            </w:pPr>
            <w:r>
              <w:rPr>
                <w:rFonts w:hint="eastAsia" w:ascii="Times New Roman" w:hAnsi="Times New Roman" w:eastAsia="宋体"/>
                <w:color w:val="000000"/>
                <w:sz w:val="21"/>
              </w:rPr>
              <w:t xml:space="preserve">车辆动力学参数集合</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质量、侧偏刚度、轮胎半径等</w:t>
            </w:r>
          </w:p>
        </w:tc>
      </w:tr>
      <w:tr>
        <w:tc>
          <w:tcPr>
            <w:vAlign w:val="center"/>
            <w:shd w:fill="FFFFFF"/>
          </w:tcPr>
          <w:p>
            <w:pPr>
              <w:pStyle w:val="Compact"/>
              <w:spacing w:line="288" w:lineRule="auto" w:after="40"/>
            </w:pPr>
            <m:oMath>
              <m:sSub>
                <m:e>
                  <m:r>
                    <m:t>e</m:t>
                  </m:r>
                </m:e>
                <m:sub>
                  <m:r>
                    <m:t>t</m:t>
                  </m:r>
                  <m:r>
                    <m:rPr>
                      <m:sty m:val="p"/>
                    </m:rPr>
                    <m:t>,</m:t>
                  </m:r>
                  <m:r>
                    <m:rPr>
                      <m:sty m:val="p"/>
                    </m:rPr>
                    <m:t>l</m:t>
                  </m:r>
                  <m:r>
                    <m:rPr>
                      <m:sty m:val="p"/>
                    </m:rPr>
                    <m:t>a</m:t>
                  </m:r>
                  <m:r>
                    <m:rPr>
                      <m:sty m:val="p"/>
                    </m:rPr>
                    <m:t>t</m:t>
                  </m:r>
                </m:sub>
              </m:sSub>
            </m:oMath>
          </w:p>
        </w:tc>
        <w:tc>
          <w:tcPr>
            <w:vAlign w:val="center"/>
            <w:shd w:fill="FFFFFF"/>
          </w:tcPr>
          <w:p>
            <w:pPr>
              <w:pStyle w:val="Compact"/>
              <w:spacing w:line="288" w:lineRule="auto" w:after="40"/>
            </w:pPr>
            <w:r>
              <w:rPr>
                <w:rFonts w:hint="eastAsia" w:ascii="Times New Roman" w:hAnsi="Times New Roman" w:eastAsia="宋体"/>
                <w:color w:val="000000"/>
                <w:sz w:val="21"/>
              </w:rPr>
              <w:t xml:space="preserve">横向跟踪误差</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单位</w:t>
            </w:r>
            <w:r>
              <w:rPr>
                <w:rFonts w:ascii="Times New Roman" w:hAnsi="Times New Roman" w:eastAsia="宋体"/>
                <w:color w:val="000000"/>
                <w:sz w:val="21"/>
              </w:rPr>
              <w:t xml:space="preserve"> m</w:t>
            </w:r>
          </w:p>
        </w:tc>
      </w:tr>
      <w:tr>
        <w:tc>
          <w:tcPr>
            <w:vAlign w:val="center"/>
            <w:shd w:fill="FFFFFF"/>
          </w:tcPr>
          <w:p>
            <w:pPr>
              <w:pStyle w:val="Compact"/>
              <w:spacing w:line="288" w:lineRule="auto" w:after="40"/>
            </w:pPr>
            <m:oMath>
              <m:sSub>
                <m:e>
                  <m:r>
                    <m:t>e</m:t>
                  </m:r>
                </m:e>
                <m:sub>
                  <m:r>
                    <m:t>t</m:t>
                  </m:r>
                  <m:r>
                    <m:rPr>
                      <m:sty m:val="p"/>
                    </m:rPr>
                    <m:t>,</m:t>
                  </m:r>
                  <m:r>
                    <m:rPr>
                      <m:sty m:val="p"/>
                    </m:rPr>
                    <m:t>h</m:t>
                  </m:r>
                  <m:r>
                    <m:rPr>
                      <m:sty m:val="p"/>
                    </m:rPr>
                    <m:t>e</m:t>
                  </m:r>
                  <m:r>
                    <m:rPr>
                      <m:sty m:val="p"/>
                    </m:rPr>
                    <m:t>a</m:t>
                  </m:r>
                  <m:r>
                    <m:rPr>
                      <m:sty m:val="p"/>
                    </m:rPr>
                    <m:t>d</m:t>
                  </m:r>
                </m:sub>
              </m:sSub>
            </m:oMath>
          </w:p>
        </w:tc>
        <w:tc>
          <w:tcPr>
            <w:vAlign w:val="center"/>
            <w:shd w:fill="FFFFFF"/>
          </w:tcPr>
          <w:p>
            <w:pPr>
              <w:pStyle w:val="Compact"/>
              <w:spacing w:line="288" w:lineRule="auto" w:after="40"/>
            </w:pPr>
            <w:r>
              <w:rPr>
                <w:rFonts w:hint="eastAsia" w:ascii="Times New Roman" w:hAnsi="Times New Roman" w:eastAsia="宋体"/>
                <w:color w:val="000000"/>
                <w:sz w:val="21"/>
              </w:rPr>
              <w:t xml:space="preserve">航向误差</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单位</w:t>
            </w:r>
            <w:r>
              <w:rPr>
                <w:rFonts w:ascii="Times New Roman" w:hAnsi="Times New Roman" w:eastAsia="宋体"/>
                <w:color w:val="000000"/>
                <w:sz w:val="21"/>
              </w:rPr>
              <w:t xml:space="preserve"> rad</w:t>
            </w:r>
          </w:p>
        </w:tc>
      </w:tr>
      <w:tr>
        <w:tc>
          <w:tcPr>
            <w:vAlign w:val="center"/>
            <w:shd w:fill="FFFFFF"/>
          </w:tcPr>
          <w:p>
            <w:pPr>
              <w:pStyle w:val="Compact"/>
              <w:spacing w:line="288" w:lineRule="auto" w:after="40"/>
            </w:pPr>
            <m:oMath>
              <m:sSub>
                <m:e>
                  <m:r>
                    <m:t>e</m:t>
                  </m:r>
                </m:e>
                <m:sub>
                  <m:r>
                    <m:t>t</m:t>
                  </m:r>
                  <m:r>
                    <m:rPr>
                      <m:sty m:val="p"/>
                    </m:rPr>
                    <m:t>,</m:t>
                  </m:r>
                  <m:r>
                    <m:rPr>
                      <m:sty m:val="p"/>
                    </m:rPr>
                    <m:t>s</m:t>
                  </m:r>
                  <m:r>
                    <m:rPr>
                      <m:sty m:val="p"/>
                    </m:rPr>
                    <m:t>p</m:t>
                  </m:r>
                  <m:r>
                    <m:rPr>
                      <m:sty m:val="p"/>
                    </m:rPr>
                    <m:t>d</m:t>
                  </m:r>
                </m:sub>
              </m:sSub>
            </m:oMath>
          </w:p>
        </w:tc>
        <w:tc>
          <w:tcPr>
            <w:vAlign w:val="center"/>
            <w:shd w:fill="FFFFFF"/>
          </w:tcPr>
          <w:p>
            <w:pPr>
              <w:pStyle w:val="Compact"/>
              <w:spacing w:line="288" w:lineRule="auto" w:after="40"/>
            </w:pPr>
            <w:r>
              <w:rPr>
                <w:rFonts w:hint="eastAsia" w:ascii="Times New Roman" w:hAnsi="Times New Roman" w:eastAsia="宋体"/>
                <w:color w:val="000000"/>
                <w:sz w:val="21"/>
              </w:rPr>
              <w:t xml:space="preserve">速度误差</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单位</w:t>
            </w:r>
            <w:r>
              <w:rPr>
                <w:rFonts w:ascii="Times New Roman" w:hAnsi="Times New Roman" w:eastAsia="宋体"/>
                <w:color w:val="000000"/>
                <w:sz w:val="21"/>
              </w:rPr>
              <w:t xml:space="preserve"> m/s</w:t>
            </w:r>
          </w:p>
        </w:tc>
      </w:tr>
      <w:tr>
        <w:tc>
          <w:tcPr>
            <w:vAlign w:val="center"/>
            <w:shd w:fill="FFFFFF"/>
          </w:tcPr>
          <w:p>
            <w:pPr>
              <w:pStyle w:val="Compact"/>
              <w:spacing w:line="288" w:lineRule="auto" w:after="40"/>
            </w:pPr>
            <m:oMath>
              <m:r>
                <m:rPr>
                  <m:sty m:val="p"/>
                </m:rPr>
                <m:t>Δ</m:t>
              </m:r>
              <m:sSub>
                <m:e>
                  <m:r>
                    <m:t>u</m:t>
                  </m:r>
                </m:e>
                <m:sub>
                  <m:r>
                    <m:t>t</m:t>
                  </m:r>
                </m:sub>
              </m:sSub>
            </m:oMath>
          </w:p>
        </w:tc>
        <w:tc>
          <w:tcPr>
            <w:vAlign w:val="center"/>
            <w:shd w:fill="FFFFFF"/>
          </w:tcPr>
          <w:p>
            <w:pPr>
              <w:pStyle w:val="Compact"/>
              <w:spacing w:line="288" w:lineRule="auto" w:after="40"/>
            </w:pPr>
            <w:r>
              <w:rPr>
                <w:rFonts w:hint="eastAsia" w:ascii="Times New Roman" w:hAnsi="Times New Roman" w:eastAsia="宋体"/>
                <w:color w:val="000000"/>
                <w:sz w:val="21"/>
              </w:rPr>
              <w:t xml:space="preserve">相邻周期控制指令变化</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用于平滑性约束</w:t>
            </w:r>
          </w:p>
        </w:tc>
      </w:tr>
      <w:tr>
        <w:tc>
          <w:tcPr>
            <w:vAlign w:val="center"/>
            <w:shd w:fill="FFFFFF"/>
          </w:tcPr>
          <w:p>
            <w:pPr>
              <w:pStyle w:val="Compact"/>
              <w:spacing w:line="288" w:lineRule="auto" w:after="40"/>
            </w:pPr>
            <m:oMath>
              <m:r>
                <m:t>J</m:t>
              </m:r>
              <m:r>
                <m:rPr>
                  <m:sty m:val="p"/>
                </m:rPr>
                <m:t>(</m:t>
              </m:r>
              <m:r>
                <m:t>θ</m:t>
              </m:r>
              <m:r>
                <m:rPr>
                  <m:sty m:val="p"/>
                </m:rPr>
                <m:t>)</m:t>
              </m:r>
            </m:oMath>
          </w:p>
        </w:tc>
        <w:tc>
          <w:tcPr>
            <w:vAlign w:val="center"/>
            <w:shd w:fill="FFFFFF"/>
          </w:tcPr>
          <w:p>
            <w:pPr>
              <w:pStyle w:val="Compact"/>
              <w:spacing w:line="288" w:lineRule="auto" w:after="40"/>
            </w:pPr>
            <w:r>
              <w:rPr>
                <w:rFonts w:hint="eastAsia" w:ascii="Times New Roman" w:hAnsi="Times New Roman" w:eastAsia="宋体"/>
                <w:color w:val="000000"/>
                <w:sz w:val="21"/>
              </w:rPr>
              <w:t xml:space="preserve">综合损失函数</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无量纲或按归一化后加权</w:t>
            </w:r>
          </w:p>
        </w:tc>
      </w:tr>
      <w:tr>
        <w:tc>
          <w:tcPr>
            <w:vAlign w:val="center"/>
            <w:shd w:fill="FFFFFF"/>
          </w:tcPr>
          <w:p>
            <w:pPr>
              <w:pStyle w:val="Compact"/>
              <w:spacing w:line="288" w:lineRule="auto" w:after="40"/>
            </w:pPr>
            <m:oMath>
              <m:sSub>
                <m:e>
                  <m:r>
                    <m:rPr>
                      <m:sty m:val="p"/>
                    </m:rPr>
                    <m:t>Π</m:t>
                  </m:r>
                </m:e>
                <m:sub>
                  <m:r>
                    <m:rPr>
                      <m:sty m:val="p"/>
                    </m:rPr>
                    <m:t>Θ</m:t>
                  </m:r>
                </m:sub>
              </m:sSub>
              <m:r>
                <m:rPr>
                  <m:sty m:val="p"/>
                </m:rPr>
                <m:t>(</m:t>
              </m:r>
              <m:r>
                <m:rPr>
                  <m:sty m:val="p"/>
                </m:rPr>
                <m:t>⋅</m:t>
              </m:r>
              <m:r>
                <m:rPr>
                  <m:sty m:val="p"/>
                </m:rPr>
                <m:t>)</m:t>
              </m:r>
            </m:oMath>
          </w:p>
        </w:tc>
        <w:tc>
          <w:tcPr>
            <w:vAlign w:val="center"/>
            <w:shd w:fill="FFFFFF"/>
          </w:tcPr>
          <w:p>
            <w:pPr>
              <w:pStyle w:val="Compact"/>
              <w:spacing w:line="288" w:lineRule="auto" w:after="40"/>
            </w:pPr>
            <w:r>
              <w:rPr>
                <w:rFonts w:hint="eastAsia" w:ascii="Times New Roman" w:hAnsi="Times New Roman" w:eastAsia="宋体"/>
                <w:color w:val="000000"/>
                <w:sz w:val="21"/>
              </w:rPr>
              <w:t xml:space="preserve">参数投影算子</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将参数限制在集合</w:t>
            </w:r>
            <w:r>
              <w:rPr>
                <w:rFonts w:ascii="Times New Roman" w:hAnsi="Times New Roman" w:eastAsia="宋体"/>
                <w:color w:val="000000"/>
                <w:sz w:val="21"/>
              </w:rPr>
              <w:t xml:space="preserve"> </w:t>
            </w:r>
            <m:oMath>
              <m:r>
                <m:rPr>
                  <m:sty m:val="p"/>
                </m:rPr>
                <m:t>Θ</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内</w:t>
            </w:r>
          </w:p>
        </w:tc>
      </w:tr>
    </w:tbl>
    <w:bookmarkEnd w:id="39"/>
    <w:bookmarkStart w:id="40" w:name="闭环状态更新"/>
    <w:p>
      <w:pPr>
        <w:pStyle w:val="Heading4"/>
      </w:pPr>
      <w:r>
        <w:rPr>
          <w:rFonts w:hint="eastAsia" w:ascii="Times New Roman" w:hAnsi="Times New Roman" w:eastAsia="黑体"/>
          <w:b/>
          <w:i w:val="0"/>
          <w:color w:val="000000"/>
        </w:rPr>
        <w:t xml:space="preserve">（2）闭环状态更新</w:t>
      </w:r>
    </w:p>
    <w:p>
      <w:pPr>
        <w:pStyle w:val="FirstParagraph"/>
        <w:spacing w:line="324" w:lineRule="auto" w:after="120"/>
      </w:pPr>
      <w:r>
        <w:rPr>
          <w:rFonts w:hint="eastAsia" w:ascii="Times New Roman" w:hAnsi="Times New Roman" w:eastAsia="宋体"/>
          <w:color w:val="000000"/>
        </w:rPr>
        <w:t xml:space="preserve">控制器和车辆动力学在每一周期形成如下关系。式（1）为控制器映射：</w:t>
      </w:r>
    </w:p>
    <w:p>
      <w:pPr>
        <w:pStyle w:val="BodyText"/>
        <w:spacing w:line="324" w:lineRule="auto" w:after="120"/>
      </w:pPr>
      <m:oMathPara>
        <m:oMathParaPr>
          <m:jc m:val="center"/>
        </m:oMathParaPr>
        <m:oMath>
          <m:sSub>
            <m:e>
              <m:r>
                <m:t>u</m:t>
              </m:r>
            </m:e>
            <m:sub>
              <m:r>
                <m:t>t</m:t>
              </m:r>
            </m:sub>
          </m:sSub>
          <m:r>
            <m:rPr>
              <m:sty m:val="p"/>
            </m:rPr>
            <m:t>=</m:t>
          </m:r>
          <m:r>
            <m:t>g</m:t>
          </m:r>
          <m:r>
            <m:rPr>
              <m:sty m:val="p"/>
            </m:rPr>
            <m:t>(</m:t>
          </m:r>
          <m:sSub>
            <m:e>
              <m:r>
                <m:t>x</m:t>
              </m:r>
            </m:e>
            <m:sub>
              <m:r>
                <m:t>t</m:t>
              </m:r>
            </m:sub>
          </m:sSub>
          <m:r>
            <m:rPr>
              <m:sty m:val="p"/>
            </m:rPr>
            <m:t>,</m:t>
          </m:r>
          <m:sSub>
            <m:e>
              <m:r>
                <m:t>r</m:t>
              </m:r>
            </m:e>
            <m:sub>
              <m:r>
                <m:t>t</m:t>
              </m:r>
            </m:sub>
          </m:sSub>
          <m:r>
            <m:rPr>
              <m:sty m:val="p"/>
            </m:rPr>
            <m:t>,</m:t>
          </m:r>
          <m:r>
            <m:t>θ</m:t>
          </m:r>
          <m:r>
            <m:rPr>
              <m:sty m:val="p"/>
            </m:rPr>
            <m:t>)</m:t>
          </m:r>
          <m:r>
            <m:t>  </m:t>
          </m:r>
          <m:r>
            <m:rPr>
              <m:sty m:val="p"/>
            </m:rPr>
            <m:t>(</m:t>
          </m:r>
          <m:r>
            <m:rPr>
              <m:sty m:val="p"/>
            </m:rPr>
            <m:t>1</m:t>
          </m:r>
          <m:r>
            <m:rPr>
              <m:sty m:val="p"/>
            </m:rPr>
            <m:t>)</m:t>
          </m:r>
        </m:oMath>
      </m:oMathPara>
    </w:p>
    <w:p>
      <w:pPr>
        <w:pStyle w:val="FirstParagraph"/>
        <w:spacing w:line="324" w:lineRule="auto" w:after="120"/>
      </w:pPr>
      <w:r>
        <w:rPr>
          <w:rFonts w:hint="eastAsia" w:ascii="Times New Roman" w:hAnsi="Times New Roman" w:eastAsia="宋体"/>
          <w:color w:val="000000"/>
        </w:rPr>
        <w:t xml:space="preserve">式（2）为车辆动力学更新：</w:t>
      </w:r>
    </w:p>
    <w:p>
      <w:pPr>
        <w:pStyle w:val="BodyText"/>
        <w:spacing w:line="324" w:lineRule="auto" w:after="120"/>
      </w:pPr>
      <m:oMathPara>
        <m:oMathParaPr>
          <m:jc m:val="center"/>
        </m:oMathParaPr>
        <m:oMath>
          <m:sSub>
            <m:e>
              <m:r>
                <m:t>x</m:t>
              </m:r>
            </m:e>
            <m:sub>
              <m:r>
                <m:t>t</m:t>
              </m:r>
              <m:r>
                <m:rPr>
                  <m:sty m:val="p"/>
                </m:rPr>
                <m:t>+</m:t>
              </m:r>
              <m:r>
                <m:t>1</m:t>
              </m:r>
            </m:sub>
          </m:sSub>
          <m:r>
            <m:rPr>
              <m:sty m:val="p"/>
            </m:rPr>
            <m:t>=</m:t>
          </m:r>
          <m:r>
            <m:t>f</m:t>
          </m:r>
          <m:r>
            <m:rPr>
              <m:sty m:val="p"/>
            </m:rPr>
            <m:t>(</m:t>
          </m:r>
          <m:sSub>
            <m:e>
              <m:r>
                <m:t>x</m:t>
              </m:r>
            </m:e>
            <m:sub>
              <m:r>
                <m:t>t</m:t>
              </m:r>
            </m:sub>
          </m:sSub>
          <m:r>
            <m:rPr>
              <m:sty m:val="p"/>
            </m:rPr>
            <m:t>,</m:t>
          </m:r>
          <m:sSub>
            <m:e>
              <m:r>
                <m:t>u</m:t>
              </m:r>
            </m:e>
            <m:sub>
              <m:r>
                <m:t>t</m:t>
              </m:r>
            </m:sub>
          </m:sSub>
          <m:r>
            <m:rPr>
              <m:sty m:val="p"/>
            </m:rPr>
            <m:t>,</m:t>
          </m:r>
          <m:r>
            <m:t>ϕ</m:t>
          </m:r>
          <m:r>
            <m:rPr>
              <m:sty m:val="p"/>
            </m:rPr>
            <m:t>)</m:t>
          </m:r>
          <m:r>
            <m:t>  </m:t>
          </m:r>
          <m:r>
            <m:rPr>
              <m:sty m:val="p"/>
            </m:rPr>
            <m:t>(</m:t>
          </m:r>
          <m:r>
            <m:rPr>
              <m:sty m:val="p"/>
            </m:rPr>
            <m:t>2</m:t>
          </m:r>
          <m:r>
            <m:rPr>
              <m:sty m:val="p"/>
            </m:rPr>
            <m:t>)</m:t>
          </m:r>
        </m:oMath>
      </m:oMathPara>
    </w:p>
    <w:p>
      <w:pPr>
        <w:pStyle w:val="FirstParagraph"/>
        <w:spacing w:line="324" w:lineRule="auto" w:after="120"/>
      </w:pPr>
      <w:r>
        <w:rPr>
          <w:rFonts w:hint="eastAsia" w:ascii="Times New Roman" w:hAnsi="Times New Roman" w:eastAsia="宋体"/>
          <w:color w:val="000000"/>
        </w:rPr>
        <w:t xml:space="preserve">其中，</w:t>
      </w:r>
      <m:oMath>
        <m:r>
          <m:t>g</m:t>
        </m:r>
        <m:r>
          <m:rPr>
            <m:sty m:val="p"/>
          </m:rPr>
          <m:t>(</m:t>
        </m:r>
        <m:r>
          <m:rPr>
            <m:sty m:val="p"/>
          </m:rPr>
          <m:t>⋅</m:t>
        </m:r>
        <m:r>
          <m:rPr>
            <m:sty m:val="p"/>
          </m:rPr>
          <m:t>)</m:t>
        </m:r>
      </m:oMath>
      <w:r>
        <w:rPr>
          <w:rFonts w:ascii="Times New Roman" w:hAnsi="Times New Roman" w:eastAsia="宋体"/>
          <w:color w:val="000000"/>
        </w:rPr>
        <w:t xml:space="preserve"> </w:t>
      </w:r>
      <w:r>
        <w:rPr>
          <w:rFonts w:hint="eastAsia" w:ascii="Times New Roman" w:hAnsi="Times New Roman" w:eastAsia="宋体"/>
          <w:color w:val="000000"/>
        </w:rPr>
        <w:t xml:space="preserve">表示双模式控制器在训练路径中的可微形式，</w:t>
      </w:r>
      <m:oMath>
        <m:r>
          <m:t>f</m:t>
        </m:r>
        <m:r>
          <m:rPr>
            <m:sty m:val="p"/>
          </m:rPr>
          <m:t>(</m:t>
        </m:r>
        <m:r>
          <m:rPr>
            <m:sty m:val="p"/>
          </m:rPr>
          <m:t>⋅</m:t>
        </m:r>
        <m:r>
          <m:rPr>
            <m:sty m:val="p"/>
          </m:rPr>
          <m:t>)</m:t>
        </m:r>
      </m:oMath>
      <w:r>
        <w:rPr>
          <w:rFonts w:ascii="Times New Roman" w:hAnsi="Times New Roman" w:eastAsia="宋体"/>
          <w:color w:val="000000"/>
        </w:rPr>
        <w:t xml:space="preserve"> </w:t>
      </w:r>
      <w:r>
        <w:rPr>
          <w:rFonts w:hint="eastAsia" w:ascii="Times New Roman" w:hAnsi="Times New Roman" w:eastAsia="宋体"/>
          <w:color w:val="000000"/>
        </w:rPr>
        <w:t xml:space="preserve">表示车辆动力学模型。由于</w:t>
      </w:r>
      <w:r>
        <w:rPr>
          <w:rFonts w:ascii="Times New Roman" w:hAnsi="Times New Roman" w:eastAsia="宋体"/>
          <w:color w:val="000000"/>
        </w:rPr>
        <w:t xml:space="preserve"> </w:t>
      </w:r>
      <m:oMath>
        <m:sSub>
          <m:e>
            <m:r>
              <m:t>x</m:t>
            </m:r>
          </m:e>
          <m:sub>
            <m:r>
              <m:t>t</m:t>
            </m:r>
            <m:r>
              <m:rPr>
                <m:sty m:val="p"/>
              </m:rPr>
              <m:t>+</m:t>
            </m:r>
            <m:r>
              <m:t>1</m:t>
            </m:r>
          </m:sub>
        </m:sSub>
      </m:oMath>
      <w:r>
        <w:rPr>
          <w:rFonts w:ascii="Times New Roman" w:hAnsi="Times New Roman" w:eastAsia="宋体"/>
          <w:color w:val="000000"/>
        </w:rPr>
        <w:t xml:space="preserve"> </w:t>
      </w:r>
      <w:r>
        <w:rPr>
          <w:rFonts w:hint="eastAsia" w:ascii="Times New Roman" w:hAnsi="Times New Roman" w:eastAsia="宋体"/>
          <w:color w:val="000000"/>
        </w:rPr>
        <w:t xml:space="preserve">依赖</w:t>
      </w:r>
      <w:r>
        <w:rPr>
          <w:rFonts w:ascii="Times New Roman" w:hAnsi="Times New Roman" w:eastAsia="宋体"/>
          <w:color w:val="000000"/>
        </w:rPr>
        <w:t xml:space="preserve"> </w:t>
      </w:r>
      <m:oMath>
        <m:sSub>
          <m:e>
            <m:r>
              <m:t>u</m:t>
            </m:r>
          </m:e>
          <m:sub>
            <m:r>
              <m:t>t</m:t>
            </m:r>
          </m:sub>
        </m:sSub>
      </m:oMath>
      <w:r>
        <w:rPr>
          <w:rFonts w:hint="eastAsia" w:ascii="Times New Roman" w:hAnsi="Times New Roman" w:eastAsia="宋体"/>
          <w:color w:val="000000"/>
        </w:rPr>
        <w:t xml:space="preserve">，而</w:t>
      </w:r>
      <w:r>
        <w:rPr>
          <w:rFonts w:ascii="Times New Roman" w:hAnsi="Times New Roman" w:eastAsia="宋体"/>
          <w:color w:val="000000"/>
        </w:rPr>
        <w:t xml:space="preserve"> </w:t>
      </w:r>
      <m:oMath>
        <m:sSub>
          <m:e>
            <m:r>
              <m:t>u</m:t>
            </m:r>
          </m:e>
          <m:sub>
            <m:r>
              <m:t>t</m:t>
            </m:r>
          </m:sub>
        </m:sSub>
      </m:oMath>
      <w:r>
        <w:rPr>
          <w:rFonts w:ascii="Times New Roman" w:hAnsi="Times New Roman" w:eastAsia="宋体"/>
          <w:color w:val="000000"/>
        </w:rPr>
        <w:t xml:space="preserve"> </w:t>
      </w:r>
      <w:r>
        <w:rPr>
          <w:rFonts w:hint="eastAsia" w:ascii="Times New Roman" w:hAnsi="Times New Roman" w:eastAsia="宋体"/>
          <w:color w:val="000000"/>
        </w:rPr>
        <w:t xml:space="preserve">依赖</w:t>
      </w:r>
      <w:r>
        <w:rPr>
          <w:rFonts w:ascii="Times New Roman" w:hAnsi="Times New Roman" w:eastAsia="宋体"/>
          <w:color w:val="000000"/>
        </w:rPr>
        <w:t xml:space="preserve"> </w:t>
      </w:r>
      <m:oMath>
        <m:r>
          <m:t>θ</m:t>
        </m:r>
      </m:oMath>
      <w:r>
        <w:rPr>
          <w:rFonts w:hint="eastAsia" w:ascii="Times New Roman" w:hAnsi="Times New Roman" w:eastAsia="宋体"/>
          <w:color w:val="000000"/>
        </w:rPr>
        <w:t xml:space="preserve">，因此多周期跟踪误差可以沿时间链路对</w:t>
      </w:r>
      <w:r>
        <w:rPr>
          <w:rFonts w:ascii="Times New Roman" w:hAnsi="Times New Roman" w:eastAsia="宋体"/>
          <w:color w:val="000000"/>
        </w:rPr>
        <w:t xml:space="preserve"> </w:t>
      </w:r>
      <m:oMath>
        <m:r>
          <m:t>θ</m:t>
        </m:r>
      </m:oMath>
      <w:r>
        <w:rPr>
          <w:rFonts w:ascii="Times New Roman" w:hAnsi="Times New Roman" w:eastAsia="宋体"/>
          <w:color w:val="000000"/>
        </w:rPr>
        <w:t xml:space="preserve"> </w:t>
      </w:r>
      <w:r>
        <w:rPr>
          <w:rFonts w:hint="eastAsia" w:ascii="Times New Roman" w:hAnsi="Times New Roman" w:eastAsia="宋体"/>
          <w:color w:val="000000"/>
        </w:rPr>
        <w:t xml:space="preserve">求梯度。</w:t>
      </w:r>
    </w:p>
    <w:bookmarkEnd w:id="40"/>
    <w:bookmarkStart w:id="41" w:name="综合损失"/>
    <w:p>
      <w:pPr>
        <w:pStyle w:val="Heading4"/>
      </w:pPr>
      <w:r>
        <w:rPr>
          <w:rFonts w:hint="eastAsia" w:ascii="Times New Roman" w:hAnsi="Times New Roman" w:eastAsia="黑体"/>
          <w:b/>
          <w:i w:val="0"/>
          <w:color w:val="000000"/>
        </w:rPr>
        <w:t xml:space="preserve">（3）综合损失</w:t>
      </w:r>
    </w:p>
    <w:p>
      <w:pPr>
        <w:pStyle w:val="FirstParagraph"/>
        <w:spacing w:line="324" w:lineRule="auto" w:after="120"/>
      </w:pPr>
      <w:r>
        <w:rPr>
          <w:rFonts w:hint="eastAsia" w:ascii="Times New Roman" w:hAnsi="Times New Roman" w:eastAsia="宋体"/>
          <w:color w:val="000000"/>
        </w:rPr>
        <w:t xml:space="preserve">训练阶段可采用如下综合损失。式（3）为多目标加权损失：</w:t>
      </w:r>
    </w:p>
    <w:p>
      <w:pPr>
        <w:pStyle w:val="BodyText"/>
        <w:spacing w:line="324" w:lineRule="auto" w:after="120"/>
      </w:pPr>
      <m:oMathPara>
        <m:oMathParaPr>
          <m:jc m:val="center"/>
        </m:oMathParaPr>
        <m:oMath>
          <m:eqArr>
            <m:e>
              <m:r>
                <m:t>J</m:t>
              </m:r>
              <m:r>
                <m:rPr>
                  <m:sty m:val="p"/>
                </m:rPr>
                <m:t>(</m:t>
              </m:r>
              <m:r>
                <m:t>θ</m:t>
              </m:r>
              <m:r>
                <m:rPr>
                  <m:sty m:val="p"/>
                </m:rPr>
                <m:t>)</m:t>
              </m:r>
              <m:r>
                <m:rPr>
                  <m:sty m:val="p"/>
                </m:rPr>
                <m:t>=</m:t>
              </m:r>
              <m:r>
                <m:t>&amp;</m:t>
              </m:r>
              <m:nary>
                <m:naryPr>
                  <m:chr m:val="∑"/>
                  <m:limLoc m:val="undOvr"/>
                  <m:subHide m:val="off"/>
                  <m:supHide m:val="off"/>
                </m:naryPr>
                <m:sub>
                  <m:r>
                    <m:t>t</m:t>
                  </m:r>
                  <m:r>
                    <m:rPr>
                      <m:sty m:val="p"/>
                    </m:rPr>
                    <m:t>=</m:t>
                  </m:r>
                  <m:r>
                    <m:t>0</m:t>
                  </m:r>
                </m:sub>
                <m:sup>
                  <m:r>
                    <m:t>T</m:t>
                  </m:r>
                </m:sup>
                <m:e>
                  <m:d>
                    <m:dPr>
                      <m:begChr m:val="("/>
                      <m:sepChr m:val=""/>
                      <m:endChr m:val=")"/>
                      <m:grow/>
                    </m:dPr>
                    <m:e>
                      <m:sSub>
                        <m:e>
                          <m:r>
                            <m:t>w</m:t>
                          </m:r>
                        </m:e>
                        <m:sub>
                          <m:r>
                            <m:rPr>
                              <m:sty m:val="p"/>
                            </m:rPr>
                            <m:t>l</m:t>
                          </m:r>
                          <m:r>
                            <m:rPr>
                              <m:sty m:val="p"/>
                            </m:rPr>
                            <m:t>a</m:t>
                          </m:r>
                          <m:r>
                            <m:rPr>
                              <m:sty m:val="p"/>
                            </m:rPr>
                            <m:t>t</m:t>
                          </m:r>
                        </m:sub>
                      </m:sSub>
                      <m:sSubSup>
                        <m:e>
                          <m:r>
                            <m:t>e</m:t>
                          </m:r>
                        </m:e>
                        <m:sub>
                          <m:r>
                            <m:t>t</m:t>
                          </m:r>
                          <m:r>
                            <m:rPr>
                              <m:sty m:val="p"/>
                            </m:rPr>
                            <m:t>,</m:t>
                          </m:r>
                          <m:r>
                            <m:rPr>
                              <m:sty m:val="p"/>
                            </m:rPr>
                            <m:t>l</m:t>
                          </m:r>
                          <m:r>
                            <m:rPr>
                              <m:sty m:val="p"/>
                            </m:rPr>
                            <m:t>a</m:t>
                          </m:r>
                          <m:r>
                            <m:rPr>
                              <m:sty m:val="p"/>
                            </m:rPr>
                            <m:t>t</m:t>
                          </m:r>
                        </m:sub>
                        <m:sup>
                          <m:r>
                            <m:t>2</m:t>
                          </m:r>
                        </m:sup>
                      </m:sSubSup>
                      <m:r>
                        <m:rPr>
                          <m:sty m:val="p"/>
                        </m:rPr>
                        <m:t>+</m:t>
                      </m:r>
                      <m:sSub>
                        <m:e>
                          <m:r>
                            <m:t>w</m:t>
                          </m:r>
                        </m:e>
                        <m:sub>
                          <m:r>
                            <m:rPr>
                              <m:sty m:val="p"/>
                            </m:rPr>
                            <m:t>h</m:t>
                          </m:r>
                          <m:r>
                            <m:rPr>
                              <m:sty m:val="p"/>
                            </m:rPr>
                            <m:t>e</m:t>
                          </m:r>
                          <m:r>
                            <m:rPr>
                              <m:sty m:val="p"/>
                            </m:rPr>
                            <m:t>a</m:t>
                          </m:r>
                          <m:r>
                            <m:rPr>
                              <m:sty m:val="p"/>
                            </m:rPr>
                            <m:t>d</m:t>
                          </m:r>
                        </m:sub>
                      </m:sSub>
                      <m:sSubSup>
                        <m:e>
                          <m:r>
                            <m:t>e</m:t>
                          </m:r>
                        </m:e>
                        <m:sub>
                          <m:r>
                            <m:t>t</m:t>
                          </m:r>
                          <m:r>
                            <m:rPr>
                              <m:sty m:val="p"/>
                            </m:rPr>
                            <m:t>,</m:t>
                          </m:r>
                          <m:r>
                            <m:rPr>
                              <m:sty m:val="p"/>
                            </m:rPr>
                            <m:t>h</m:t>
                          </m:r>
                          <m:r>
                            <m:rPr>
                              <m:sty m:val="p"/>
                            </m:rPr>
                            <m:t>e</m:t>
                          </m:r>
                          <m:r>
                            <m:rPr>
                              <m:sty m:val="p"/>
                            </m:rPr>
                            <m:t>a</m:t>
                          </m:r>
                          <m:r>
                            <m:rPr>
                              <m:sty m:val="p"/>
                            </m:rPr>
                            <m:t>d</m:t>
                          </m:r>
                        </m:sub>
                        <m:sup>
                          <m:r>
                            <m:t>2</m:t>
                          </m:r>
                        </m:sup>
                      </m:sSubSup>
                      <m:r>
                        <m:rPr>
                          <m:sty m:val="p"/>
                        </m:rPr>
                        <m:t>+</m:t>
                      </m:r>
                      <m:sSub>
                        <m:e>
                          <m:r>
                            <m:t>w</m:t>
                          </m:r>
                        </m:e>
                        <m:sub>
                          <m:r>
                            <m:rPr>
                              <m:sty m:val="p"/>
                            </m:rPr>
                            <m:t>s</m:t>
                          </m:r>
                          <m:r>
                            <m:rPr>
                              <m:sty m:val="p"/>
                            </m:rPr>
                            <m:t>p</m:t>
                          </m:r>
                          <m:r>
                            <m:rPr>
                              <m:sty m:val="p"/>
                            </m:rPr>
                            <m:t>d</m:t>
                          </m:r>
                        </m:sub>
                      </m:sSub>
                      <m:sSubSup>
                        <m:e>
                          <m:r>
                            <m:t>e</m:t>
                          </m:r>
                        </m:e>
                        <m:sub>
                          <m:r>
                            <m:t>t</m:t>
                          </m:r>
                          <m:r>
                            <m:rPr>
                              <m:sty m:val="p"/>
                            </m:rPr>
                            <m:t>,</m:t>
                          </m:r>
                          <m:r>
                            <m:rPr>
                              <m:sty m:val="p"/>
                            </m:rPr>
                            <m:t>s</m:t>
                          </m:r>
                          <m:r>
                            <m:rPr>
                              <m:sty m:val="p"/>
                            </m:rPr>
                            <m:t>p</m:t>
                          </m:r>
                          <m:r>
                            <m:rPr>
                              <m:sty m:val="p"/>
                            </m:rPr>
                            <m:t>d</m:t>
                          </m:r>
                        </m:sub>
                        <m:sup>
                          <m:r>
                            <m:t>2</m:t>
                          </m:r>
                        </m:sup>
                      </m:sSubSup>
                      <m:r>
                        <m:rPr>
                          <m:sty m:val="p"/>
                        </m:rPr>
                        <m:t>+</m:t>
                      </m:r>
                      <m:sSub>
                        <m:e>
                          <m:r>
                            <m:t>w</m:t>
                          </m:r>
                        </m:e>
                        <m:sub>
                          <m:r>
                            <m:rPr>
                              <m:sty m:val="p"/>
                            </m:rPr>
                            <m:t>s</m:t>
                          </m:r>
                          <m:r>
                            <m:rPr>
                              <m:sty m:val="p"/>
                            </m:rPr>
                            <m:t>m</m:t>
                          </m:r>
                          <m:r>
                            <m:rPr>
                              <m:sty m:val="p"/>
                            </m:rPr>
                            <m:t>o</m:t>
                          </m:r>
                          <m:r>
                            <m:rPr>
                              <m:sty m:val="p"/>
                            </m:rPr>
                            <m:t>o</m:t>
                          </m:r>
                          <m:r>
                            <m:rPr>
                              <m:sty m:val="p"/>
                            </m:rPr>
                            <m:t>t</m:t>
                          </m:r>
                          <m:r>
                            <m:rPr>
                              <m:sty m:val="p"/>
                            </m:rPr>
                            <m:t>h</m:t>
                          </m:r>
                        </m:sub>
                      </m:sSub>
                      <m:sSup>
                        <m:e>
                          <m:d>
                            <m:dPr>
                              <m:begChr m:val="‖"/>
                              <m:sepChr m:val=""/>
                              <m:endChr m:val="‖"/>
                              <m:grow/>
                            </m:dPr>
                            <m:e>
                              <m:r>
                                <m:rPr>
                                  <m:sty m:val="p"/>
                                </m:rPr>
                                <m:t>Δ</m:t>
                              </m:r>
                              <m:sSub>
                                <m:e>
                                  <m:r>
                                    <m:t>u</m:t>
                                  </m:r>
                                </m:e>
                                <m:sub>
                                  <m:r>
                                    <m:t>t</m:t>
                                  </m:r>
                                </m:sub>
                              </m:sSub>
                            </m:e>
                          </m:d>
                        </m:e>
                        <m:sup>
                          <m:r>
                            <m:t>2</m:t>
                          </m:r>
                        </m:sup>
                      </m:sSup>
                    </m:e>
                  </m:d>
                </m:e>
              </m:nary>
            </m:e>
            <m:e>
              <m:r>
                <m:t>&amp;</m:t>
              </m:r>
              <m:r>
                <m:rPr>
                  <m:sty m:val="p"/>
                </m:rPr>
                <m:t>+</m:t>
              </m:r>
              <m:sSub>
                <m:e>
                  <m:r>
                    <m:t>w</m:t>
                  </m:r>
                </m:e>
                <m:sub>
                  <m:r>
                    <m:rPr>
                      <m:sty m:val="p"/>
                    </m:rPr>
                    <m:t>r</m:t>
                  </m:r>
                  <m:r>
                    <m:rPr>
                      <m:sty m:val="p"/>
                    </m:rPr>
                    <m:t>e</m:t>
                  </m:r>
                  <m:r>
                    <m:rPr>
                      <m:sty m:val="p"/>
                    </m:rPr>
                    <m:t>g</m:t>
                  </m:r>
                </m:sub>
              </m:sSub>
              <m:sSup>
                <m:e>
                  <m:d>
                    <m:dPr>
                      <m:begChr m:val="‖"/>
                      <m:sepChr m:val=""/>
                      <m:endChr m:val="‖"/>
                      <m:grow/>
                    </m:dPr>
                    <m:e>
                      <m:r>
                        <m:t>θ</m:t>
                      </m:r>
                      <m:r>
                        <m:rPr>
                          <m:sty m:val="p"/>
                        </m:rPr>
                        <m:t>−</m:t>
                      </m:r>
                      <m:sSub>
                        <m:e>
                          <m:r>
                            <m:t>θ</m:t>
                          </m:r>
                        </m:e>
                        <m:sub>
                          <m:r>
                            <m:t>0</m:t>
                          </m:r>
                        </m:sub>
                      </m:sSub>
                    </m:e>
                  </m:d>
                </m:e>
                <m:sup>
                  <m:r>
                    <m:t>2</m:t>
                  </m:r>
                </m:sup>
              </m:sSup>
              <m:r>
                <m:t>  </m:t>
              </m:r>
              <m:r>
                <m:rPr>
                  <m:sty m:val="p"/>
                </m:rPr>
                <m:t>(</m:t>
              </m:r>
              <m:r>
                <m:rPr>
                  <m:sty m:val="p"/>
                </m:rPr>
                <m:t>3</m:t>
              </m:r>
              <m:r>
                <m:rPr>
                  <m:sty m:val="p"/>
                </m:rPr>
                <m:t>)</m:t>
              </m:r>
            </m:e>
          </m:eqArr>
        </m:oMath>
      </m:oMathPara>
    </w:p>
    <w:p>
      <w:pPr>
        <w:pStyle w:val="FirstParagraph"/>
        <w:spacing w:line="324" w:lineRule="auto" w:after="120"/>
      </w:pPr>
      <w:r>
        <w:rPr>
          <w:rFonts w:hint="eastAsia" w:ascii="Times New Roman" w:hAnsi="Times New Roman" w:eastAsia="宋体"/>
          <w:color w:val="000000"/>
        </w:rPr>
        <w:t xml:space="preserve">其中</w:t>
      </w:r>
      <w:r>
        <w:rPr>
          <w:rFonts w:ascii="Times New Roman" w:hAnsi="Times New Roman" w:eastAsia="宋体"/>
          <w:color w:val="000000"/>
        </w:rPr>
        <w:t xml:space="preserve"> </w:t>
      </w:r>
      <m:oMath>
        <m:sSub>
          <m:e>
            <m:r>
              <m:t>θ</m:t>
            </m:r>
          </m:e>
          <m:sub>
            <m:r>
              <m:t>0</m:t>
            </m:r>
          </m:sub>
        </m:sSub>
      </m:oMath>
      <w:r>
        <w:rPr>
          <w:rFonts w:ascii="Times New Roman" w:hAnsi="Times New Roman" w:eastAsia="宋体"/>
          <w:color w:val="000000"/>
        </w:rPr>
        <w:t xml:space="preserve"> </w:t>
      </w:r>
      <w:r>
        <w:rPr>
          <w:rFonts w:hint="eastAsia" w:ascii="Times New Roman" w:hAnsi="Times New Roman" w:eastAsia="宋体"/>
          <w:color w:val="000000"/>
        </w:rPr>
        <w:t xml:space="preserve">为初始工程标定参数。上述损失可以按轨迹长度、速度段和车辆参数域进行归一化，避免长轨迹或高误差场景支配训练。</w:t>
      </w:r>
    </w:p>
    <w:bookmarkEnd w:id="41"/>
    <w:bookmarkStart w:id="42" w:name="参数更新与硬逻辑复验"/>
    <w:p>
      <w:pPr>
        <w:pStyle w:val="Heading4"/>
      </w:pPr>
      <w:r>
        <w:rPr>
          <w:rFonts w:hint="eastAsia" w:ascii="Times New Roman" w:hAnsi="Times New Roman" w:eastAsia="黑体"/>
          <w:b/>
          <w:i w:val="0"/>
          <w:color w:val="000000"/>
        </w:rPr>
        <w:t xml:space="preserve">（4）参数更新与硬逻辑复验</w:t>
      </w:r>
    </w:p>
    <w:p>
      <w:pPr>
        <w:pStyle w:val="FirstParagraph"/>
        <w:spacing w:line="324" w:lineRule="auto" w:after="120"/>
      </w:pPr>
      <w:r>
        <w:rPr>
          <w:rFonts w:hint="eastAsia" w:ascii="Times New Roman" w:hAnsi="Times New Roman" w:eastAsia="宋体"/>
          <w:color w:val="000000"/>
        </w:rPr>
        <w:t xml:space="preserve">参数更新可表示为式（4）：</w:t>
      </w:r>
    </w:p>
    <w:p>
      <w:pPr>
        <w:pStyle w:val="BodyText"/>
        <w:spacing w:line="324" w:lineRule="auto" w:after="120"/>
      </w:pPr>
      <m:oMathPara>
        <m:oMathParaPr>
          <m:jc m:val="center"/>
        </m:oMathParaPr>
        <m:oMath>
          <m:sSup>
            <m:e>
              <m:r>
                <m:t>θ</m:t>
              </m:r>
            </m:e>
            <m:sup>
              <m:r>
                <m:t>k</m:t>
              </m:r>
              <m:r>
                <m:rPr>
                  <m:sty m:val="p"/>
                </m:rPr>
                <m:t>+</m:t>
              </m:r>
              <m:r>
                <m:t>1</m:t>
              </m:r>
            </m:sup>
          </m:sSup>
          <m:r>
            <m:rPr>
              <m:sty m:val="p"/>
            </m:rPr>
            <m:t>=</m:t>
          </m:r>
          <m:sSub>
            <m:e>
              <m:r>
                <m:rPr>
                  <m:sty m:val="p"/>
                </m:rPr>
                <m:t>Π</m:t>
              </m:r>
            </m:e>
            <m:sub>
              <m:r>
                <m:rPr>
                  <m:sty m:val="p"/>
                </m:rPr>
                <m:t>Θ</m:t>
              </m:r>
            </m:sub>
          </m:sSub>
          <m:d>
            <m:dPr>
              <m:begChr m:val="("/>
              <m:sepChr m:val=""/>
              <m:endChr m:val=")"/>
              <m:grow/>
            </m:dPr>
            <m:e>
              <m:sSup>
                <m:e>
                  <m:r>
                    <m:t>θ</m:t>
                  </m:r>
                </m:e>
                <m:sup>
                  <m:r>
                    <m:t>k</m:t>
                  </m:r>
                </m:sup>
              </m:sSup>
              <m:r>
                <m:rPr>
                  <m:sty m:val="p"/>
                </m:rPr>
                <m:t>−</m:t>
              </m:r>
              <m:r>
                <m:t>η</m:t>
              </m:r>
              <m:sSub>
                <m:e>
                  <m:r>
                    <m:rPr>
                      <m:sty m:val="p"/>
                    </m:rPr>
                    <m:t>∇</m:t>
                  </m:r>
                </m:e>
                <m:sub>
                  <m:r>
                    <m:t>θ</m:t>
                  </m:r>
                </m:sub>
              </m:sSub>
              <m:r>
                <m:t>J</m:t>
              </m:r>
              <m:r>
                <m:rPr>
                  <m:sty m:val="p"/>
                </m:rPr>
                <m:t>(</m:t>
              </m:r>
              <m:sSup>
                <m:e>
                  <m:r>
                    <m:t>θ</m:t>
                  </m:r>
                </m:e>
                <m:sup>
                  <m:r>
                    <m:t>k</m:t>
                  </m:r>
                </m:sup>
              </m:sSup>
              <m:r>
                <m:rPr>
                  <m:sty m:val="p"/>
                </m:rPr>
                <m:t>)</m:t>
              </m:r>
            </m:e>
          </m:d>
          <m:r>
            <m:t>  </m:t>
          </m:r>
          <m:r>
            <m:rPr>
              <m:sty m:val="p"/>
            </m:rPr>
            <m:t>(</m:t>
          </m:r>
          <m:r>
            <m:rPr>
              <m:sty m:val="p"/>
            </m:rPr>
            <m:t>4</m:t>
          </m:r>
          <m:r>
            <m:rPr>
              <m:sty m:val="p"/>
            </m:rPr>
            <m:t>)</m:t>
          </m:r>
        </m:oMath>
      </m:oMathPara>
    </w:p>
    <w:p>
      <w:pPr>
        <w:pStyle w:val="FirstParagraph"/>
        <w:spacing w:line="324" w:lineRule="auto" w:after="120"/>
      </w:pPr>
      <w:r>
        <w:rPr>
          <w:rFonts w:hint="eastAsia" w:ascii="Times New Roman" w:hAnsi="Times New Roman" w:eastAsia="宋体"/>
          <w:color w:val="000000"/>
        </w:rPr>
        <w:t xml:space="preserve">训练结束得到</w:t>
      </w:r>
      <w:r>
        <w:rPr>
          <w:rFonts w:ascii="Times New Roman" w:hAnsi="Times New Roman" w:eastAsia="宋体"/>
          <w:color w:val="000000"/>
        </w:rPr>
        <w:t xml:space="preserve"> </w:t>
      </w:r>
      <m:oMath>
        <m:sSup>
          <m:e>
            <m:r>
              <m:t>θ</m:t>
            </m:r>
          </m:e>
          <m:sup>
            <m:r>
              <m:rPr>
                <m:sty m:val="p"/>
              </m:rPr>
              <m:t>*</m:t>
            </m:r>
          </m:sup>
        </m:sSup>
      </m:oMath>
      <w:r>
        <w:rPr>
          <w:rFonts w:ascii="Times New Roman" w:hAnsi="Times New Roman" w:eastAsia="宋体"/>
          <w:color w:val="000000"/>
        </w:rPr>
        <w:t xml:space="preserve"> </w:t>
      </w:r>
      <w:r>
        <w:rPr>
          <w:rFonts w:hint="eastAsia" w:ascii="Times New Roman" w:hAnsi="Times New Roman" w:eastAsia="宋体"/>
          <w:color w:val="000000"/>
        </w:rPr>
        <w:t xml:space="preserve">后，将其放入验证模式，如式（5）：</w:t>
      </w:r>
    </w:p>
    <w:p>
      <w:pPr>
        <w:pStyle w:val="BodyText"/>
        <w:spacing w:line="324" w:lineRule="auto" w:after="120"/>
      </w:pPr>
      <m:oMathPara>
        <m:oMathParaPr>
          <m:jc m:val="center"/>
        </m:oMathParaPr>
        <m:oMath>
          <m:sSub>
            <m:e>
              <m:r>
                <m:t>M</m:t>
              </m:r>
            </m:e>
            <m:sub>
              <m:r>
                <m:rPr>
                  <m:sty m:val="p"/>
                </m:rPr>
                <m:t>h</m:t>
              </m:r>
              <m:r>
                <m:rPr>
                  <m:sty m:val="p"/>
                </m:rPr>
                <m:t>a</m:t>
              </m:r>
              <m:r>
                <m:rPr>
                  <m:sty m:val="p"/>
                </m:rPr>
                <m:t>r</m:t>
              </m:r>
              <m:r>
                <m:rPr>
                  <m:sty m:val="p"/>
                </m:rPr>
                <m:t>d</m:t>
              </m:r>
            </m:sub>
          </m:sSub>
          <m:r>
            <m:rPr>
              <m:sty m:val="p"/>
            </m:rPr>
            <m:t>(</m:t>
          </m:r>
          <m:sSup>
            <m:e>
              <m:r>
                <m:t>θ</m:t>
              </m:r>
            </m:e>
            <m:sup>
              <m:r>
                <m:rPr>
                  <m:sty m:val="p"/>
                </m:rPr>
                <m:t>*</m:t>
              </m:r>
            </m:sup>
          </m:sSup>
          <m:r>
            <m:rPr>
              <m:sty m:val="p"/>
            </m:rPr>
            <m:t>)</m:t>
          </m:r>
          <m:r>
            <m:rPr>
              <m:sty m:val="p"/>
            </m:rPr>
            <m:t>→</m:t>
          </m:r>
          <m:r>
            <m:rPr>
              <m:sty m:val="p"/>
            </m:rPr>
            <m:t>{</m:t>
          </m:r>
          <m:r>
            <m:rPr>
              <m:sty m:val="p"/>
            </m:rPr>
            <m:t>t</m:t>
          </m:r>
          <m:r>
            <m:rPr>
              <m:sty m:val="p"/>
            </m:rPr>
            <m:t>r</m:t>
          </m:r>
          <m:r>
            <m:rPr>
              <m:sty m:val="p"/>
            </m:rPr>
            <m:t>a</m:t>
          </m:r>
          <m:r>
            <m:rPr>
              <m:sty m:val="p"/>
            </m:rPr>
            <m:t>j</m:t>
          </m:r>
          <m:r>
            <m:rPr>
              <m:sty m:val="p"/>
            </m:rPr>
            <m:t>e</m:t>
          </m:r>
          <m:r>
            <m:rPr>
              <m:sty m:val="p"/>
            </m:rPr>
            <m:t>c</m:t>
          </m:r>
          <m:r>
            <m:rPr>
              <m:sty m:val="p"/>
            </m:rPr>
            <m:t>t</m:t>
          </m:r>
          <m:r>
            <m:rPr>
              <m:sty m:val="p"/>
            </m:rPr>
            <m:t>o</m:t>
          </m:r>
          <m:r>
            <m:rPr>
              <m:sty m:val="p"/>
            </m:rPr>
            <m:t>r</m:t>
          </m:r>
          <m:r>
            <m:rPr>
              <m:sty m:val="p"/>
            </m:rPr>
            <m:t>y</m:t>
          </m:r>
          <m:r>
            <m:rPr>
              <m:sty m:val="p"/>
            </m:rPr>
            <m:t>,</m:t>
          </m:r>
          <m:r>
            <m:rPr>
              <m:sty m:val="p"/>
            </m:rPr>
            <m:t>e</m:t>
          </m:r>
          <m:r>
            <m:rPr>
              <m:sty m:val="p"/>
            </m:rPr>
            <m:t>r</m:t>
          </m:r>
          <m:r>
            <m:rPr>
              <m:sty m:val="p"/>
            </m:rPr>
            <m:t>r</m:t>
          </m:r>
          <m:r>
            <m:rPr>
              <m:sty m:val="p"/>
            </m:rPr>
            <m:t>o</m:t>
          </m:r>
          <m:r>
            <m:rPr>
              <m:sty m:val="p"/>
            </m:rPr>
            <m:t>r</m:t>
          </m:r>
          <m:r>
            <m:rPr>
              <m:sty m:val="p"/>
            </m:rPr>
            <m:t>,</m:t>
          </m:r>
          <m:r>
            <m:rPr>
              <m:sty m:val="p"/>
            </m:rPr>
            <m:t>c</m:t>
          </m:r>
          <m:r>
            <m:rPr>
              <m:sty m:val="p"/>
            </m:rPr>
            <m:t>o</m:t>
          </m:r>
          <m:r>
            <m:rPr>
              <m:sty m:val="p"/>
            </m:rPr>
            <m:t>m</m:t>
          </m:r>
          <m:r>
            <m:rPr>
              <m:sty m:val="p"/>
            </m:rPr>
            <m:t>m</m:t>
          </m:r>
          <m:r>
            <m:rPr>
              <m:sty m:val="p"/>
            </m:rPr>
            <m:t>a</m:t>
          </m:r>
          <m:r>
            <m:rPr>
              <m:sty m:val="p"/>
            </m:rPr>
            <m:t>n</m:t>
          </m:r>
          <m:r>
            <m:rPr>
              <m:sty m:val="p"/>
            </m:rPr>
            <m:t>d</m:t>
          </m:r>
          <m:r>
            <m:rPr>
              <m:sty m:val="p"/>
            </m:rPr>
            <m:t>,</m:t>
          </m:r>
          <m:r>
            <m:rPr>
              <m:sty m:val="p"/>
            </m:rPr>
            <m:t>l</m:t>
          </m:r>
          <m:r>
            <m:rPr>
              <m:sty m:val="p"/>
            </m:rPr>
            <m:t>o</m:t>
          </m:r>
          <m:r>
            <m:rPr>
              <m:sty m:val="p"/>
            </m:rPr>
            <m:t>g</m:t>
          </m:r>
          <m:r>
            <m:rPr>
              <m:sty m:val="p"/>
            </m:rPr>
            <m:t>}</m:t>
          </m:r>
          <m:r>
            <m:t>  </m:t>
          </m:r>
          <m:r>
            <m:rPr>
              <m:sty m:val="p"/>
            </m:rPr>
            <m:t>(</m:t>
          </m:r>
          <m:r>
            <m:rPr>
              <m:sty m:val="p"/>
            </m:rPr>
            <m:t>5</m:t>
          </m:r>
          <m:r>
            <m:rPr>
              <m:sty m:val="p"/>
            </m:rPr>
            <m:t>)</m:t>
          </m:r>
        </m:oMath>
      </m:oMathPara>
    </w:p>
    <w:p>
      <w:pPr>
        <w:pStyle w:val="FirstParagraph"/>
        <w:spacing w:line="324" w:lineRule="auto" w:after="120"/>
      </w:pPr>
      <w:r>
        <w:rPr>
          <w:rFonts w:hint="eastAsia" w:ascii="Times New Roman" w:hAnsi="Times New Roman" w:eastAsia="宋体"/>
          <w:color w:val="000000"/>
        </w:rPr>
        <w:t xml:space="preserve">式（5）表示用原始硬分支、硬限幅和硬速率限制运行全场景验证，并输出轨迹、误差、控制指令和日志。只有当验证结果满足预设要求时，整定参数才作为可部署配置输出。</w:t>
      </w:r>
    </w:p>
    <w:bookmarkEnd w:id="42"/>
    <w:bookmarkEnd w:id="43"/>
    <w:bookmarkStart w:id="44" w:name="关键技术参数"/>
    <w:p>
      <w:pPr>
        <w:pStyle w:val="Heading3"/>
      </w:pPr>
      <w:r>
        <w:rPr>
          <w:rFonts w:ascii="Times New Roman" w:hAnsi="Times New Roman" w:eastAsia="黑体"/>
          <w:b/>
          <w:i w:val="0"/>
          <w:color w:val="000000"/>
        </w:rPr>
        <w:t xml:space="preserve">3.5 </w:t>
      </w:r>
      <w:r>
        <w:rPr>
          <w:rFonts w:hint="eastAsia" w:ascii="Times New Roman" w:hAnsi="Times New Roman" w:eastAsia="黑体"/>
          <w:b/>
          <w:i w:val="0"/>
          <w:color w:val="000000"/>
        </w:rPr>
        <w:t xml:space="preserve">关键技术参数</w:t>
      </w:r>
    </w:p>
    <w:tbl>
      <w:tblPr>
        <w:tblStyle w:val="Table"/>
        <w:tblW w:type="pct" w:w="5000"/>
        <w:jc w:val="center"/>
        <w:tblLayout w:type="autofit"/>
        <w:tblLook w:firstRow="1" w:lastRow="0" w:firstColumn="0" w:lastColumn="0" w:noHBand="0" w:noVBand="0" w:val="002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90"/>
        <w:gridCol w:w="1650"/>
        <w:gridCol w:w="1980"/>
        <w:gridCol w:w="2310"/>
        <w:gridCol w:w="990"/>
      </w:tblGrid>
      <w:tr>
        <w:trPr>
          <w:tblHeader w:val="on"/>
        </w:trPr>
        <w:tc>
          <w:tcPr>
            <w:vAlign w:val="center"/>
            <w:shd w:fill="FFFFFF"/>
          </w:tcPr>
          <w:p>
            <w:pPr>
              <w:pStyle w:val="Compact"/>
              <w:spacing w:line="288" w:lineRule="auto" w:after="40"/>
            </w:pPr>
            <w:r>
              <w:rPr>
                <w:rFonts w:hint="eastAsia" w:ascii="Times New Roman" w:hAnsi="Times New Roman" w:eastAsia="宋体"/>
                <w:b/>
                <w:color w:val="000000"/>
                <w:sz w:val="21"/>
              </w:rPr>
              <w:t xml:space="preserve">符号</w:t>
            </w:r>
          </w:p>
        </w:tc>
        <w:tc>
          <w:tcPr>
            <w:vAlign w:val="center"/>
            <w:shd w:fill="FFFFFF"/>
          </w:tcPr>
          <w:p>
            <w:pPr>
              <w:pStyle w:val="Compact"/>
              <w:spacing w:line="288" w:lineRule="auto" w:after="40"/>
            </w:pPr>
            <w:r>
              <w:rPr>
                <w:rFonts w:hint="eastAsia" w:ascii="Times New Roman" w:hAnsi="Times New Roman" w:eastAsia="宋体"/>
                <w:b/>
                <w:color w:val="000000"/>
                <w:sz w:val="21"/>
              </w:rPr>
              <w:t xml:space="preserve">参数内容</w:t>
            </w:r>
          </w:p>
        </w:tc>
        <w:tc>
          <w:tcPr>
            <w:vAlign w:val="center"/>
            <w:shd w:fill="FFFFFF"/>
          </w:tcPr>
          <w:p>
            <w:pPr>
              <w:pStyle w:val="Compact"/>
              <w:spacing w:line="288" w:lineRule="auto" w:after="40"/>
            </w:pPr>
            <w:r>
              <w:rPr>
                <w:rFonts w:hint="eastAsia" w:ascii="Times New Roman" w:hAnsi="Times New Roman" w:eastAsia="宋体"/>
                <w:b/>
                <w:color w:val="000000"/>
                <w:sz w:val="21"/>
              </w:rPr>
              <w:t xml:space="preserve">约束或范围</w:t>
            </w:r>
          </w:p>
        </w:tc>
        <w:tc>
          <w:tcPr>
            <w:vAlign w:val="center"/>
            <w:shd w:fill="FFFFFF"/>
          </w:tcPr>
          <w:p>
            <w:pPr>
              <w:pStyle w:val="Compact"/>
              <w:spacing w:line="288" w:lineRule="auto" w:after="40"/>
            </w:pPr>
            <w:r>
              <w:rPr>
                <w:rFonts w:hint="eastAsia" w:ascii="Times New Roman" w:hAnsi="Times New Roman" w:eastAsia="宋体"/>
                <w:b/>
                <w:color w:val="000000"/>
                <w:sz w:val="21"/>
              </w:rPr>
              <w:t xml:space="preserve">是否参与整定</w:t>
            </w:r>
          </w:p>
        </w:tc>
        <w:tc>
          <w:tcPr>
            <w:vAlign w:val="center"/>
            <w:shd w:fill="FFFFFF"/>
          </w:tcPr>
          <w:p>
            <w:pPr>
              <w:pStyle w:val="Compact"/>
              <w:spacing w:line="288" w:lineRule="auto" w:after="40"/>
            </w:pPr>
            <w:r>
              <w:rPr>
                <w:rFonts w:hint="eastAsia" w:ascii="Times New Roman" w:hAnsi="Times New Roman" w:eastAsia="宋体"/>
                <w:b/>
                <w:color w:val="000000"/>
                <w:sz w:val="21"/>
              </w:rPr>
              <w:t xml:space="preserve">作用</w:t>
            </w:r>
          </w:p>
        </w:tc>
      </w:tr>
      <w:tr>
        <w:tc>
          <w:tcPr>
            <w:vAlign w:val="center"/>
            <w:shd w:fill="FFFFFF"/>
          </w:tcPr>
          <w:p>
            <w:pPr>
              <w:pStyle w:val="Compact"/>
              <w:spacing w:line="288" w:lineRule="auto" w:after="40"/>
            </w:pPr>
            <m:oMath>
              <m:sSub>
                <m:e>
                  <m:r>
                    <m:t>θ</m:t>
                  </m:r>
                </m:e>
                <m:sub>
                  <m:r>
                    <m:rPr>
                      <m:sty m:val="p"/>
                    </m:rPr>
                    <m:t>l</m:t>
                  </m:r>
                  <m:r>
                    <m:rPr>
                      <m:sty m:val="p"/>
                    </m:rPr>
                    <m:t>a</m:t>
                  </m:r>
                  <m:r>
                    <m:rPr>
                      <m:sty m:val="p"/>
                    </m:rPr>
                    <m:t>t</m:t>
                  </m:r>
                </m:sub>
              </m:sSub>
            </m:oMath>
          </w:p>
        </w:tc>
        <w:tc>
          <w:tcPr>
            <w:vAlign w:val="center"/>
            <w:shd w:fill="FFFFFF"/>
          </w:tcPr>
          <w:p>
            <w:pPr>
              <w:pStyle w:val="Compact"/>
              <w:spacing w:line="288" w:lineRule="auto" w:after="40"/>
            </w:pPr>
            <w:r>
              <w:rPr>
                <w:rFonts w:hint="eastAsia" w:ascii="Times New Roman" w:hAnsi="Times New Roman" w:eastAsia="宋体"/>
                <w:color w:val="000000"/>
                <w:sz w:val="21"/>
              </w:rPr>
              <w:t xml:space="preserve">横向预瞄时间、收敛时间、角速度误差预瞄时间、远预瞄时间查找表节点</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受速度段和转向稳定性约束</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可调</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对应横向控制器跟踪精度和转向平滑性</w:t>
            </w:r>
          </w:p>
        </w:tc>
      </w:tr>
      <w:tr>
        <w:tc>
          <w:tcPr>
            <w:vAlign w:val="center"/>
            <w:shd w:fill="FFFFFF"/>
          </w:tcPr>
          <w:p>
            <w:pPr>
              <w:pStyle w:val="Compact"/>
              <w:spacing w:line="288" w:lineRule="auto" w:after="40"/>
            </w:pPr>
            <m:oMath>
              <m:sSub>
                <m:e>
                  <m:r>
                    <m:t>θ</m:t>
                  </m:r>
                </m:e>
                <m:sub>
                  <m:r>
                    <m:rPr>
                      <m:sty m:val="p"/>
                    </m:rPr>
                    <m:t>l</m:t>
                  </m:r>
                  <m:r>
                    <m:rPr>
                      <m:sty m:val="p"/>
                    </m:rPr>
                    <m:t>o</m:t>
                  </m:r>
                  <m:r>
                    <m:rPr>
                      <m:sty m:val="p"/>
                    </m:rPr>
                    <m:t>n</m:t>
                  </m:r>
                </m:sub>
              </m:sSub>
            </m:oMath>
          </w:p>
        </w:tc>
        <w:tc>
          <w:tcPr>
            <w:vAlign w:val="center"/>
            <w:shd w:fill="FFFFFF"/>
          </w:tcPr>
          <w:p>
            <w:pPr>
              <w:pStyle w:val="Compact"/>
              <w:spacing w:line="288" w:lineRule="auto" w:after="40"/>
            </w:pPr>
            <w:r>
              <w:rPr>
                <w:rFonts w:hint="eastAsia" w:ascii="Times New Roman" w:hAnsi="Times New Roman" w:eastAsia="宋体"/>
                <w:color w:val="000000"/>
                <w:sz w:val="21"/>
              </w:rPr>
              <w:t xml:space="preserve">站位环增益、低速速度环增益、高速速度环增益、低高速切换速度</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增益非负，切换速度位于工程范围内</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可调</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对应速度跟踪和加减速响应</w:t>
            </w:r>
          </w:p>
        </w:tc>
      </w:tr>
      <w:tr>
        <w:tc>
          <w:tcPr>
            <w:vAlign w:val="center"/>
            <w:shd w:fill="FFFFFF"/>
          </w:tcPr>
          <w:p>
            <w:pPr>
              <w:pStyle w:val="Compact"/>
              <w:spacing w:line="288" w:lineRule="auto" w:after="40"/>
            </w:pPr>
            <m:oMath>
              <m:r>
                <m:t>ϕ</m:t>
              </m:r>
            </m:oMath>
          </w:p>
        </w:tc>
        <w:tc>
          <w:tcPr>
            <w:vAlign w:val="center"/>
            <w:shd w:fill="FFFFFF"/>
          </w:tcPr>
          <w:p>
            <w:pPr>
              <w:pStyle w:val="Compact"/>
              <w:spacing w:line="288" w:lineRule="auto" w:after="40"/>
            </w:pPr>
            <w:r>
              <w:rPr>
                <w:rFonts w:hint="eastAsia" w:ascii="Times New Roman" w:hAnsi="Times New Roman" w:eastAsia="宋体"/>
                <w:color w:val="000000"/>
                <w:sz w:val="21"/>
              </w:rPr>
              <w:t xml:space="preserve">质量、前后轴侧偏刚度、轮胎半径、传动效率</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名义值或采样范围</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固定或采样</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用于车辆动力学与域随机化</w:t>
            </w:r>
          </w:p>
        </w:tc>
      </w:tr>
      <w:tr>
        <w:tc>
          <w:tcPr>
            <w:vAlign w:val="center"/>
            <w:shd w:fill="FFFFFF"/>
          </w:tcPr>
          <w:p>
            <w:pPr>
              <w:pStyle w:val="Compact"/>
              <w:spacing w:line="288" w:lineRule="auto" w:after="40"/>
            </w:pPr>
            <m:oMath>
              <m:sSub>
                <m:e>
                  <m:r>
                    <m:t>w</m:t>
                  </m:r>
                </m:e>
                <m:sub>
                  <m:r>
                    <m:rPr>
                      <m:sty m:val="p"/>
                    </m:rPr>
                    <m:t>l</m:t>
                  </m:r>
                  <m:r>
                    <m:rPr>
                      <m:sty m:val="p"/>
                    </m:rPr>
                    <m:t>a</m:t>
                  </m:r>
                  <m:r>
                    <m:rPr>
                      <m:sty m:val="p"/>
                    </m:rPr>
                    <m:t>t</m:t>
                  </m:r>
                </m:sub>
              </m:sSub>
              <m:r>
                <m:rPr>
                  <m:sty m:val="p"/>
                </m:rPr>
                <m:t>,</m:t>
              </m:r>
              <m:sSub>
                <m:e>
                  <m:r>
                    <m:t>w</m:t>
                  </m:r>
                </m:e>
                <m:sub>
                  <m:r>
                    <m:rPr>
                      <m:sty m:val="p"/>
                    </m:rPr>
                    <m:t>h</m:t>
                  </m:r>
                  <m:r>
                    <m:rPr>
                      <m:sty m:val="p"/>
                    </m:rPr>
                    <m:t>e</m:t>
                  </m:r>
                  <m:r>
                    <m:rPr>
                      <m:sty m:val="p"/>
                    </m:rPr>
                    <m:t>a</m:t>
                  </m:r>
                  <m:r>
                    <m:rPr>
                      <m:sty m:val="p"/>
                    </m:rPr>
                    <m:t>d</m:t>
                  </m:r>
                </m:sub>
              </m:sSub>
              <m:r>
                <m:rPr>
                  <m:sty m:val="p"/>
                </m:rPr>
                <m:t>,</m:t>
              </m:r>
              <m:sSub>
                <m:e>
                  <m:r>
                    <m:t>w</m:t>
                  </m:r>
                </m:e>
                <m:sub>
                  <m:r>
                    <m:rPr>
                      <m:sty m:val="p"/>
                    </m:rPr>
                    <m:t>s</m:t>
                  </m:r>
                  <m:r>
                    <m:rPr>
                      <m:sty m:val="p"/>
                    </m:rPr>
                    <m:t>p</m:t>
                  </m:r>
                  <m:r>
                    <m:rPr>
                      <m:sty m:val="p"/>
                    </m:rPr>
                    <m:t>d</m:t>
                  </m:r>
                </m:sub>
              </m:sSub>
            </m:oMath>
          </w:p>
        </w:tc>
        <w:tc>
          <w:tcPr>
            <w:vAlign w:val="center"/>
            <w:shd w:fill="FFFFFF"/>
          </w:tcPr>
          <w:p>
            <w:pPr>
              <w:pStyle w:val="Compact"/>
              <w:spacing w:line="288" w:lineRule="auto" w:after="40"/>
            </w:pPr>
            <w:r>
              <w:rPr>
                <w:rFonts w:hint="eastAsia" w:ascii="Times New Roman" w:hAnsi="Times New Roman" w:eastAsia="宋体"/>
                <w:color w:val="000000"/>
                <w:sz w:val="21"/>
              </w:rPr>
              <w:t xml:space="preserve">跟踪误差权重</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正数</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预设</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用于平衡横向、航向和速度目标</w:t>
            </w:r>
          </w:p>
        </w:tc>
      </w:tr>
      <w:tr>
        <w:tc>
          <w:tcPr>
            <w:vAlign w:val="center"/>
            <w:shd w:fill="FFFFFF"/>
          </w:tcPr>
          <w:p>
            <w:pPr>
              <w:pStyle w:val="Compact"/>
              <w:spacing w:line="288" w:lineRule="auto" w:after="40"/>
            </w:pPr>
            <m:oMath>
              <m:sSub>
                <m:e>
                  <m:r>
                    <m:t>w</m:t>
                  </m:r>
                </m:e>
                <m:sub>
                  <m:r>
                    <m:rPr>
                      <m:sty m:val="p"/>
                    </m:rPr>
                    <m:t>s</m:t>
                  </m:r>
                  <m:r>
                    <m:rPr>
                      <m:sty m:val="p"/>
                    </m:rPr>
                    <m:t>m</m:t>
                  </m:r>
                  <m:r>
                    <m:rPr>
                      <m:sty m:val="p"/>
                    </m:rPr>
                    <m:t>o</m:t>
                  </m:r>
                  <m:r>
                    <m:rPr>
                      <m:sty m:val="p"/>
                    </m:rPr>
                    <m:t>o</m:t>
                  </m:r>
                  <m:r>
                    <m:rPr>
                      <m:sty m:val="p"/>
                    </m:rPr>
                    <m:t>t</m:t>
                  </m:r>
                  <m:r>
                    <m:rPr>
                      <m:sty m:val="p"/>
                    </m:rPr>
                    <m:t>h</m:t>
                  </m:r>
                </m:sub>
              </m:sSub>
            </m:oMath>
          </w:p>
        </w:tc>
        <w:tc>
          <w:tcPr>
            <w:vAlign w:val="center"/>
            <w:shd w:fill="FFFFFF"/>
          </w:tcPr>
          <w:p>
            <w:pPr>
              <w:pStyle w:val="Compact"/>
              <w:spacing w:line="288" w:lineRule="auto" w:after="40"/>
            </w:pPr>
            <w:r>
              <w:rPr>
                <w:rFonts w:hint="eastAsia" w:ascii="Times New Roman" w:hAnsi="Times New Roman" w:eastAsia="宋体"/>
                <w:color w:val="000000"/>
                <w:sz w:val="21"/>
              </w:rPr>
              <w:t xml:space="preserve">控制指令平滑权重</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正数</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预设</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用于抑制转向和加速度突变</w:t>
            </w:r>
          </w:p>
        </w:tc>
      </w:tr>
      <w:tr>
        <w:tc>
          <w:tcPr>
            <w:vAlign w:val="center"/>
            <w:shd w:fill="FFFFFF"/>
          </w:tcPr>
          <w:p>
            <w:pPr>
              <w:pStyle w:val="Compact"/>
              <w:spacing w:line="288" w:lineRule="auto" w:after="40"/>
            </w:pPr>
            <m:oMath>
              <m:sSub>
                <m:e>
                  <m:r>
                    <m:rPr>
                      <m:sty m:val="p"/>
                    </m:rPr>
                    <m:t>Π</m:t>
                  </m:r>
                </m:e>
                <m:sub>
                  <m:r>
                    <m:rPr>
                      <m:sty m:val="p"/>
                    </m:rPr>
                    <m:t>Θ</m:t>
                  </m:r>
                </m:sub>
              </m:sSub>
            </m:oMath>
          </w:p>
        </w:tc>
        <w:tc>
          <w:tcPr>
            <w:vAlign w:val="center"/>
            <w:shd w:fill="FFFFFF"/>
          </w:tcPr>
          <w:p>
            <w:pPr>
              <w:pStyle w:val="Compact"/>
              <w:spacing w:line="288" w:lineRule="auto" w:after="40"/>
            </w:pPr>
            <w:r>
              <w:rPr>
                <w:rFonts w:hint="eastAsia" w:ascii="Times New Roman" w:hAnsi="Times New Roman" w:eastAsia="宋体"/>
                <w:color w:val="000000"/>
                <w:sz w:val="21"/>
              </w:rPr>
              <w:t xml:space="preserve">参数投影范围</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上下界由车辆物理和安全约束确定</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固定</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防止自动更新越过可部署范围</w:t>
            </w:r>
          </w:p>
        </w:tc>
      </w:tr>
    </w:tbl>
    <w:bookmarkEnd w:id="44"/>
    <w:bookmarkEnd w:id="45"/>
    <w:bookmarkStart w:id="46" w:name="四与现有技术相比的有益效果"/>
    <w:p>
      <w:pPr>
        <w:pStyle w:val="Heading2"/>
      </w:pPr>
      <w:r>
        <w:rPr>
          <w:rFonts w:hint="eastAsia" w:ascii="Times New Roman" w:hAnsi="Times New Roman" w:eastAsia="黑体"/>
          <w:b/>
          <w:i w:val="0"/>
          <w:color w:val="000000"/>
        </w:rPr>
        <w:t xml:space="preserve">四、与现有技术相比的有益效果</w:t>
      </w:r>
    </w:p>
    <w:p>
      <w:pPr>
        <w:pStyle w:val="FirstParagraph"/>
        <w:spacing w:line="324" w:lineRule="auto" w:after="120"/>
      </w:pPr>
      <w:r>
        <w:rPr>
          <w:rFonts w:hint="eastAsia" w:ascii="Times New Roman" w:hAnsi="Times New Roman" w:eastAsia="宋体"/>
          <w:color w:val="000000"/>
        </w:rPr>
        <w:t xml:space="preserve">本发明相较于现有技术至少具有以下有益效果。</w:t>
      </w:r>
    </w:p>
    <w:p>
      <w:pPr>
        <w:pStyle w:val="BodyText"/>
        <w:spacing w:line="324" w:lineRule="auto" w:after="120"/>
      </w:pPr>
      <w:r>
        <w:rPr>
          <w:rFonts w:hint="eastAsia" w:ascii="Times New Roman" w:hAnsi="Times New Roman" w:eastAsia="宋体"/>
          <w:color w:val="000000"/>
        </w:rPr>
        <w:t xml:space="preserve">（1）本发明不是单纯在线查表调节横向参数，也不是单独优化纵向油门或制动控制量，而是将横向和纵向工程控制器放入同一个车辆动力学闭环中进行联合整定。</w:t>
      </w:r>
    </w:p>
    <w:p>
      <w:pPr>
        <w:pStyle w:val="BodyText"/>
        <w:spacing w:line="324" w:lineRule="auto" w:after="120"/>
      </w:pPr>
      <w:r>
        <w:rPr>
          <w:rFonts w:hint="eastAsia" w:ascii="Times New Roman" w:hAnsi="Times New Roman" w:eastAsia="宋体"/>
          <w:color w:val="000000"/>
        </w:rPr>
        <w:t xml:space="preserve">（2）本发明通过双模式控制器解决可微训练与工程验证之间的矛盾。训练模式可对非光滑环节做平滑近似以获得梯度，验证模式仍保留原始硬限幅、硬分支和硬速率限制。</w:t>
      </w:r>
    </w:p>
    <w:p>
      <w:pPr>
        <w:pStyle w:val="BodyText"/>
        <w:spacing w:line="324" w:lineRule="auto" w:after="120"/>
      </w:pPr>
      <w:r>
        <w:rPr>
          <w:rFonts w:hint="eastAsia" w:ascii="Times New Roman" w:hAnsi="Times New Roman" w:eastAsia="宋体"/>
          <w:color w:val="000000"/>
        </w:rPr>
        <w:t xml:space="preserve">（3）本发明能够把多轨迹、多速度和车辆物理参数不确定性纳入同一批量训练过程，降低参数只适配单一车辆或单一场景的风险。</w:t>
      </w:r>
    </w:p>
    <w:p>
      <w:pPr>
        <w:pStyle w:val="BodyText"/>
        <w:spacing w:line="324" w:lineRule="auto" w:after="120"/>
      </w:pPr>
      <w:r>
        <w:rPr>
          <w:rFonts w:hint="eastAsia" w:ascii="Times New Roman" w:hAnsi="Times New Roman" w:eastAsia="宋体"/>
          <w:color w:val="000000"/>
        </w:rPr>
        <w:t xml:space="preserve">（4）本发明通过综合损失同时约束横向误差、航向误差、速度误差、控制平滑性和参数偏移，避免只追求单一误差而牺牲控制稳定性。</w:t>
      </w:r>
    </w:p>
    <w:p>
      <w:pPr>
        <w:pStyle w:val="BodyText"/>
        <w:spacing w:line="324" w:lineRule="auto" w:after="120"/>
      </w:pPr>
      <w:r>
        <w:rPr>
          <w:rFonts w:hint="eastAsia" w:ascii="Times New Roman" w:hAnsi="Times New Roman" w:eastAsia="宋体"/>
          <w:color w:val="000000"/>
        </w:rPr>
        <w:t xml:space="preserve">（5）本发明通过参数投影模块把自动更新后的参数限制在工程可部署范围内，使输出参数更容易进入原控制模块配置文件。</w:t>
      </w:r>
    </w:p>
    <w:p>
      <w:pPr>
        <w:pStyle w:val="BodyText"/>
        <w:spacing w:line="324" w:lineRule="auto" w:after="120"/>
      </w:pPr>
      <w:r>
        <w:rPr>
          <w:rFonts w:hint="eastAsia" w:ascii="Times New Roman" w:hAnsi="Times New Roman" w:eastAsia="宋体"/>
          <w:color w:val="000000"/>
        </w:rPr>
        <w:t xml:space="preserve">（6）本发明能够输出训练曲线、参数变化图、硬逻辑验证统计和代表场景对比图，便于追溯参数整定过程。</w:t>
      </w:r>
    </w:p>
    <w:bookmarkEnd w:id="46"/>
    <w:bookmarkStart w:id="47" w:name="五本发明的技术关键点和保护点"/>
    <w:p>
      <w:pPr>
        <w:pStyle w:val="Heading2"/>
      </w:pPr>
      <w:r>
        <w:rPr>
          <w:rFonts w:hint="eastAsia" w:ascii="Times New Roman" w:hAnsi="Times New Roman" w:eastAsia="黑体"/>
          <w:b/>
          <w:i w:val="0"/>
          <w:color w:val="000000"/>
        </w:rPr>
        <w:t xml:space="preserve">五、本发明的技术关键点和保护点</w:t>
      </w:r>
    </w:p>
    <w:p>
      <w:pPr>
        <w:pStyle w:val="FirstParagraph"/>
        <w:spacing w:line="324" w:lineRule="auto" w:after="120"/>
      </w:pPr>
      <w:r>
        <w:rPr>
          <w:rFonts w:hint="eastAsia" w:ascii="Times New Roman" w:hAnsi="Times New Roman" w:eastAsia="宋体"/>
          <w:color w:val="000000"/>
        </w:rPr>
        <w:t xml:space="preserve">本发明建议重点保护以下技术方案和技术特征。</w:t>
      </w:r>
    </w:p>
    <w:p>
      <w:pPr>
        <w:pStyle w:val="BodyText"/>
        <w:spacing w:line="324" w:lineRule="auto" w:after="120"/>
      </w:pPr>
      <w:r>
        <w:rPr>
          <w:rFonts w:hint="eastAsia" w:ascii="Times New Roman" w:hAnsi="Times New Roman" w:eastAsia="宋体"/>
          <w:color w:val="000000"/>
        </w:rPr>
        <w:t xml:space="preserve">（1）保护一种基于车辆动力学可微闭环仿真的车辆横纵向控制器参数自动整定方法，其至少包括：读取工程控制器逻辑和参数配置、构建双模式控制器、构建车辆动力学模型、批量闭环展开多场景轨迹、计算综合损失、反向传播更新参数、执行物理约束投影、硬逻辑复验并导出整定参数。</w:t>
      </w:r>
    </w:p>
    <w:p>
      <w:pPr>
        <w:pStyle w:val="BodyText"/>
        <w:spacing w:line="324" w:lineRule="auto" w:after="120"/>
      </w:pPr>
      <w:r>
        <w:rPr>
          <w:rFonts w:hint="eastAsia" w:ascii="Times New Roman" w:hAnsi="Times New Roman" w:eastAsia="宋体"/>
          <w:color w:val="000000"/>
        </w:rPr>
        <w:t xml:space="preserve">（2）保护双模式控制器结构。该结构使训练路径采用可微近似，验证路径保留原始硬逻辑，两条路径共享同一组待整定参数。</w:t>
      </w:r>
    </w:p>
    <w:p>
      <w:pPr>
        <w:pStyle w:val="BodyText"/>
        <w:spacing w:line="324" w:lineRule="auto" w:after="120"/>
      </w:pPr>
      <w:r>
        <w:rPr>
          <w:rFonts w:hint="eastAsia" w:ascii="Times New Roman" w:hAnsi="Times New Roman" w:eastAsia="宋体"/>
          <w:color w:val="000000"/>
        </w:rPr>
        <w:t xml:space="preserve">（3）保护横向控制器和纵向控制器串行闭环展开的整定链路。横向控制结果、纵向控制结果和车辆动力学状态更新按控制周期串联，使多个周期后的轨迹误差能够反向影响控制器参数。</w:t>
      </w:r>
    </w:p>
    <w:p>
      <w:pPr>
        <w:pStyle w:val="BodyText"/>
        <w:spacing w:line="324" w:lineRule="auto" w:after="120"/>
      </w:pPr>
      <w:r>
        <w:rPr>
          <w:rFonts w:hint="eastAsia" w:ascii="Times New Roman" w:hAnsi="Times New Roman" w:eastAsia="宋体"/>
          <w:color w:val="000000"/>
        </w:rPr>
        <w:t xml:space="preserve">（4）保护参数集合的自动识别与分组整定方式。待整定参数可包括横向预瞄类参数、收敛类参数、角速度误差预瞄类参数、远预瞄查表参数、纵向位置环参数、纵向速度环参数和速度段切换参数。</w:t>
      </w:r>
    </w:p>
    <w:p>
      <w:pPr>
        <w:pStyle w:val="BodyText"/>
        <w:spacing w:line="324" w:lineRule="auto" w:after="120"/>
      </w:pPr>
      <w:r>
        <w:rPr>
          <w:rFonts w:hint="eastAsia" w:ascii="Times New Roman" w:hAnsi="Times New Roman" w:eastAsia="宋体"/>
          <w:color w:val="000000"/>
        </w:rPr>
        <w:t xml:space="preserve">（5）保护面向车辆物理参数不确定性的域随机化整定方式。训练时可对车辆质量、侧偏刚度、轮胎或传动相关参数采样，使整定结果兼顾多组车辆物理参数。</w:t>
      </w:r>
    </w:p>
    <w:p>
      <w:pPr>
        <w:pStyle w:val="BodyText"/>
        <w:spacing w:line="324" w:lineRule="auto" w:after="120"/>
      </w:pPr>
      <w:r>
        <w:rPr>
          <w:rFonts w:hint="eastAsia" w:ascii="Times New Roman" w:hAnsi="Times New Roman" w:eastAsia="宋体"/>
          <w:color w:val="000000"/>
        </w:rPr>
        <w:t xml:space="preserve">（6）保护反馈噪声和指令抖动参与训练的鲁棒整定方式。训练时可对位置、航向、速度、横摆角速度等反馈量加入噪声，并对转向、扭矩或加速度指令加入扰动。</w:t>
      </w:r>
    </w:p>
    <w:p>
      <w:pPr>
        <w:pStyle w:val="BodyText"/>
        <w:spacing w:line="324" w:lineRule="auto" w:after="120"/>
      </w:pPr>
      <w:r>
        <w:rPr>
          <w:rFonts w:hint="eastAsia" w:ascii="Times New Roman" w:hAnsi="Times New Roman" w:eastAsia="宋体"/>
          <w:color w:val="000000"/>
        </w:rPr>
        <w:t xml:space="preserve">（7）保护综合损失构造方式。综合损失至少包括横向跟踪误差、航向误差、速度误差、控制指令平滑项和参数偏移正则项中的一种或多种组合。</w:t>
      </w:r>
    </w:p>
    <w:p>
      <w:pPr>
        <w:pStyle w:val="BodyText"/>
        <w:spacing w:line="324" w:lineRule="auto" w:after="120"/>
      </w:pPr>
      <w:r>
        <w:rPr>
          <w:rFonts w:hint="eastAsia" w:ascii="Times New Roman" w:hAnsi="Times New Roman" w:eastAsia="宋体"/>
          <w:color w:val="000000"/>
        </w:rPr>
        <w:t xml:space="preserve">（8）保护参数投影和可部署配置生成方式。参数更新后通过投影算子限制在预设范围内，并导出与原控制器配置格式对应的参数文件。</w:t>
      </w:r>
    </w:p>
    <w:p>
      <w:pPr>
        <w:pStyle w:val="BodyText"/>
        <w:spacing w:line="324" w:lineRule="auto" w:after="120"/>
      </w:pPr>
      <w:r>
        <w:rPr>
          <w:rFonts w:hint="eastAsia" w:ascii="Times New Roman" w:hAnsi="Times New Roman" w:eastAsia="宋体"/>
          <w:color w:val="000000"/>
        </w:rPr>
        <w:t xml:space="preserve">（9）保护硬逻辑复验方式。整定完成后将参数放回保留原始硬限幅、硬分支和硬速率限制的验证路径中运行全场景闭环仿真，以验证部署前性能。</w:t>
      </w:r>
    </w:p>
    <w:bookmarkEnd w:id="47"/>
    <w:bookmarkStart w:id="67" w:name="六实施例技术效果和参数示例"/>
    <w:p>
      <w:pPr>
        <w:pStyle w:val="Heading2"/>
      </w:pPr>
      <w:r>
        <w:rPr>
          <w:rFonts w:hint="eastAsia" w:ascii="Times New Roman" w:hAnsi="Times New Roman" w:eastAsia="黑体"/>
          <w:b/>
          <w:i w:val="0"/>
          <w:color w:val="000000"/>
        </w:rPr>
        <w:t xml:space="preserve">六、实施例、技术效果和参数示例</w:t>
      </w:r>
    </w:p>
    <w:bookmarkStart w:id="63" w:name="实施例一基于牵引车-挂车模型的横纵向联合整定"/>
    <w:p>
      <w:pPr>
        <w:pStyle w:val="Heading3"/>
      </w:pPr>
      <w:r>
        <w:rPr>
          <w:rFonts w:ascii="Times New Roman" w:hAnsi="Times New Roman" w:eastAsia="黑体"/>
          <w:b/>
          <w:i w:val="0"/>
          <w:color w:val="000000"/>
        </w:rPr>
        <w:t xml:space="preserve">6.1 </w:t>
      </w:r>
      <w:r>
        <w:rPr>
          <w:rFonts w:hint="eastAsia" w:ascii="Times New Roman" w:hAnsi="Times New Roman" w:eastAsia="黑体"/>
          <w:b/>
          <w:i w:val="0"/>
          <w:color w:val="000000"/>
        </w:rPr>
        <w:t xml:space="preserve">实施例一：基于牵引车-挂车模型的横纵向联合整定</w:t>
      </w:r>
    </w:p>
    <w:p>
      <w:pPr>
        <w:pStyle w:val="FirstParagraph"/>
        <w:spacing w:line="324" w:lineRule="auto" w:after="120"/>
      </w:pPr>
      <w:r>
        <w:rPr>
          <w:rFonts w:hint="eastAsia" w:ascii="Times New Roman" w:hAnsi="Times New Roman" w:eastAsia="宋体"/>
          <w:color w:val="000000"/>
        </w:rPr>
        <w:t xml:space="preserve">在一个实施例中，横向控制器采用重卡横向控制逻辑，纵向控制器包含位置环、速度环和扭矩输出层。车辆模型采用牵引车-挂车运动学或动力学近似模型。训练集包含换道、双换道、渐变曲率弯道、S弯、弯前减速和换道加减速等</w:t>
      </w:r>
      <w:r>
        <w:rPr>
          <w:rFonts w:ascii="Times New Roman" w:hAnsi="Times New Roman" w:eastAsia="宋体"/>
          <w:color w:val="000000"/>
        </w:rPr>
        <w:t xml:space="preserve"> 48 </w:t>
      </w:r>
      <w:r>
        <w:rPr>
          <w:rFonts w:hint="eastAsia" w:ascii="Times New Roman" w:hAnsi="Times New Roman" w:eastAsia="宋体"/>
          <w:color w:val="000000"/>
        </w:rPr>
        <w:t xml:space="preserve">条轨迹，并覆盖</w:t>
      </w:r>
      <w:r>
        <w:rPr>
          <w:rFonts w:ascii="Times New Roman" w:hAnsi="Times New Roman" w:eastAsia="宋体"/>
          <w:color w:val="000000"/>
        </w:rPr>
        <w:t xml:space="preserve"> 5 km/h </w:t>
      </w:r>
      <w:r>
        <w:rPr>
          <w:rFonts w:hint="eastAsia" w:ascii="Times New Roman" w:hAnsi="Times New Roman" w:eastAsia="宋体"/>
          <w:color w:val="000000"/>
        </w:rPr>
        <w:t xml:space="preserve">至</w:t>
      </w:r>
      <w:r>
        <w:rPr>
          <w:rFonts w:ascii="Times New Roman" w:hAnsi="Times New Roman" w:eastAsia="宋体"/>
          <w:color w:val="000000"/>
        </w:rPr>
        <w:t xml:space="preserve"> 50 km/h </w:t>
      </w:r>
      <w:r>
        <w:rPr>
          <w:rFonts w:hint="eastAsia" w:ascii="Times New Roman" w:hAnsi="Times New Roman" w:eastAsia="宋体"/>
          <w:color w:val="000000"/>
        </w:rPr>
        <w:t xml:space="preserve">的多个速度段。</w:t>
      </w:r>
    </w:p>
    <w:p>
      <w:pPr>
        <w:pStyle w:val="BodyText"/>
        <w:spacing w:line="324" w:lineRule="auto" w:after="120"/>
      </w:pPr>
      <w:r>
        <w:rPr>
          <w:rFonts w:hint="eastAsia" w:ascii="Times New Roman" w:hAnsi="Times New Roman" w:eastAsia="宋体"/>
          <w:color w:val="000000"/>
        </w:rPr>
        <w:t xml:space="preserve">实验中，综合损失从</w:t>
      </w:r>
      <w:r>
        <w:rPr>
          <w:rFonts w:ascii="Times New Roman" w:hAnsi="Times New Roman" w:eastAsia="宋体"/>
          <w:color w:val="000000"/>
        </w:rPr>
        <w:t xml:space="preserve"> 3.9303 </w:t>
      </w:r>
      <w:r>
        <w:rPr>
          <w:rFonts w:hint="eastAsia" w:ascii="Times New Roman" w:hAnsi="Times New Roman" w:eastAsia="宋体"/>
          <w:color w:val="000000"/>
        </w:rPr>
        <w:t xml:space="preserve">下降到</w:t>
      </w:r>
      <w:r>
        <w:rPr>
          <w:rFonts w:ascii="Times New Roman" w:hAnsi="Times New Roman" w:eastAsia="宋体"/>
          <w:color w:val="000000"/>
        </w:rPr>
        <w:t xml:space="preserve"> </w:t>
      </w:r>
      <w:r>
        <w:rPr>
          <w:rFonts w:hint="eastAsia" w:ascii="Times New Roman" w:hAnsi="Times New Roman" w:eastAsia="宋体"/>
          <w:color w:val="000000"/>
        </w:rPr>
        <w:t xml:space="preserve">3.0535，下降约</w:t>
      </w:r>
      <w:r>
        <w:rPr>
          <w:rFonts w:ascii="Times New Roman" w:hAnsi="Times New Roman" w:eastAsia="宋体"/>
          <w:color w:val="000000"/>
        </w:rPr>
        <w:t xml:space="preserve"> </w:t>
      </w:r>
      <w:r>
        <w:rPr>
          <w:rFonts w:hint="eastAsia" w:ascii="Times New Roman" w:hAnsi="Times New Roman" w:eastAsia="宋体"/>
          <w:color w:val="000000"/>
        </w:rPr>
        <w:t xml:space="preserve">22.31%。硬逻辑验证路径中，49</w:t>
      </w:r>
      <w:r>
        <w:rPr>
          <w:rFonts w:ascii="Times New Roman" w:hAnsi="Times New Roman" w:eastAsia="宋体"/>
          <w:color w:val="000000"/>
        </w:rPr>
        <w:t xml:space="preserve"> </w:t>
      </w:r>
      <w:r>
        <w:rPr>
          <w:rFonts w:hint="eastAsia" w:ascii="Times New Roman" w:hAnsi="Times New Roman" w:eastAsia="宋体"/>
          <w:color w:val="000000"/>
        </w:rPr>
        <w:t xml:space="preserve">个场景里有</w:t>
      </w:r>
      <w:r>
        <w:rPr>
          <w:rFonts w:ascii="Times New Roman" w:hAnsi="Times New Roman" w:eastAsia="宋体"/>
          <w:color w:val="000000"/>
        </w:rPr>
        <w:t xml:space="preserve"> 38 </w:t>
      </w:r>
      <w:r>
        <w:rPr>
          <w:rFonts w:hint="eastAsia" w:ascii="Times New Roman" w:hAnsi="Times New Roman" w:eastAsia="宋体"/>
          <w:color w:val="000000"/>
        </w:rPr>
        <w:t xml:space="preserve">个场景横向误差下降，43</w:t>
      </w:r>
      <w:r>
        <w:rPr>
          <w:rFonts w:ascii="Times New Roman" w:hAnsi="Times New Roman" w:eastAsia="宋体"/>
          <w:color w:val="000000"/>
        </w:rPr>
        <w:t xml:space="preserve"> </w:t>
      </w:r>
      <w:r>
        <w:rPr>
          <w:rFonts w:hint="eastAsia" w:ascii="Times New Roman" w:hAnsi="Times New Roman" w:eastAsia="宋体"/>
          <w:color w:val="000000"/>
        </w:rPr>
        <w:t xml:space="preserve">个场景航向误差下降；横向误差变化平均值为</w:t>
      </w:r>
      <w:r>
        <w:rPr>
          <w:rFonts w:ascii="Times New Roman" w:hAnsi="Times New Roman" w:eastAsia="宋体"/>
          <w:color w:val="000000"/>
        </w:rPr>
        <w:t xml:space="preserve"> </w:t>
      </w:r>
      <w:r>
        <w:rPr>
          <w:rFonts w:hint="eastAsia" w:ascii="Times New Roman" w:hAnsi="Times New Roman" w:eastAsia="宋体"/>
          <w:color w:val="000000"/>
        </w:rPr>
        <w:t xml:space="preserve">-11.20%，航向误差变化平均值为</w:t>
      </w:r>
      <w:r>
        <w:rPr>
          <w:rFonts w:ascii="Times New Roman" w:hAnsi="Times New Roman" w:eastAsia="宋体"/>
          <w:color w:val="000000"/>
        </w:rPr>
        <w:t xml:space="preserve"> </w:t>
      </w:r>
      <w:r>
        <w:rPr>
          <w:rFonts w:hint="eastAsia" w:ascii="Times New Roman" w:hAnsi="Times New Roman" w:eastAsia="宋体"/>
          <w:color w:val="000000"/>
        </w:rPr>
        <w:t xml:space="preserve">-15.11%。该结果说明，通过可微闭环整定得到的参数在硬逻辑复验中仍具有改善效果。</w:t>
      </w:r>
    </w:p>
    <w:p>
      <w:pPr>
        <w:pStyle w:val="BodyText"/>
        <w:spacing w:line="324" w:lineRule="auto" w:after="120"/>
        <w:jc w:val="center"/>
      </w:pPr>
      <w:r>
        <w:rPr>
          <w:rFonts w:hint="eastAsia" w:ascii="Times New Roman" w:hAnsi="Times New Roman" w:eastAsia="宋体"/>
          <w:color w:val="000000"/>
        </w:rPr>
        <w:t xml:space="preserve">图3示出了训练过程中综合损失的下降趋势。</w:t>
      </w:r>
    </w:p>
    <w:p>
      <w:pPr>
        <w:pStyle w:val="CaptionedFigure"/>
        <w:spacing w:line="324" w:lineRule="auto" w:after="120"/>
        <w:jc w:val="center"/>
      </w:pPr>
      <w:r>
        <w:rPr>
          <w:rFonts w:ascii="Times New Roman" w:hAnsi="Times New Roman" w:eastAsia="宋体"/>
          <w:color w:val="000000"/>
        </w:rPr>
        <w:drawing>
          <wp:inline>
            <wp:extent cx="5334000" cy="4445000"/>
            <wp:effectExtent b="0" l="0" r="0" t="0"/>
            <wp:docPr descr="图3 训练损失曲线" title="" id="49" name="Picture"/>
            <a:graphic>
              <a:graphicData uri="http://schemas.openxmlformats.org/drawingml/2006/picture">
                <pic:pic>
                  <pic:nvPicPr>
                    <pic:cNvPr descr="figures/fig3_loss_curve.png" id="50" name="Picture"/>
                    <pic:cNvPicPr>
                      <a:picLocks noChangeArrowheads="1" noChangeAspect="1"/>
                    </pic:cNvPicPr>
                  </pic:nvPicPr>
                  <pic:blipFill>
                    <a:blip r:embed="rId48"/>
                    <a:stretch>
                      <a:fillRect/>
                    </a:stretch>
                  </pic:blipFill>
                  <pic:spPr bwMode="auto">
                    <a:xfrm>
                      <a:off x="0" y="0"/>
                      <a:ext cx="5334000" cy="4445000"/>
                    </a:xfrm>
                    <a:prstGeom prst="rect">
                      <a:avLst/>
                    </a:prstGeom>
                    <a:noFill/>
                    <a:ln w="9525">
                      <a:noFill/>
                      <a:headEnd/>
                      <a:tailEnd/>
                    </a:ln>
                  </pic:spPr>
                </pic:pic>
              </a:graphicData>
            </a:graphic>
          </wp:inline>
        </w:drawing>
      </w:r>
    </w:p>
    <w:p>
      <w:pPr>
        <w:pStyle w:val="ImageCaption"/>
        <w:spacing w:line="324" w:lineRule="auto" w:after="120"/>
        <w:jc w:val="center"/>
      </w:pPr>
      <w:r>
        <w:rPr>
          <w:rFonts w:hint="eastAsia" w:ascii="Times New Roman" w:hAnsi="Times New Roman" w:eastAsia="宋体"/>
          <w:color w:val="000000"/>
        </w:rPr>
        <w:t xml:space="preserve">图3</w:t>
      </w:r>
      <w:r>
        <w:rPr>
          <w:rFonts w:ascii="Times New Roman" w:hAnsi="Times New Roman" w:eastAsia="宋体"/>
          <w:color w:val="000000"/>
        </w:rPr>
        <w:t xml:space="preserve"> </w:t>
      </w:r>
      <w:r>
        <w:rPr>
          <w:rFonts w:hint="eastAsia" w:ascii="Times New Roman" w:hAnsi="Times New Roman" w:eastAsia="宋体"/>
          <w:color w:val="000000"/>
        </w:rPr>
        <w:t xml:space="preserve">训练损失曲线</w:t>
      </w:r>
    </w:p>
    <w:p>
      <w:pPr>
        <w:pStyle w:val="BodyText"/>
        <w:spacing w:line="324" w:lineRule="auto" w:after="120"/>
        <w:jc w:val="center"/>
      </w:pPr>
      <w:r>
        <w:rPr>
          <w:rFonts w:hint="eastAsia" w:ascii="Times New Roman" w:hAnsi="Times New Roman" w:eastAsia="宋体"/>
          <w:color w:val="000000"/>
        </w:rPr>
        <w:t xml:space="preserve">图4示出了部分关键参数在整定前后的变化。</w:t>
      </w:r>
    </w:p>
    <w:p>
      <w:pPr>
        <w:pStyle w:val="CaptionedFigure"/>
        <w:spacing w:line="324" w:lineRule="auto" w:after="120"/>
        <w:jc w:val="center"/>
      </w:pPr>
      <w:r>
        <w:rPr>
          <w:rFonts w:ascii="Times New Roman" w:hAnsi="Times New Roman" w:eastAsia="宋体"/>
          <w:color w:val="000000"/>
        </w:rPr>
        <w:drawing>
          <wp:inline>
            <wp:extent cx="5334000" cy="4124369"/>
            <wp:effectExtent b="0" l="0" r="0" t="0"/>
            <wp:docPr descr="图4 关键参数变化图" title="" id="52" name="Picture"/>
            <a:graphic>
              <a:graphicData uri="http://schemas.openxmlformats.org/drawingml/2006/picture">
                <pic:pic>
                  <pic:nvPicPr>
                    <pic:cNvPr descr="figures/fig4_parameter_changes.png" id="53" name="Picture"/>
                    <pic:cNvPicPr>
                      <a:picLocks noChangeArrowheads="1" noChangeAspect="1"/>
                    </pic:cNvPicPr>
                  </pic:nvPicPr>
                  <pic:blipFill>
                    <a:blip r:embed="rId51"/>
                    <a:stretch>
                      <a:fillRect/>
                    </a:stretch>
                  </pic:blipFill>
                  <pic:spPr bwMode="auto">
                    <a:xfrm>
                      <a:off x="0" y="0"/>
                      <a:ext cx="5334000" cy="4124369"/>
                    </a:xfrm>
                    <a:prstGeom prst="rect">
                      <a:avLst/>
                    </a:prstGeom>
                    <a:noFill/>
                    <a:ln w="9525">
                      <a:noFill/>
                      <a:headEnd/>
                      <a:tailEnd/>
                    </a:ln>
                  </pic:spPr>
                </pic:pic>
              </a:graphicData>
            </a:graphic>
          </wp:inline>
        </w:drawing>
      </w:r>
    </w:p>
    <w:p>
      <w:pPr>
        <w:pStyle w:val="ImageCaption"/>
        <w:spacing w:line="324" w:lineRule="auto" w:after="120"/>
        <w:jc w:val="center"/>
      </w:pPr>
      <w:r>
        <w:rPr>
          <w:rFonts w:hint="eastAsia" w:ascii="Times New Roman" w:hAnsi="Times New Roman" w:eastAsia="宋体"/>
          <w:color w:val="000000"/>
        </w:rPr>
        <w:t xml:space="preserve">图4</w:t>
      </w:r>
      <w:r>
        <w:rPr>
          <w:rFonts w:ascii="Times New Roman" w:hAnsi="Times New Roman" w:eastAsia="宋体"/>
          <w:color w:val="000000"/>
        </w:rPr>
        <w:t xml:space="preserve"> </w:t>
      </w:r>
      <w:r>
        <w:rPr>
          <w:rFonts w:hint="eastAsia" w:ascii="Times New Roman" w:hAnsi="Times New Roman" w:eastAsia="宋体"/>
          <w:color w:val="000000"/>
        </w:rPr>
        <w:t xml:space="preserve">关键参数变化图</w:t>
      </w:r>
    </w:p>
    <w:p>
      <w:pPr>
        <w:pStyle w:val="BodyText"/>
        <w:spacing w:line="324" w:lineRule="auto" w:after="120"/>
        <w:jc w:val="center"/>
      </w:pPr>
      <w:r>
        <w:rPr>
          <w:rFonts w:hint="eastAsia" w:ascii="Times New Roman" w:hAnsi="Times New Roman" w:eastAsia="宋体"/>
          <w:color w:val="000000"/>
        </w:rPr>
        <w:t xml:space="preserve">图5示出了实施例一的训练摘要和硬逻辑验证统计。</w:t>
      </w:r>
    </w:p>
    <w:p>
      <w:pPr>
        <w:pStyle w:val="CaptionedFigure"/>
        <w:spacing w:line="324" w:lineRule="auto" w:after="120"/>
        <w:jc w:val="center"/>
      </w:pPr>
      <w:r>
        <w:rPr>
          <w:rFonts w:ascii="Times New Roman" w:hAnsi="Times New Roman" w:eastAsia="宋体"/>
          <w:color w:val="000000"/>
        </w:rPr>
        <w:drawing>
          <wp:inline>
            <wp:extent cx="5334000" cy="8248871"/>
            <wp:effectExtent b="0" l="0" r="0" t="0"/>
            <wp:docPr descr="图5 实施例一训练摘要和硬逻辑验证统计图" title="" id="55" name="Picture"/>
            <a:graphic>
              <a:graphicData uri="http://schemas.openxmlformats.org/drawingml/2006/picture">
                <pic:pic>
                  <pic:nvPicPr>
                    <pic:cNvPr descr="figures/fig5_training_summary.png" id="56" name="Picture"/>
                    <pic:cNvPicPr>
                      <a:picLocks noChangeArrowheads="1" noChangeAspect="1"/>
                    </pic:cNvPicPr>
                  </pic:nvPicPr>
                  <pic:blipFill>
                    <a:blip r:embed="rId54"/>
                    <a:stretch>
                      <a:fillRect/>
                    </a:stretch>
                  </pic:blipFill>
                  <pic:spPr bwMode="auto">
                    <a:xfrm>
                      <a:off x="0" y="0"/>
                      <a:ext cx="5334000" cy="8248871"/>
                    </a:xfrm>
                    <a:prstGeom prst="rect">
                      <a:avLst/>
                    </a:prstGeom>
                    <a:noFill/>
                    <a:ln w="9525">
                      <a:noFill/>
                      <a:headEnd/>
                      <a:tailEnd/>
                    </a:ln>
                  </pic:spPr>
                </pic:pic>
              </a:graphicData>
            </a:graphic>
          </wp:inline>
        </w:drawing>
      </w:r>
    </w:p>
    <w:p>
      <w:pPr>
        <w:pStyle w:val="ImageCaption"/>
        <w:spacing w:line="324" w:lineRule="auto" w:after="120"/>
        <w:jc w:val="center"/>
      </w:pPr>
      <w:r>
        <w:rPr>
          <w:rFonts w:hint="eastAsia" w:ascii="Times New Roman" w:hAnsi="Times New Roman" w:eastAsia="宋体"/>
          <w:color w:val="000000"/>
        </w:rPr>
        <w:t xml:space="preserve">图5</w:t>
      </w:r>
      <w:r>
        <w:rPr>
          <w:rFonts w:ascii="Times New Roman" w:hAnsi="Times New Roman" w:eastAsia="宋体"/>
          <w:color w:val="000000"/>
        </w:rPr>
        <w:t xml:space="preserve"> </w:t>
      </w:r>
      <w:r>
        <w:rPr>
          <w:rFonts w:hint="eastAsia" w:ascii="Times New Roman" w:hAnsi="Times New Roman" w:eastAsia="宋体"/>
          <w:color w:val="000000"/>
        </w:rPr>
        <w:t xml:space="preserve">实施例一训练摘要和硬逻辑验证统计图</w:t>
      </w:r>
    </w:p>
    <w:p>
      <w:pPr>
        <w:pStyle w:val="BodyText"/>
        <w:spacing w:line="324" w:lineRule="auto" w:after="120"/>
        <w:jc w:val="center"/>
      </w:pPr>
      <w:r>
        <w:rPr>
          <w:rFonts w:hint="eastAsia" w:ascii="Times New Roman" w:hAnsi="Times New Roman" w:eastAsia="宋体"/>
          <w:color w:val="000000"/>
        </w:rPr>
        <w:t xml:space="preserve">图6和图7示出了代表场景的轨迹跟踪和横向误差对比；完整验证材料可随整定日志一并保存。</w:t>
      </w:r>
    </w:p>
    <w:p>
      <w:pPr>
        <w:pStyle w:val="CaptionedFigure"/>
        <w:spacing w:line="324" w:lineRule="auto" w:after="120"/>
        <w:jc w:val="center"/>
      </w:pPr>
      <w:r>
        <w:rPr>
          <w:rFonts w:ascii="Times New Roman" w:hAnsi="Times New Roman" w:eastAsia="宋体"/>
          <w:color w:val="000000"/>
        </w:rPr>
        <w:drawing>
          <wp:inline>
            <wp:extent cx="5334000" cy="5768622"/>
            <wp:effectExtent b="0" l="0" r="0" t="0"/>
            <wp:docPr descr="图6 实施例一代表场景轨迹跟踪对比图" title="" id="58" name="Picture"/>
            <a:graphic>
              <a:graphicData uri="http://schemas.openxmlformats.org/drawingml/2006/picture">
                <pic:pic>
                  <pic:nvPicPr>
                    <pic:cNvPr descr="figures/fig6_comparison_trajectory.png" id="59" name="Picture"/>
                    <pic:cNvPicPr>
                      <a:picLocks noChangeArrowheads="1" noChangeAspect="1"/>
                    </pic:cNvPicPr>
                  </pic:nvPicPr>
                  <pic:blipFill>
                    <a:blip r:embed="rId57"/>
                    <a:stretch>
                      <a:fillRect/>
                    </a:stretch>
                  </pic:blipFill>
                  <pic:spPr bwMode="auto">
                    <a:xfrm>
                      <a:off x="0" y="0"/>
                      <a:ext cx="5334000" cy="5768622"/>
                    </a:xfrm>
                    <a:prstGeom prst="rect">
                      <a:avLst/>
                    </a:prstGeom>
                    <a:noFill/>
                    <a:ln w="9525">
                      <a:noFill/>
                      <a:headEnd/>
                      <a:tailEnd/>
                    </a:ln>
                  </pic:spPr>
                </pic:pic>
              </a:graphicData>
            </a:graphic>
          </wp:inline>
        </w:drawing>
      </w:r>
    </w:p>
    <w:p>
      <w:pPr>
        <w:pStyle w:val="ImageCaption"/>
        <w:spacing w:line="324" w:lineRule="auto" w:after="120"/>
        <w:jc w:val="center"/>
      </w:pPr>
      <w:r>
        <w:rPr>
          <w:rFonts w:hint="eastAsia" w:ascii="Times New Roman" w:hAnsi="Times New Roman" w:eastAsia="宋体"/>
          <w:color w:val="000000"/>
        </w:rPr>
        <w:t xml:space="preserve">图6</w:t>
      </w:r>
      <w:r>
        <w:rPr>
          <w:rFonts w:ascii="Times New Roman" w:hAnsi="Times New Roman" w:eastAsia="宋体"/>
          <w:color w:val="000000"/>
        </w:rPr>
        <w:t xml:space="preserve"> </w:t>
      </w:r>
      <w:r>
        <w:rPr>
          <w:rFonts w:hint="eastAsia" w:ascii="Times New Roman" w:hAnsi="Times New Roman" w:eastAsia="宋体"/>
          <w:color w:val="000000"/>
        </w:rPr>
        <w:t xml:space="preserve">实施例一代表场景轨迹跟踪对比图</w:t>
      </w:r>
    </w:p>
    <w:p>
      <w:pPr>
        <w:pStyle w:val="CaptionedFigure"/>
        <w:spacing w:line="324" w:lineRule="auto" w:after="120"/>
        <w:jc w:val="center"/>
      </w:pPr>
      <w:r>
        <w:rPr>
          <w:rFonts w:ascii="Times New Roman" w:hAnsi="Times New Roman" w:eastAsia="宋体"/>
          <w:color w:val="000000"/>
        </w:rPr>
        <w:drawing>
          <wp:inline>
            <wp:extent cx="5334000" cy="5768622"/>
            <wp:effectExtent b="0" l="0" r="0" t="0"/>
            <wp:docPr descr="图7 实施例一代表场景横向误差对比图" title="" id="61" name="Picture"/>
            <a:graphic>
              <a:graphicData uri="http://schemas.openxmlformats.org/drawingml/2006/picture">
                <pic:pic>
                  <pic:nvPicPr>
                    <pic:cNvPr descr="figures/fig7_comparison_lateral_error.png" id="62" name="Picture"/>
                    <pic:cNvPicPr>
                      <a:picLocks noChangeArrowheads="1" noChangeAspect="1"/>
                    </pic:cNvPicPr>
                  </pic:nvPicPr>
                  <pic:blipFill>
                    <a:blip r:embed="rId60"/>
                    <a:stretch>
                      <a:fillRect/>
                    </a:stretch>
                  </pic:blipFill>
                  <pic:spPr bwMode="auto">
                    <a:xfrm>
                      <a:off x="0" y="0"/>
                      <a:ext cx="5334000" cy="5768622"/>
                    </a:xfrm>
                    <a:prstGeom prst="rect">
                      <a:avLst/>
                    </a:prstGeom>
                    <a:noFill/>
                    <a:ln w="9525">
                      <a:noFill/>
                      <a:headEnd/>
                      <a:tailEnd/>
                    </a:ln>
                  </pic:spPr>
                </pic:pic>
              </a:graphicData>
            </a:graphic>
          </wp:inline>
        </w:drawing>
      </w:r>
    </w:p>
    <w:p>
      <w:pPr>
        <w:pStyle w:val="ImageCaption"/>
        <w:spacing w:line="324" w:lineRule="auto" w:after="120"/>
        <w:jc w:val="center"/>
      </w:pPr>
      <w:r>
        <w:rPr>
          <w:rFonts w:hint="eastAsia" w:ascii="Times New Roman" w:hAnsi="Times New Roman" w:eastAsia="宋体"/>
          <w:color w:val="000000"/>
        </w:rPr>
        <w:t xml:space="preserve">图7</w:t>
      </w:r>
      <w:r>
        <w:rPr>
          <w:rFonts w:ascii="Times New Roman" w:hAnsi="Times New Roman" w:eastAsia="宋体"/>
          <w:color w:val="000000"/>
        </w:rPr>
        <w:t xml:space="preserve"> </w:t>
      </w:r>
      <w:r>
        <w:rPr>
          <w:rFonts w:hint="eastAsia" w:ascii="Times New Roman" w:hAnsi="Times New Roman" w:eastAsia="宋体"/>
          <w:color w:val="000000"/>
        </w:rPr>
        <w:t xml:space="preserve">实施例一代表场景横向误差对比图</w:t>
      </w:r>
    </w:p>
    <w:bookmarkEnd w:id="63"/>
    <w:bookmarkStart w:id="64" w:name="实施例二车辆物理参数域随机化整定"/>
    <w:p>
      <w:pPr>
        <w:pStyle w:val="Heading3"/>
      </w:pPr>
      <w:r>
        <w:rPr>
          <w:rFonts w:ascii="Times New Roman" w:hAnsi="Times New Roman" w:eastAsia="黑体"/>
          <w:b/>
          <w:i w:val="0"/>
          <w:color w:val="000000"/>
        </w:rPr>
        <w:t xml:space="preserve">6.2 </w:t>
      </w:r>
      <w:r>
        <w:rPr>
          <w:rFonts w:hint="eastAsia" w:ascii="Times New Roman" w:hAnsi="Times New Roman" w:eastAsia="黑体"/>
          <w:b/>
          <w:i w:val="0"/>
          <w:color w:val="000000"/>
        </w:rPr>
        <w:t xml:space="preserve">实施例二：车辆物理参数域随机化整定</w:t>
      </w:r>
    </w:p>
    <w:p>
      <w:pPr>
        <w:pStyle w:val="FirstParagraph"/>
        <w:spacing w:line="324" w:lineRule="auto" w:after="120"/>
      </w:pPr>
      <w:r>
        <w:rPr>
          <w:rFonts w:hint="eastAsia" w:ascii="Times New Roman" w:hAnsi="Times New Roman" w:eastAsia="宋体"/>
          <w:color w:val="000000"/>
        </w:rPr>
        <w:t xml:space="preserve">在另一个实施例中，每轮训练采样</w:t>
      </w:r>
      <w:r>
        <w:rPr>
          <w:rFonts w:ascii="Times New Roman" w:hAnsi="Times New Roman" w:eastAsia="宋体"/>
          <w:color w:val="000000"/>
        </w:rPr>
        <w:t xml:space="preserve"> 4 </w:t>
      </w:r>
      <w:r>
        <w:rPr>
          <w:rFonts w:hint="eastAsia" w:ascii="Times New Roman" w:hAnsi="Times New Roman" w:eastAsia="宋体"/>
          <w:color w:val="000000"/>
        </w:rPr>
        <w:t xml:space="preserve">组车辆物理参数，将</w:t>
      </w:r>
      <w:r>
        <w:rPr>
          <w:rFonts w:ascii="Times New Roman" w:hAnsi="Times New Roman" w:eastAsia="宋体"/>
          <w:color w:val="000000"/>
        </w:rPr>
        <w:t xml:space="preserve"> 48 </w:t>
      </w:r>
      <w:r>
        <w:rPr>
          <w:rFonts w:hint="eastAsia" w:ascii="Times New Roman" w:hAnsi="Times New Roman" w:eastAsia="宋体"/>
          <w:color w:val="000000"/>
        </w:rPr>
        <w:t xml:space="preserve">条轨迹复制到</w:t>
      </w:r>
      <w:r>
        <w:rPr>
          <w:rFonts w:ascii="Times New Roman" w:hAnsi="Times New Roman" w:eastAsia="宋体"/>
          <w:color w:val="000000"/>
        </w:rPr>
        <w:t xml:space="preserve"> 4 </w:t>
      </w:r>
      <w:r>
        <w:rPr>
          <w:rFonts w:hint="eastAsia" w:ascii="Times New Roman" w:hAnsi="Times New Roman" w:eastAsia="宋体"/>
          <w:color w:val="000000"/>
        </w:rPr>
        <w:t xml:space="preserve">个车辆域，共形成</w:t>
      </w:r>
      <w:r>
        <w:rPr>
          <w:rFonts w:ascii="Times New Roman" w:hAnsi="Times New Roman" w:eastAsia="宋体"/>
          <w:color w:val="000000"/>
        </w:rPr>
        <w:t xml:space="preserve"> 192 </w:t>
      </w:r>
      <w:r>
        <w:rPr>
          <w:rFonts w:hint="eastAsia" w:ascii="Times New Roman" w:hAnsi="Times New Roman" w:eastAsia="宋体"/>
          <w:color w:val="000000"/>
        </w:rPr>
        <w:t xml:space="preserve">条批量闭环仿真样本。牵引车质量采样范围为名义值的正负</w:t>
      </w:r>
      <w:r>
        <w:rPr>
          <w:rFonts w:ascii="Times New Roman" w:hAnsi="Times New Roman" w:eastAsia="宋体"/>
          <w:color w:val="000000"/>
        </w:rPr>
        <w:t xml:space="preserve"> </w:t>
      </w:r>
      <w:r>
        <w:rPr>
          <w:rFonts w:hint="eastAsia" w:ascii="Times New Roman" w:hAnsi="Times New Roman" w:eastAsia="宋体"/>
          <w:color w:val="000000"/>
        </w:rPr>
        <w:t xml:space="preserve">10%，前后轴侧偏刚度采样范围为名义值的正负</w:t>
      </w:r>
      <w:r>
        <w:rPr>
          <w:rFonts w:ascii="Times New Roman" w:hAnsi="Times New Roman" w:eastAsia="宋体"/>
          <w:color w:val="000000"/>
        </w:rPr>
        <w:t xml:space="preserve"> 20%。</w:t>
      </w:r>
    </w:p>
    <w:p>
      <w:pPr>
        <w:pStyle w:val="BodyText"/>
        <w:spacing w:line="324" w:lineRule="auto" w:after="120"/>
      </w:pPr>
      <w:r>
        <w:rPr>
          <w:rFonts w:hint="eastAsia" w:ascii="Times New Roman" w:hAnsi="Times New Roman" w:eastAsia="宋体"/>
          <w:color w:val="000000"/>
        </w:rPr>
        <w:t xml:space="preserve">纯机理模型实施例中，综合损失从</w:t>
      </w:r>
      <w:r>
        <w:rPr>
          <w:rFonts w:ascii="Times New Roman" w:hAnsi="Times New Roman" w:eastAsia="宋体"/>
          <w:color w:val="000000"/>
        </w:rPr>
        <w:t xml:space="preserve"> 2.7083 </w:t>
      </w:r>
      <w:r>
        <w:rPr>
          <w:rFonts w:hint="eastAsia" w:ascii="Times New Roman" w:hAnsi="Times New Roman" w:eastAsia="宋体"/>
          <w:color w:val="000000"/>
        </w:rPr>
        <w:t xml:space="preserve">下降到</w:t>
      </w:r>
      <w:r>
        <w:rPr>
          <w:rFonts w:ascii="Times New Roman" w:hAnsi="Times New Roman" w:eastAsia="宋体"/>
          <w:color w:val="000000"/>
        </w:rPr>
        <w:t xml:space="preserve"> </w:t>
      </w:r>
      <w:r>
        <w:rPr>
          <w:rFonts w:hint="eastAsia" w:ascii="Times New Roman" w:hAnsi="Times New Roman" w:eastAsia="宋体"/>
          <w:color w:val="000000"/>
        </w:rPr>
        <w:t xml:space="preserve">1.5639，下降约</w:t>
      </w:r>
      <w:r>
        <w:rPr>
          <w:rFonts w:ascii="Times New Roman" w:hAnsi="Times New Roman" w:eastAsia="宋体"/>
          <w:color w:val="000000"/>
        </w:rPr>
        <w:t xml:space="preserve"> </w:t>
      </w:r>
      <w:r>
        <w:rPr>
          <w:rFonts w:hint="eastAsia" w:ascii="Times New Roman" w:hAnsi="Times New Roman" w:eastAsia="宋体"/>
          <w:color w:val="000000"/>
        </w:rPr>
        <w:t xml:space="preserve">42.26%。硬逻辑验证路径中，49</w:t>
      </w:r>
      <w:r>
        <w:rPr>
          <w:rFonts w:ascii="Times New Roman" w:hAnsi="Times New Roman" w:eastAsia="宋体"/>
          <w:color w:val="000000"/>
        </w:rPr>
        <w:t xml:space="preserve"> </w:t>
      </w:r>
      <w:r>
        <w:rPr>
          <w:rFonts w:hint="eastAsia" w:ascii="Times New Roman" w:hAnsi="Times New Roman" w:eastAsia="宋体"/>
          <w:color w:val="000000"/>
        </w:rPr>
        <w:t xml:space="preserve">个场景里有</w:t>
      </w:r>
      <w:r>
        <w:rPr>
          <w:rFonts w:ascii="Times New Roman" w:hAnsi="Times New Roman" w:eastAsia="宋体"/>
          <w:color w:val="000000"/>
        </w:rPr>
        <w:t xml:space="preserve"> 47 </w:t>
      </w:r>
      <w:r>
        <w:rPr>
          <w:rFonts w:hint="eastAsia" w:ascii="Times New Roman" w:hAnsi="Times New Roman" w:eastAsia="宋体"/>
          <w:color w:val="000000"/>
        </w:rPr>
        <w:t xml:space="preserve">个场景横向误差下降，47</w:t>
      </w:r>
      <w:r>
        <w:rPr>
          <w:rFonts w:ascii="Times New Roman" w:hAnsi="Times New Roman" w:eastAsia="宋体"/>
          <w:color w:val="000000"/>
        </w:rPr>
        <w:t xml:space="preserve"> </w:t>
      </w:r>
      <w:r>
        <w:rPr>
          <w:rFonts w:hint="eastAsia" w:ascii="Times New Roman" w:hAnsi="Times New Roman" w:eastAsia="宋体"/>
          <w:color w:val="000000"/>
        </w:rPr>
        <w:t xml:space="preserve">个场景航向误差下降；横向误差变化平均值为</w:t>
      </w:r>
      <w:r>
        <w:rPr>
          <w:rFonts w:ascii="Times New Roman" w:hAnsi="Times New Roman" w:eastAsia="宋体"/>
          <w:color w:val="000000"/>
        </w:rPr>
        <w:t xml:space="preserve"> </w:t>
      </w:r>
      <w:r>
        <w:rPr>
          <w:rFonts w:hint="eastAsia" w:ascii="Times New Roman" w:hAnsi="Times New Roman" w:eastAsia="宋体"/>
          <w:color w:val="000000"/>
        </w:rPr>
        <w:t xml:space="preserve">-29.32%，航向误差变化平均值为</w:t>
      </w:r>
      <w:r>
        <w:rPr>
          <w:rFonts w:ascii="Times New Roman" w:hAnsi="Times New Roman" w:eastAsia="宋体"/>
          <w:color w:val="000000"/>
        </w:rPr>
        <w:t xml:space="preserve"> </w:t>
      </w:r>
      <w:r>
        <w:rPr>
          <w:rFonts w:hint="eastAsia" w:ascii="Times New Roman" w:hAnsi="Times New Roman" w:eastAsia="宋体"/>
          <w:color w:val="000000"/>
        </w:rPr>
        <w:t xml:space="preserve">-24.87%。该实施例说明，通过训练中暴露车辆物理参数不确定性，控制器参数不是只适配单一名义车辆。</w:t>
      </w:r>
    </w:p>
    <w:bookmarkEnd w:id="64"/>
    <w:bookmarkStart w:id="65" w:name="实施例三叠加反馈噪声和指令抖动的鲁棒整定"/>
    <w:p>
      <w:pPr>
        <w:pStyle w:val="Heading3"/>
      </w:pPr>
      <w:r>
        <w:rPr>
          <w:rFonts w:ascii="Times New Roman" w:hAnsi="Times New Roman" w:eastAsia="黑体"/>
          <w:b/>
          <w:i w:val="0"/>
          <w:color w:val="000000"/>
        </w:rPr>
        <w:t xml:space="preserve">6.3 </w:t>
      </w:r>
      <w:r>
        <w:rPr>
          <w:rFonts w:hint="eastAsia" w:ascii="Times New Roman" w:hAnsi="Times New Roman" w:eastAsia="黑体"/>
          <w:b/>
          <w:i w:val="0"/>
          <w:color w:val="000000"/>
        </w:rPr>
        <w:t xml:space="preserve">实施例三：叠加反馈噪声和指令抖动的鲁棒整定</w:t>
      </w:r>
    </w:p>
    <w:p>
      <w:pPr>
        <w:pStyle w:val="FirstParagraph"/>
        <w:spacing w:line="324" w:lineRule="auto" w:after="120"/>
      </w:pPr>
      <w:r>
        <w:rPr>
          <w:rFonts w:hint="eastAsia" w:ascii="Times New Roman" w:hAnsi="Times New Roman" w:eastAsia="宋体"/>
          <w:color w:val="000000"/>
        </w:rPr>
        <w:t xml:space="preserve">在另一个实施例中，车辆参数域随机化与反馈噪声、指令抖动同时启用。反馈噪声作用在位置、航向、速度和横摆角速度等控制器输入上，指令抖动作用在转向和扭矩执行指令上。</w:t>
      </w:r>
    </w:p>
    <w:p>
      <w:pPr>
        <w:pStyle w:val="BodyText"/>
        <w:spacing w:line="324" w:lineRule="auto" w:after="120"/>
      </w:pPr>
      <w:r>
        <w:rPr>
          <w:rFonts w:hint="eastAsia" w:ascii="Times New Roman" w:hAnsi="Times New Roman" w:eastAsia="宋体"/>
          <w:color w:val="000000"/>
        </w:rPr>
        <w:t xml:space="preserve">训练结果显示，综合损失从</w:t>
      </w:r>
      <w:r>
        <w:rPr>
          <w:rFonts w:ascii="Times New Roman" w:hAnsi="Times New Roman" w:eastAsia="宋体"/>
          <w:color w:val="000000"/>
        </w:rPr>
        <w:t xml:space="preserve"> 4.6378 </w:t>
      </w:r>
      <w:r>
        <w:rPr>
          <w:rFonts w:hint="eastAsia" w:ascii="Times New Roman" w:hAnsi="Times New Roman" w:eastAsia="宋体"/>
          <w:color w:val="000000"/>
        </w:rPr>
        <w:t xml:space="preserve">下降到</w:t>
      </w:r>
      <w:r>
        <w:rPr>
          <w:rFonts w:ascii="Times New Roman" w:hAnsi="Times New Roman" w:eastAsia="宋体"/>
          <w:color w:val="000000"/>
        </w:rPr>
        <w:t xml:space="preserve"> </w:t>
      </w:r>
      <w:r>
        <w:rPr>
          <w:rFonts w:hint="eastAsia" w:ascii="Times New Roman" w:hAnsi="Times New Roman" w:eastAsia="宋体"/>
          <w:color w:val="000000"/>
        </w:rPr>
        <w:t xml:space="preserve">3.5931，下降约</w:t>
      </w:r>
      <w:r>
        <w:rPr>
          <w:rFonts w:ascii="Times New Roman" w:hAnsi="Times New Roman" w:eastAsia="宋体"/>
          <w:color w:val="000000"/>
        </w:rPr>
        <w:t xml:space="preserve"> </w:t>
      </w:r>
      <w:r>
        <w:rPr>
          <w:rFonts w:hint="eastAsia" w:ascii="Times New Roman" w:hAnsi="Times New Roman" w:eastAsia="宋体"/>
          <w:color w:val="000000"/>
        </w:rPr>
        <w:t xml:space="preserve">22.53%。硬逻辑验证路径中，49</w:t>
      </w:r>
      <w:r>
        <w:rPr>
          <w:rFonts w:ascii="Times New Roman" w:hAnsi="Times New Roman" w:eastAsia="宋体"/>
          <w:color w:val="000000"/>
        </w:rPr>
        <w:t xml:space="preserve"> </w:t>
      </w:r>
      <w:r>
        <w:rPr>
          <w:rFonts w:hint="eastAsia" w:ascii="Times New Roman" w:hAnsi="Times New Roman" w:eastAsia="宋体"/>
          <w:color w:val="000000"/>
        </w:rPr>
        <w:t xml:space="preserve">个场景里有</w:t>
      </w:r>
      <w:r>
        <w:rPr>
          <w:rFonts w:ascii="Times New Roman" w:hAnsi="Times New Roman" w:eastAsia="宋体"/>
          <w:color w:val="000000"/>
        </w:rPr>
        <w:t xml:space="preserve"> 43 </w:t>
      </w:r>
      <w:r>
        <w:rPr>
          <w:rFonts w:hint="eastAsia" w:ascii="Times New Roman" w:hAnsi="Times New Roman" w:eastAsia="宋体"/>
          <w:color w:val="000000"/>
        </w:rPr>
        <w:t xml:space="preserve">个场景横向误差下降，33</w:t>
      </w:r>
      <w:r>
        <w:rPr>
          <w:rFonts w:ascii="Times New Roman" w:hAnsi="Times New Roman" w:eastAsia="宋体"/>
          <w:color w:val="000000"/>
        </w:rPr>
        <w:t xml:space="preserve"> </w:t>
      </w:r>
      <w:r>
        <w:rPr>
          <w:rFonts w:hint="eastAsia" w:ascii="Times New Roman" w:hAnsi="Times New Roman" w:eastAsia="宋体"/>
          <w:color w:val="000000"/>
        </w:rPr>
        <w:t xml:space="preserve">个场景航向误差下降；横向误差变化平均值为</w:t>
      </w:r>
      <w:r>
        <w:rPr>
          <w:rFonts w:ascii="Times New Roman" w:hAnsi="Times New Roman" w:eastAsia="宋体"/>
          <w:color w:val="000000"/>
        </w:rPr>
        <w:t xml:space="preserve"> </w:t>
      </w:r>
      <w:r>
        <w:rPr>
          <w:rFonts w:hint="eastAsia" w:ascii="Times New Roman" w:hAnsi="Times New Roman" w:eastAsia="宋体"/>
          <w:color w:val="000000"/>
        </w:rPr>
        <w:t xml:space="preserve">-17.61%。该结果说明，本发明能够把外部扰动纳入训练环境，同时仍通过无扰动硬逻辑路径评估整定效果。</w:t>
      </w:r>
    </w:p>
    <w:bookmarkEnd w:id="65"/>
    <w:bookmarkStart w:id="66" w:name="可实施性说明"/>
    <w:p>
      <w:pPr>
        <w:pStyle w:val="Heading3"/>
      </w:pPr>
      <w:r>
        <w:rPr>
          <w:rFonts w:ascii="Times New Roman" w:hAnsi="Times New Roman" w:eastAsia="黑体"/>
          <w:b/>
          <w:i w:val="0"/>
          <w:color w:val="000000"/>
        </w:rPr>
        <w:t xml:space="preserve">6.4 </w:t>
      </w:r>
      <w:r>
        <w:rPr>
          <w:rFonts w:hint="eastAsia" w:ascii="Times New Roman" w:hAnsi="Times New Roman" w:eastAsia="黑体"/>
          <w:b/>
          <w:i w:val="0"/>
          <w:color w:val="000000"/>
        </w:rPr>
        <w:t xml:space="preserve">可实施性说明</w:t>
      </w:r>
    </w:p>
    <w:p>
      <w:pPr>
        <w:pStyle w:val="FirstParagraph"/>
        <w:spacing w:line="324" w:lineRule="auto" w:after="120"/>
      </w:pPr>
      <w:r>
        <w:rPr>
          <w:rFonts w:hint="eastAsia" w:ascii="Times New Roman" w:hAnsi="Times New Roman" w:eastAsia="宋体"/>
          <w:color w:val="000000"/>
        </w:rPr>
        <w:t xml:space="preserve">上述实施例可以采用通用计算设备、仿真服务器或车端开发环境实施。实施时，将车辆横向控制逻辑、纵向控制逻辑、车辆动力学模型、训练场景库、参数边界表和验证场景库配置在同一整定系统中；训练完成后，系统输出与原控制器参数格式一致或可转换为原参数格式的整定配置。</w:t>
      </w:r>
    </w:p>
    <w:p>
      <w:pPr>
        <w:pStyle w:val="BodyText"/>
        <w:spacing w:line="324" w:lineRule="auto" w:after="120"/>
      </w:pPr>
      <w:r>
        <w:rPr>
          <w:rFonts w:hint="eastAsia" w:ascii="Times New Roman" w:hAnsi="Times New Roman" w:eastAsia="宋体"/>
          <w:color w:val="000000"/>
        </w:rPr>
        <w:t xml:space="preserve">在一个可选实施方式中，系统保存每轮训练的参数变化、损失变化、代表场景跟踪曲线、硬逻辑复验统计和配置导出日志。上述材料用于说明参数整定过程、复验结果和部署前差异，不限定本发明的具体软件目录、编程语言、配置文件名称或图表样式。</w:t>
      </w:r>
    </w:p>
    <w:bookmarkEnd w:id="66"/>
    <w:bookmarkEnd w:id="67"/>
    <w:bookmarkEnd w:id="68"/>
    <w:sectPr>
      <w:footnotePr>
        <w:numRestart w:val="eachSect"/>
      </w:footnotePr>
      <w:pgSz w:w="11906" w:h="16838"/>
      <w:pgMar w:top="1440" w:bottom="1440" w:left="1587" w:right="1587" w:header="850" w:footer="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24" w:lineRule="auto" w:after="120"/>
    </w:pPr>
    <w:rPr>
      <w:rFonts w:ascii="Times New Roman" w:hAnsi="Times New Roman" w:eastAsia="宋体"/>
      <w:color w:val="000000"/>
      <w:sz w:val="23"/>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line="288" w:lineRule="auto"/>
      <w:outlineLvl w:val="0"/>
    </w:pPr>
    <w:rPr>
      <w:rFonts w:asciiTheme="majorHAnsi" w:cstheme="majorBidi" w:eastAsiaTheme="majorEastAsia" w:hAnsiTheme="majorHAnsi" w:ascii="Times New Roman" w:hAnsi="Times New Roman" w:eastAsia="黑体"/>
      <w:b/>
      <w:color w:val="000000"/>
      <w:sz w:val="30"/>
      <w:szCs w:val="40"/>
    </w:rPr>
  </w:style>
  <w:style w:styleId="Heading2" w:type="paragraph">
    <w:name w:val="heading 2"/>
    <w:basedOn w:val="Normal"/>
    <w:next w:val="BodyText"/>
    <w:link w:val="Heading2Char"/>
    <w:uiPriority w:val="9"/>
    <w:semiHidden/>
    <w:unhideWhenUsed/>
    <w:qFormat/>
    <w:rsid w:val="00A10FD9"/>
    <w:pPr>
      <w:keepNext/>
      <w:keepLines/>
      <w:spacing w:after="100" w:before="200" w:line="288" w:lineRule="auto"/>
      <w:outlineLvl w:val="1"/>
    </w:pPr>
    <w:rPr>
      <w:rFonts w:asciiTheme="majorHAnsi" w:cstheme="majorBidi" w:eastAsiaTheme="majorEastAsia" w:hAnsiTheme="majorHAnsi" w:ascii="Times New Roman" w:hAnsi="Times New Roman" w:eastAsia="黑体"/>
      <w:b/>
      <w:color w:val="000000"/>
      <w:sz w:val="27"/>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288" w:lineRule="auto"/>
      <w:outlineLvl w:val="2"/>
    </w:pPr>
    <w:rPr>
      <w:rFonts w:cstheme="majorBidi" w:eastAsiaTheme="majorEastAsia" w:ascii="Times New Roman" w:hAnsi="Times New Roman" w:eastAsia="黑体"/>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60" w:before="120" w:line="288" w:lineRule="auto"/>
      <w:outlineLvl w:val="3"/>
    </w:pPr>
    <w:rPr>
      <w:rFonts w:cstheme="majorBidi" w:eastAsiaTheme="majorEastAsia" w:ascii="Times New Roman" w:hAnsi="Times New Roman" w:eastAsia="黑体"/>
      <w:b/>
      <w:i/>
      <w:iCs/>
      <w:color w:val="000000"/>
      <w:sz w:val="23"/>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F4761"/>
    </w:rPr>
  </w:style>
  <w:style w:customStyle="1" w:styleId="Heading5Char" w:type="character">
    <w:name w:val="Heading 5 Char"/>
    <w:basedOn w:val="DefaultParagraphFont"/>
    <w:link w:val="Heading5"/>
    <w:uiPriority w:val="9"/>
    <w:semiHidden/>
    <w:rsid w:val="00A10FD9"/>
    <w:rPr>
      <w:rFonts w:cstheme="majorBidi" w:eastAsiaTheme="majorEastAsia"/>
      <w:color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val="595959"/>
    </w:rPr>
  </w:style>
  <w:style w:customStyle="1" w:styleId="Heading7Char" w:type="character">
    <w:name w:val="Heading 7 Char"/>
    <w:basedOn w:val="DefaultParagraphFont"/>
    <w:link w:val="Heading7"/>
    <w:uiPriority w:val="9"/>
    <w:semiHidden/>
    <w:rsid w:val="00A10FD9"/>
    <w:rPr>
      <w:rFonts w:cstheme="majorBidi" w:eastAsiaTheme="majorEastAsia"/>
      <w:color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val="272727"/>
    </w:rPr>
  </w:style>
  <w:style w:customStyle="1" w:styleId="Heading9Char" w:type="character">
    <w:name w:val="Heading 9 Char"/>
    <w:basedOn w:val="DefaultParagraphFont"/>
    <w:link w:val="Heading9"/>
    <w:uiPriority w:val="9"/>
    <w:semiHidden/>
    <w:rsid w:val="00A10FD9"/>
    <w:rPr>
      <w:rFonts w:cstheme="majorBidi" w:eastAsiaTheme="majorEastAsia"/>
      <w:color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0" Type="http://schemas.openxmlformats.org/officeDocument/2006/relationships/image" Target="media/rId30.png"/><Relationship Id="rId35" Type="http://schemas.openxmlformats.org/officeDocument/2006/relationships/image" Target="media/rId35.png"/><Relationship Id="rId48" Type="http://schemas.openxmlformats.org/officeDocument/2006/relationships/image" Target="media/rId48.png"/><Relationship Id="rId51" Type="http://schemas.openxmlformats.org/officeDocument/2006/relationships/image" Target="media/rId51.png"/><Relationship Id="rId54" Type="http://schemas.openxmlformats.org/officeDocument/2006/relationships/image" Target="media/rId54.png"/><Relationship Id="rId57" Type="http://schemas.openxmlformats.org/officeDocument/2006/relationships/image" Target="media/rId57.png"/><Relationship Id="rId60" Type="http://schemas.openxmlformats.org/officeDocument/2006/relationships/image" Target="media/rId60.png"/><Relationship Id="rId16" Type="http://schemas.openxmlformats.org/officeDocument/2006/relationships/hyperlink" Target="http://epub.cnipa.gov.cn/patent/CN112039742A" TargetMode="External"/><Relationship Id="rId11" Type="http://schemas.openxmlformats.org/officeDocument/2006/relationships/hyperlink" Target="http://epub.cnipa.gov.cn/patent/CN118062031A" TargetMode="External"/><Relationship Id="rId13" Type="http://schemas.openxmlformats.org/officeDocument/2006/relationships/hyperlink" Target="http://epub.cnipa.gov.cn/patent/CN118560523A" TargetMode="External"/><Relationship Id="rId10" Type="http://schemas.openxmlformats.org/officeDocument/2006/relationships/hyperlink" Target="http://epub.cnipa.gov.cn/patent/CN119270808A" TargetMode="External"/><Relationship Id="rId9" Type="http://schemas.openxmlformats.org/officeDocument/2006/relationships/hyperlink" Target="http://epub.cnipa.gov.cn/patent/CN119734760A" TargetMode="External"/><Relationship Id="rId14" Type="http://schemas.openxmlformats.org/officeDocument/2006/relationships/hyperlink" Target="http://epub.cnipa.gov.cn/patent/CN120308157A" TargetMode="External"/><Relationship Id="rId12" Type="http://schemas.openxmlformats.org/officeDocument/2006/relationships/hyperlink" Target="http://epub.cnipa.gov.cn/patent/CN120517441A" TargetMode="External"/><Relationship Id="rId18" Type="http://schemas.openxmlformats.org/officeDocument/2006/relationships/hyperlink" Target="http://epub.cnipa.gov.cn/patent/CN121455178A" TargetMode="External"/><Relationship Id="rId17" Type="http://schemas.openxmlformats.org/officeDocument/2006/relationships/hyperlink" Target="http://epub.cnipa.gov.cn/patent/CN122018327A" TargetMode="External"/><Relationship Id="rId15" Type="http://schemas.openxmlformats.org/officeDocument/2006/relationships/hyperlink" Target="http://epub.cnipa.gov.cn/patent/CN122323981A" TargetMode="External"/><Relationship Id="rId24" Type="http://schemas.openxmlformats.org/officeDocument/2006/relationships/hyperlink" Target="https://arxiv.org/abs/2209.10021" TargetMode="External"/><Relationship Id="rId22" Type="http://schemas.openxmlformats.org/officeDocument/2006/relationships/hyperlink" Target="https://patents.google.com/patent/CN115907250A/en" TargetMode="External"/><Relationship Id="rId20" Type="http://schemas.openxmlformats.org/officeDocument/2006/relationships/hyperlink" Target="https://patents.google.com/patent/US11731648B2/en" TargetMode="External"/><Relationship Id="rId23" Type="http://schemas.openxmlformats.org/officeDocument/2006/relationships/hyperlink" Target="https://patents.google.com/patent/US12007778B2/en" TargetMode="External"/><Relationship Id="rId19" Type="http://schemas.openxmlformats.org/officeDocument/2006/relationships/hyperlink" Target="https://patents.google.com/patent/US20220171353A1/en" TargetMode="External"/><Relationship Id="rId21" Type="http://schemas.openxmlformats.org/officeDocument/2006/relationships/hyperlink" Target="https://patents.google.com/patent/US20230159047A1/en" TargetMode="External"/></Relationships>
</file>

<file path=word/_rels/footnotes.xml.rels><?xml version='1.0' encoding='UTF-8' standalone='yes'?>
<Relationships xmlns="http://schemas.openxmlformats.org/package/2006/relationships"><Relationship Id="rId16" Type="http://schemas.openxmlformats.org/officeDocument/2006/relationships/hyperlink" Target="http://epub.cnipa.gov.cn/patent/CN112039742A" TargetMode="External"/><Relationship Id="rId11" Type="http://schemas.openxmlformats.org/officeDocument/2006/relationships/hyperlink" Target="http://epub.cnipa.gov.cn/patent/CN118062031A" TargetMode="External"/><Relationship Id="rId13" Type="http://schemas.openxmlformats.org/officeDocument/2006/relationships/hyperlink" Target="http://epub.cnipa.gov.cn/patent/CN118560523A" TargetMode="External"/><Relationship Id="rId10" Type="http://schemas.openxmlformats.org/officeDocument/2006/relationships/hyperlink" Target="http://epub.cnipa.gov.cn/patent/CN119270808A" TargetMode="External"/><Relationship Id="rId9" Type="http://schemas.openxmlformats.org/officeDocument/2006/relationships/hyperlink" Target="http://epub.cnipa.gov.cn/patent/CN119734760A" TargetMode="External"/><Relationship Id="rId14" Type="http://schemas.openxmlformats.org/officeDocument/2006/relationships/hyperlink" Target="http://epub.cnipa.gov.cn/patent/CN120308157A" TargetMode="External"/><Relationship Id="rId12" Type="http://schemas.openxmlformats.org/officeDocument/2006/relationships/hyperlink" Target="http://epub.cnipa.gov.cn/patent/CN120517441A" TargetMode="External"/><Relationship Id="rId18" Type="http://schemas.openxmlformats.org/officeDocument/2006/relationships/hyperlink" Target="http://epub.cnipa.gov.cn/patent/CN121455178A" TargetMode="External"/><Relationship Id="rId17" Type="http://schemas.openxmlformats.org/officeDocument/2006/relationships/hyperlink" Target="http://epub.cnipa.gov.cn/patent/CN122018327A" TargetMode="External"/><Relationship Id="rId15" Type="http://schemas.openxmlformats.org/officeDocument/2006/relationships/hyperlink" Target="http://epub.cnipa.gov.cn/patent/CN122323981A" TargetMode="External"/><Relationship Id="rId24" Type="http://schemas.openxmlformats.org/officeDocument/2006/relationships/hyperlink" Target="https://arxiv.org/abs/2209.10021" TargetMode="External"/><Relationship Id="rId22" Type="http://schemas.openxmlformats.org/officeDocument/2006/relationships/hyperlink" Target="https://patents.google.com/patent/CN115907250A/en" TargetMode="External"/><Relationship Id="rId20" Type="http://schemas.openxmlformats.org/officeDocument/2006/relationships/hyperlink" Target="https://patents.google.com/patent/US11731648B2/en" TargetMode="External"/><Relationship Id="rId23" Type="http://schemas.openxmlformats.org/officeDocument/2006/relationships/hyperlink" Target="https://patents.google.com/patent/US12007778B2/en" TargetMode="External"/><Relationship Id="rId19" Type="http://schemas.openxmlformats.org/officeDocument/2006/relationships/hyperlink" Target="https://patents.google.com/patent/US20220171353A1/en" TargetMode="External"/><Relationship Id="rId21" Type="http://schemas.openxmlformats.org/officeDocument/2006/relationships/hyperlink" Target="https://patents.google.com/patent/US20230159047A1/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一种基于车辆动力学可微闭环仿真的车辆横纵向控制器参数自动整定方法</dc:title>
  <dc:creator/>
  <cp:keywords/>
  <dcterms:created xsi:type="dcterms:W3CDTF">2026-07-09T11:27:06Z</dcterms:created>
  <dcterms:modified xsi:type="dcterms:W3CDTF">2026-07-09T11:27:06Z</dcterms:modified>
</cp:coreProperties>
</file>

<file path=docProps/custom.xml><?xml version="1.0" encoding="utf-8"?>
<Properties xmlns="http://schemas.openxmlformats.org/officeDocument/2006/custom-properties" xmlns:vt="http://schemas.openxmlformats.org/officeDocument/2006/docPropsVTypes"/>
</file>