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8027552" w14:textId="77777777" w:rsidR="001755CC" w:rsidRPr="0033443B" w:rsidRDefault="001755CC" w:rsidP="001755CC">
      <w:pPr>
        <w:spacing w:line="460" w:lineRule="exact"/>
        <w:ind w:firstLineChars="800" w:firstLine="2891"/>
        <w:rPr>
          <w:rFonts w:ascii="Times New Roman" w:eastAsia="宋体" w:hAnsi="Times New Roman" w:cs="Times New Roman"/>
          <w:b/>
          <w:bCs/>
          <w:sz w:val="36"/>
          <w:szCs w:val="30"/>
        </w:rPr>
      </w:pPr>
      <w:r w:rsidRPr="0033443B">
        <w:rPr>
          <w:rFonts w:ascii="Times New Roman" w:eastAsia="宋体" w:hAnsi="Times New Roman" w:cs="Times New Roman"/>
          <w:b/>
          <w:bCs/>
          <w:sz w:val="36"/>
          <w:szCs w:val="30"/>
        </w:rPr>
        <w:t>专利技术交底书</w:t>
      </w:r>
    </w:p>
    <w:p w14:paraId="515B908C" w14:textId="77777777" w:rsidR="00436BE4" w:rsidRDefault="00071E44">
      <w:pPr>
        <w:pBdr>
          <w:bottom w:val="single" w:sz="18" w:space="1" w:color="000000"/>
        </w:pBdr>
        <w:spacing w:after="360" w:line="260" w:lineRule="exact"/>
        <w:rPr>
          <w:rFonts w:hint="eastAsia"/>
        </w:rPr>
      </w:pPr>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94"/>
        <w:gridCol w:w="1665"/>
        <w:gridCol w:w="2000"/>
        <w:gridCol w:w="2475"/>
      </w:tblGrid>
      <w:tr w:rsidR="001755CC" w:rsidRPr="0033443B" w14:paraId="77A1063F" w14:textId="77777777" w:rsidTr="003C6B7E">
        <w:trPr>
          <w:trHeight w:val="395"/>
          <w:jc w:val="center"/>
        </w:trPr>
        <w:tc>
          <w:tcPr>
            <w:tcW w:w="2549" w:type="dxa"/>
            <w:gridSpan w:val="2"/>
            <w:vAlign w:val="center"/>
          </w:tcPr>
          <w:p w14:paraId="40C528D2" w14:textId="77777777" w:rsidR="001755CC" w:rsidRPr="0033443B" w:rsidRDefault="001755CC" w:rsidP="003C6B7E">
            <w:pPr>
              <w:jc w:val="left"/>
              <w:rPr>
                <w:rFonts w:ascii="Times New Roman" w:eastAsia="宋体" w:hAnsi="Times New Roman" w:cs="Times New Roman"/>
                <w:szCs w:val="21"/>
              </w:rPr>
            </w:pPr>
            <w:r w:rsidRPr="0033443B">
              <w:rPr>
                <w:rFonts w:ascii="Times New Roman" w:eastAsia="宋体" w:hAnsi="Times New Roman" w:cs="Times New Roman"/>
                <w:szCs w:val="21"/>
              </w:rPr>
              <w:t>第一发明人（</w:t>
            </w:r>
            <w:r w:rsidRPr="0033443B">
              <w:rPr>
                <w:rFonts w:ascii="Times New Roman" w:eastAsia="宋体" w:hAnsi="Times New Roman" w:cs="Times New Roman"/>
                <w:sz w:val="18"/>
                <w:szCs w:val="18"/>
              </w:rPr>
              <w:t>必填</w:t>
            </w:r>
            <w:r w:rsidRPr="0033443B">
              <w:rPr>
                <w:rFonts w:ascii="Times New Roman" w:eastAsia="宋体" w:hAnsi="Times New Roman" w:cs="Times New Roman"/>
                <w:szCs w:val="21"/>
              </w:rPr>
              <w:t>）</w:t>
            </w:r>
          </w:p>
        </w:tc>
        <w:tc>
          <w:tcPr>
            <w:tcW w:w="1665" w:type="dxa"/>
            <w:vAlign w:val="center"/>
          </w:tcPr>
          <w:p w14:paraId="66BBD196" w14:textId="77777777" w:rsidR="001755CC" w:rsidRPr="0033443B" w:rsidRDefault="001755CC" w:rsidP="003C6B7E">
            <w:pPr>
              <w:jc w:val="center"/>
              <w:rPr>
                <w:rFonts w:ascii="Times New Roman" w:eastAsia="宋体" w:hAnsi="Times New Roman" w:cs="Times New Roman"/>
              </w:rPr>
            </w:pPr>
          </w:p>
        </w:tc>
        <w:tc>
          <w:tcPr>
            <w:tcW w:w="4475" w:type="dxa"/>
            <w:gridSpan w:val="2"/>
            <w:vAlign w:val="center"/>
          </w:tcPr>
          <w:p w14:paraId="4E644467" w14:textId="77777777" w:rsidR="001755CC" w:rsidRPr="0033443B" w:rsidRDefault="001755CC" w:rsidP="003C6B7E">
            <w:pPr>
              <w:jc w:val="center"/>
              <w:rPr>
                <w:rFonts w:ascii="Times New Roman" w:eastAsia="宋体" w:hAnsi="Times New Roman" w:cs="Times New Roman"/>
                <w:b/>
                <w:bCs/>
              </w:rPr>
            </w:pPr>
            <w:bookmarkStart w:id="0" w:name="复选框型7"/>
            <w:bookmarkStart w:id="1" w:name="CheckBox2"/>
            <w:bookmarkEnd w:id="0"/>
            <w:bookmarkEnd w:id="1"/>
            <w:r>
              <w:t>☐  校招  /  ☐  社招  （必选）</w:t>
            </w:r>
          </w:p>
        </w:tc>
      </w:tr>
      <w:tr w:rsidR="001755CC" w:rsidRPr="0033443B" w14:paraId="535F1609" w14:textId="77777777" w:rsidTr="003C6B7E">
        <w:trPr>
          <w:trHeight w:val="458"/>
          <w:jc w:val="center"/>
        </w:trPr>
        <w:tc>
          <w:tcPr>
            <w:tcW w:w="2549" w:type="dxa"/>
            <w:gridSpan w:val="2"/>
            <w:vAlign w:val="center"/>
          </w:tcPr>
          <w:p w14:paraId="77798F20"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其他发明人（</w:t>
            </w:r>
            <w:r w:rsidRPr="0033443B">
              <w:rPr>
                <w:rFonts w:ascii="Times New Roman" w:eastAsia="宋体" w:hAnsi="Times New Roman" w:cs="Times New Roman"/>
                <w:sz w:val="18"/>
                <w:szCs w:val="18"/>
              </w:rPr>
              <w:t>不超过</w:t>
            </w:r>
            <w:r w:rsidRPr="0033443B">
              <w:rPr>
                <w:rFonts w:ascii="Times New Roman" w:eastAsia="宋体" w:hAnsi="Times New Roman" w:cs="Times New Roman"/>
                <w:sz w:val="18"/>
                <w:szCs w:val="18"/>
              </w:rPr>
              <w:t>3</w:t>
            </w:r>
            <w:r w:rsidRPr="0033443B">
              <w:rPr>
                <w:rFonts w:ascii="Times New Roman" w:eastAsia="宋体" w:hAnsi="Times New Roman" w:cs="Times New Roman"/>
                <w:sz w:val="18"/>
                <w:szCs w:val="18"/>
              </w:rPr>
              <w:t>人</w:t>
            </w:r>
            <w:r w:rsidRPr="0033443B">
              <w:rPr>
                <w:rFonts w:ascii="Times New Roman" w:eastAsia="宋体" w:hAnsi="Times New Roman" w:cs="Times New Roman"/>
                <w:szCs w:val="21"/>
              </w:rPr>
              <w:t>）</w:t>
            </w:r>
          </w:p>
        </w:tc>
        <w:tc>
          <w:tcPr>
            <w:tcW w:w="6140" w:type="dxa"/>
            <w:gridSpan w:val="3"/>
            <w:vAlign w:val="center"/>
          </w:tcPr>
          <w:p w14:paraId="0D74C2BA" w14:textId="77777777" w:rsidR="001755CC" w:rsidRPr="0033443B" w:rsidRDefault="001755CC" w:rsidP="00184D8C">
            <w:pPr>
              <w:rPr>
                <w:rFonts w:ascii="Times New Roman" w:eastAsia="宋体" w:hAnsi="Times New Roman" w:cs="Times New Roman"/>
                <w:kern w:val="0"/>
                <w:szCs w:val="21"/>
              </w:rPr>
            </w:pPr>
          </w:p>
        </w:tc>
      </w:tr>
      <w:tr w:rsidR="001755CC" w:rsidRPr="0033443B" w14:paraId="15E3752C" w14:textId="77777777" w:rsidTr="003C6B7E">
        <w:trPr>
          <w:cantSplit/>
          <w:trHeight w:val="307"/>
          <w:jc w:val="center"/>
        </w:trPr>
        <w:tc>
          <w:tcPr>
            <w:tcW w:w="4214" w:type="dxa"/>
            <w:gridSpan w:val="3"/>
            <w:vAlign w:val="center"/>
          </w:tcPr>
          <w:p w14:paraId="01DD4784" w14:textId="77777777" w:rsidR="001755CC" w:rsidRPr="0033443B" w:rsidRDefault="001755CC" w:rsidP="003C6B7E">
            <w:pPr>
              <w:jc w:val="center"/>
              <w:rPr>
                <w:rFonts w:ascii="Times New Roman" w:eastAsia="宋体" w:hAnsi="Times New Roman" w:cs="Times New Roman"/>
              </w:rPr>
            </w:pPr>
            <w:r w:rsidRPr="0033443B">
              <w:rPr>
                <w:rFonts w:ascii="Times New Roman" w:eastAsia="宋体" w:hAnsi="Times New Roman" w:cs="Times New Roman"/>
                <w:sz w:val="18"/>
                <w:szCs w:val="18"/>
              </w:rPr>
              <w:t>（以下由交底书撰写人填写）</w:t>
            </w:r>
          </w:p>
        </w:tc>
        <w:tc>
          <w:tcPr>
            <w:tcW w:w="4475" w:type="dxa"/>
            <w:gridSpan w:val="2"/>
            <w:vAlign w:val="bottom"/>
          </w:tcPr>
          <w:p w14:paraId="210D4A2D" w14:textId="77777777" w:rsidR="001755CC" w:rsidRPr="0033443B" w:rsidRDefault="001755CC" w:rsidP="003C6B7E">
            <w:pPr>
              <w:jc w:val="center"/>
              <w:rPr>
                <w:rFonts w:ascii="Times New Roman" w:eastAsia="宋体" w:hAnsi="Times New Roman" w:cs="Times New Roman"/>
                <w:sz w:val="18"/>
                <w:szCs w:val="18"/>
              </w:rPr>
            </w:pPr>
            <w:r w:rsidRPr="0033443B">
              <w:rPr>
                <w:rFonts w:ascii="Times New Roman" w:eastAsia="宋体" w:hAnsi="Times New Roman" w:cs="Times New Roman"/>
                <w:sz w:val="18"/>
                <w:szCs w:val="18"/>
              </w:rPr>
              <w:t>（以下由知识产权部填写）</w:t>
            </w:r>
          </w:p>
        </w:tc>
      </w:tr>
      <w:tr w:rsidR="001755CC" w:rsidRPr="0033443B" w14:paraId="6B6E16FD" w14:textId="77777777" w:rsidTr="003C6B7E">
        <w:trPr>
          <w:cantSplit/>
          <w:trHeight w:val="455"/>
          <w:jc w:val="center"/>
        </w:trPr>
        <w:tc>
          <w:tcPr>
            <w:tcW w:w="1755" w:type="dxa"/>
            <w:vAlign w:val="center"/>
          </w:tcPr>
          <w:p w14:paraId="5212D4C7"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撰写人</w:t>
            </w:r>
          </w:p>
        </w:tc>
        <w:tc>
          <w:tcPr>
            <w:tcW w:w="2459" w:type="dxa"/>
            <w:gridSpan w:val="2"/>
            <w:vAlign w:val="center"/>
          </w:tcPr>
          <w:p w14:paraId="3779AE2F"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521C1D63"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专利类型</w:t>
            </w:r>
          </w:p>
        </w:tc>
        <w:tc>
          <w:tcPr>
            <w:tcW w:w="2475" w:type="dxa"/>
            <w:vAlign w:val="center"/>
          </w:tcPr>
          <w:p w14:paraId="1BA0306A" w14:textId="77777777" w:rsidR="001755CC" w:rsidRPr="0033443B" w:rsidRDefault="001755CC" w:rsidP="003C6B7E">
            <w:pPr>
              <w:jc w:val="center"/>
              <w:rPr>
                <w:rFonts w:ascii="Times New Roman" w:eastAsia="宋体" w:hAnsi="Times New Roman" w:cs="Times New Roman"/>
                <w:szCs w:val="21"/>
              </w:rPr>
            </w:pPr>
          </w:p>
        </w:tc>
      </w:tr>
      <w:tr w:rsidR="001755CC" w:rsidRPr="0033443B" w14:paraId="50249D28" w14:textId="77777777" w:rsidTr="003C6B7E">
        <w:trPr>
          <w:cantSplit/>
          <w:trHeight w:val="455"/>
          <w:jc w:val="center"/>
        </w:trPr>
        <w:tc>
          <w:tcPr>
            <w:tcW w:w="1755" w:type="dxa"/>
            <w:vAlign w:val="center"/>
          </w:tcPr>
          <w:p w14:paraId="7974E8DC"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手机</w:t>
            </w:r>
          </w:p>
        </w:tc>
        <w:tc>
          <w:tcPr>
            <w:tcW w:w="2459" w:type="dxa"/>
            <w:gridSpan w:val="2"/>
            <w:vAlign w:val="center"/>
          </w:tcPr>
          <w:p w14:paraId="151630FE"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0F623780"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知识产权负责人</w:t>
            </w:r>
          </w:p>
        </w:tc>
        <w:tc>
          <w:tcPr>
            <w:tcW w:w="2475" w:type="dxa"/>
            <w:vAlign w:val="center"/>
          </w:tcPr>
          <w:p w14:paraId="45F7D7F5" w14:textId="77777777" w:rsidR="001755CC" w:rsidRPr="0033443B" w:rsidRDefault="001755CC" w:rsidP="003C6B7E">
            <w:pPr>
              <w:jc w:val="center"/>
              <w:rPr>
                <w:rFonts w:ascii="Times New Roman" w:eastAsia="宋体" w:hAnsi="Times New Roman" w:cs="Times New Roman"/>
                <w:szCs w:val="21"/>
              </w:rPr>
            </w:pPr>
          </w:p>
        </w:tc>
      </w:tr>
      <w:tr w:rsidR="001755CC" w:rsidRPr="0033443B" w14:paraId="34067250" w14:textId="77777777" w:rsidTr="003C6B7E">
        <w:trPr>
          <w:cantSplit/>
          <w:trHeight w:val="462"/>
          <w:jc w:val="center"/>
        </w:trPr>
        <w:tc>
          <w:tcPr>
            <w:tcW w:w="1755" w:type="dxa"/>
            <w:vAlign w:val="center"/>
          </w:tcPr>
          <w:p w14:paraId="27ADE87E"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座机</w:t>
            </w:r>
          </w:p>
        </w:tc>
        <w:tc>
          <w:tcPr>
            <w:tcW w:w="2459" w:type="dxa"/>
            <w:gridSpan w:val="2"/>
            <w:vAlign w:val="center"/>
          </w:tcPr>
          <w:p w14:paraId="55BCDEE6" w14:textId="77777777" w:rsidR="001755CC" w:rsidRPr="0033443B" w:rsidRDefault="001755CC" w:rsidP="003C6B7E">
            <w:pPr>
              <w:jc w:val="center"/>
              <w:rPr>
                <w:rFonts w:ascii="Times New Roman" w:eastAsia="宋体" w:hAnsi="Times New Roman" w:cs="Times New Roman"/>
                <w:szCs w:val="21"/>
              </w:rPr>
            </w:pPr>
          </w:p>
        </w:tc>
        <w:tc>
          <w:tcPr>
            <w:tcW w:w="2000" w:type="dxa"/>
            <w:vAlign w:val="center"/>
          </w:tcPr>
          <w:p w14:paraId="49BFEF14"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联系电话</w:t>
            </w:r>
          </w:p>
        </w:tc>
        <w:tc>
          <w:tcPr>
            <w:tcW w:w="2475" w:type="dxa"/>
            <w:vAlign w:val="center"/>
          </w:tcPr>
          <w:p w14:paraId="63439DB7" w14:textId="77777777" w:rsidR="001755CC" w:rsidRPr="0033443B" w:rsidRDefault="001755CC" w:rsidP="003C6B7E">
            <w:pPr>
              <w:jc w:val="center"/>
              <w:rPr>
                <w:rFonts w:ascii="Times New Roman" w:eastAsia="宋体" w:hAnsi="Times New Roman" w:cs="Times New Roman"/>
                <w:szCs w:val="21"/>
              </w:rPr>
            </w:pPr>
          </w:p>
        </w:tc>
      </w:tr>
      <w:tr w:rsidR="001755CC" w:rsidRPr="0033443B" w14:paraId="77BBA939" w14:textId="77777777" w:rsidTr="003C6B7E">
        <w:trPr>
          <w:cantSplit/>
          <w:trHeight w:val="455"/>
          <w:jc w:val="center"/>
        </w:trPr>
        <w:tc>
          <w:tcPr>
            <w:tcW w:w="1755" w:type="dxa"/>
            <w:vAlign w:val="center"/>
          </w:tcPr>
          <w:p w14:paraId="765C3210"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59" w:type="dxa"/>
            <w:gridSpan w:val="2"/>
            <w:vAlign w:val="center"/>
          </w:tcPr>
          <w:p w14:paraId="49F98932" w14:textId="77777777" w:rsidR="001755CC" w:rsidRPr="0033443B" w:rsidRDefault="001755CC" w:rsidP="003C6B7E">
            <w:pPr>
              <w:rPr>
                <w:rFonts w:ascii="Times New Roman" w:eastAsia="宋体" w:hAnsi="Times New Roman" w:cs="Times New Roman"/>
                <w:szCs w:val="21"/>
              </w:rPr>
            </w:pPr>
          </w:p>
        </w:tc>
        <w:tc>
          <w:tcPr>
            <w:tcW w:w="2000" w:type="dxa"/>
            <w:vAlign w:val="center"/>
          </w:tcPr>
          <w:p w14:paraId="051126E6" w14:textId="77777777" w:rsidR="001755CC" w:rsidRPr="0033443B" w:rsidRDefault="001755CC" w:rsidP="003C6B7E">
            <w:pPr>
              <w:jc w:val="center"/>
              <w:rPr>
                <w:rFonts w:ascii="Times New Roman" w:eastAsia="宋体" w:hAnsi="Times New Roman" w:cs="Times New Roman"/>
                <w:szCs w:val="21"/>
              </w:rPr>
            </w:pPr>
            <w:r w:rsidRPr="0033443B">
              <w:rPr>
                <w:rFonts w:ascii="Times New Roman" w:eastAsia="宋体" w:hAnsi="Times New Roman" w:cs="Times New Roman"/>
                <w:szCs w:val="21"/>
              </w:rPr>
              <w:t>E</w:t>
            </w:r>
            <w:r w:rsidRPr="0033443B">
              <w:rPr>
                <w:rFonts w:ascii="Times New Roman" w:eastAsia="宋体" w:hAnsi="Times New Roman" w:cs="Times New Roman"/>
                <w:szCs w:val="21"/>
              </w:rPr>
              <w:t>－</w:t>
            </w:r>
            <w:r w:rsidRPr="0033443B">
              <w:rPr>
                <w:rFonts w:ascii="Times New Roman" w:eastAsia="宋体" w:hAnsi="Times New Roman" w:cs="Times New Roman"/>
                <w:szCs w:val="21"/>
              </w:rPr>
              <w:t>mail</w:t>
            </w:r>
          </w:p>
        </w:tc>
        <w:tc>
          <w:tcPr>
            <w:tcW w:w="2475" w:type="dxa"/>
            <w:vAlign w:val="center"/>
          </w:tcPr>
          <w:p w14:paraId="7E0DEFF6" w14:textId="77777777" w:rsidR="001755CC" w:rsidRPr="0033443B" w:rsidRDefault="001755CC" w:rsidP="003C6B7E">
            <w:pPr>
              <w:jc w:val="center"/>
              <w:rPr>
                <w:rFonts w:ascii="Times New Roman" w:eastAsia="宋体" w:hAnsi="Times New Roman" w:cs="Times New Roman"/>
                <w:szCs w:val="21"/>
              </w:rPr>
            </w:pPr>
          </w:p>
        </w:tc>
      </w:tr>
    </w:tbl>
    <w:p w14:paraId="7557EF75" w14:textId="77777777" w:rsidR="00436BE4" w:rsidRDefault="00071E44">
      <w:pPr>
        <w:spacing w:before="280" w:after="200" w:line="252" w:lineRule="auto"/>
        <w:jc w:val="center"/>
        <w:rPr>
          <w:rFonts w:hint="eastAsia"/>
        </w:rPr>
      </w:pPr>
      <w:r>
        <w:rPr>
          <w:rFonts w:ascii="Times New Roman" w:eastAsia="黑体" w:hAnsi="Times New Roman"/>
          <w:b/>
          <w:color w:val="000000"/>
          <w:sz w:val="28"/>
        </w:rPr>
        <w:t>一种基于车辆动力学可微闭环仿真的车辆横纵向控制器参数自动整定方法</w:t>
      </w:r>
    </w:p>
    <w:p w14:paraId="51C492DA" w14:textId="77777777" w:rsidR="009E6F54" w:rsidRDefault="009E6F54" w:rsidP="009E6F54">
      <w:pPr>
        <w:spacing w:after="120" w:line="276" w:lineRule="auto"/>
        <w:ind w:firstLine="420"/>
        <w:rPr>
          <w:rFonts w:hint="eastAsia"/>
        </w:rPr>
      </w:pPr>
      <w:bookmarkStart w:id="2" w:name="一技术背景最接近现有技术及现有技术缺点"/>
      <w:r>
        <w:rPr>
          <w:rFonts w:ascii="Times New Roman" w:eastAsia="宋体" w:hAnsi="Times New Roman" w:hint="eastAsia"/>
          <w:color w:val="000000"/>
        </w:rPr>
        <w:t>一、技术背景、最接近现有技术及现有技术缺点</w:t>
      </w:r>
    </w:p>
    <w:p w14:paraId="7D4291CE" w14:textId="77777777" w:rsidR="009E6F54" w:rsidRDefault="009E6F54" w:rsidP="009E6F54">
      <w:pPr>
        <w:spacing w:after="120" w:line="276" w:lineRule="auto"/>
        <w:ind w:firstLine="420"/>
        <w:rPr>
          <w:rFonts w:hint="eastAsia"/>
        </w:rPr>
      </w:pPr>
      <w:bookmarkStart w:id="3" w:name="现有技术"/>
      <w:r>
        <w:rPr>
          <w:rFonts w:ascii="Times New Roman" w:eastAsia="宋体" w:hAnsi="Times New Roman"/>
          <w:color w:val="000000"/>
        </w:rPr>
        <w:t xml:space="preserve">1.1 </w:t>
      </w:r>
      <w:r>
        <w:rPr>
          <w:rFonts w:ascii="Times New Roman" w:eastAsia="宋体" w:hAnsi="Times New Roman" w:hint="eastAsia"/>
          <w:color w:val="000000"/>
        </w:rPr>
        <w:t>现有技术</w:t>
      </w:r>
    </w:p>
    <w:p w14:paraId="7DE07927"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检索说明：围绕“车辆横向控制参数调节”“车辆纵向控制参数优化”“车辆横纵向控制”“车辆控制器标定”“可微物理系统”“车辆动力学神经网络模型”和“自动微分调参”等方向，对公开专利与论文进行了复核。与本案关系较近的公开材料如下。</w:t>
      </w:r>
    </w:p>
    <w:p w14:paraId="2794CDF9" w14:textId="77777777" w:rsidR="009E6F54" w:rsidRDefault="009E6F54" w:rsidP="009E6F54">
      <w:pPr>
        <w:spacing w:after="120" w:line="276" w:lineRule="auto"/>
        <w:ind w:firstLine="420"/>
        <w:rPr>
          <w:rFonts w:hint="eastAsia"/>
        </w:rPr>
      </w:pPr>
      <w:bookmarkStart w:id="4" w:name="车辆横向控制参数在线调节"/>
      <w:r>
        <w:rPr>
          <w:rFonts w:ascii="Times New Roman" w:eastAsia="宋体" w:hAnsi="Times New Roman"/>
          <w:color w:val="000000"/>
        </w:rPr>
        <w:t xml:space="preserve">1.1.1 </w:t>
      </w:r>
      <w:r>
        <w:rPr>
          <w:rFonts w:ascii="Times New Roman" w:eastAsia="宋体" w:hAnsi="Times New Roman" w:hint="eastAsia"/>
          <w:color w:val="000000"/>
        </w:rPr>
        <w:t>车辆横向控制参数在线调节</w:t>
      </w:r>
    </w:p>
    <w:p w14:paraId="12AE863A"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CN119734760A</w:t>
      </w:r>
      <w:r>
        <w:rPr>
          <w:rFonts w:ascii="Times New Roman" w:eastAsia="宋体" w:hAnsi="Times New Roman" w:hint="eastAsia"/>
          <w:color w:val="000000"/>
        </w:rPr>
        <w:t>，一种车辆横向控制参数调节方法及系统。</w:t>
      </w:r>
    </w:p>
    <w:p w14:paraId="4C601E76"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该方案根据目标位置点与实际位置之间的偏差，结合车辆动态状态和道路曲率等信息，计算前馈补偿与</w:t>
      </w:r>
      <w:r>
        <w:rPr>
          <w:rFonts w:ascii="Times New Roman" w:eastAsia="宋体" w:hAnsi="Times New Roman"/>
          <w:color w:val="000000"/>
        </w:rPr>
        <w:t xml:space="preserve"> LQR </w:t>
      </w:r>
      <w:r>
        <w:rPr>
          <w:rFonts w:ascii="Times New Roman" w:eastAsia="宋体" w:hAnsi="Times New Roman" w:hint="eastAsia"/>
          <w:color w:val="000000"/>
        </w:rPr>
        <w:t>调整量，并对方向盘转角进行约束。</w:t>
      </w:r>
    </w:p>
    <w:p w14:paraId="1E7D61F9"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该方案面向车辆运行过程中的横向控制量调整，未公开把既有横向、纵向工程控制器的标定参数作为待优化变量，也未公开在多轨迹、多速度车辆动力学闭环中通过时间反向传播和参数投影自动生成可部署参数。</w:t>
      </w:r>
    </w:p>
    <w:p w14:paraId="4B243D69" w14:textId="72EB0310"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8">
        <w:r>
          <w:rPr>
            <w:color w:val="000000"/>
            <w:u w:val="single"/>
          </w:rPr>
          <w:t>https://patents.google.com/patent/CN119734760A/zh</w:t>
        </w:r>
      </w:hyperlink>
    </w:p>
    <w:p w14:paraId="4854C893" w14:textId="77777777" w:rsidR="009E6F54" w:rsidRDefault="009E6F54" w:rsidP="009E6F54">
      <w:pPr>
        <w:spacing w:after="120" w:line="276" w:lineRule="auto"/>
        <w:ind w:firstLine="420"/>
        <w:rPr>
          <w:rFonts w:hint="eastAsia"/>
        </w:rPr>
      </w:pPr>
      <w:bookmarkStart w:id="5" w:name="横向标定参数的动态选择"/>
      <w:bookmarkEnd w:id="4"/>
      <w:r>
        <w:rPr>
          <w:rFonts w:ascii="Times New Roman" w:eastAsia="宋体" w:hAnsi="Times New Roman"/>
          <w:color w:val="000000"/>
        </w:rPr>
        <w:t xml:space="preserve">1.1.2 </w:t>
      </w:r>
      <w:r>
        <w:rPr>
          <w:rFonts w:ascii="Times New Roman" w:eastAsia="宋体" w:hAnsi="Times New Roman" w:hint="eastAsia"/>
          <w:color w:val="000000"/>
        </w:rPr>
        <w:t>横向标定参数的动态选择</w:t>
      </w:r>
    </w:p>
    <w:p w14:paraId="779F8AA9"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US11731648B2</w:t>
      </w:r>
      <w:r>
        <w:rPr>
          <w:rFonts w:ascii="Times New Roman" w:eastAsia="宋体" w:hAnsi="Times New Roman" w:hint="eastAsia"/>
          <w:color w:val="000000"/>
        </w:rPr>
        <w:t>，</w:t>
      </w:r>
      <w:r>
        <w:rPr>
          <w:rFonts w:ascii="Times New Roman" w:eastAsia="宋体" w:hAnsi="Times New Roman" w:hint="eastAsia"/>
          <w:color w:val="000000"/>
        </w:rPr>
        <w:t>Vehicle</w:t>
      </w:r>
      <w:r>
        <w:rPr>
          <w:rFonts w:ascii="Times New Roman" w:eastAsia="宋体" w:hAnsi="Times New Roman"/>
          <w:color w:val="000000"/>
        </w:rPr>
        <w:t xml:space="preserve"> lateral-control system with dynamically adjustable calibrations</w:t>
      </w:r>
      <w:r>
        <w:rPr>
          <w:rFonts w:ascii="Times New Roman" w:eastAsia="宋体" w:hAnsi="Times New Roman"/>
          <w:color w:val="000000"/>
        </w:rPr>
        <w:t>。</w:t>
      </w:r>
    </w:p>
    <w:p w14:paraId="3E977EBD"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该方案根据天气、道路图像和车辆状态等信息选择或调整车辆横向控制特征的标定值，使横向控制适应不同运行条件。</w:t>
      </w:r>
    </w:p>
    <w:p w14:paraId="54E5F08D"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该方案侧重依据环境和车辆状态选择横向标定，未公开以车辆动力学闭环综合损失为目标，同时整定横向参数表节点和纵向控制参数，也未公开训练路径与硬逻辑验证路径共享参数的双模式结构。</w:t>
      </w:r>
    </w:p>
    <w:p w14:paraId="144A2D8A" w14:textId="70DB516A"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9">
        <w:r>
          <w:rPr>
            <w:color w:val="000000"/>
            <w:u w:val="single"/>
          </w:rPr>
          <w:t>https://patents.google.com/patent/US11731648B2/en</w:t>
        </w:r>
      </w:hyperlink>
    </w:p>
    <w:p w14:paraId="7CC1B237" w14:textId="77777777" w:rsidR="009E6F54" w:rsidRDefault="009E6F54" w:rsidP="009E6F54">
      <w:pPr>
        <w:spacing w:after="120" w:line="276" w:lineRule="auto"/>
        <w:ind w:firstLine="420"/>
        <w:rPr>
          <w:rFonts w:hint="eastAsia"/>
        </w:rPr>
      </w:pPr>
      <w:bookmarkStart w:id="6" w:name="基于载重辨识的纵向控制参数优化"/>
      <w:bookmarkEnd w:id="5"/>
      <w:r>
        <w:rPr>
          <w:rFonts w:ascii="Times New Roman" w:eastAsia="宋体" w:hAnsi="Times New Roman"/>
          <w:color w:val="000000"/>
        </w:rPr>
        <w:t xml:space="preserve">1.1.3 </w:t>
      </w:r>
      <w:r>
        <w:rPr>
          <w:rFonts w:ascii="Times New Roman" w:eastAsia="宋体" w:hAnsi="Times New Roman" w:hint="eastAsia"/>
          <w:color w:val="000000"/>
        </w:rPr>
        <w:t>基于载重辨识的纵向控制参数优化</w:t>
      </w:r>
    </w:p>
    <w:p w14:paraId="2DDED2D4"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CN120517441A</w:t>
      </w:r>
      <w:r>
        <w:rPr>
          <w:rFonts w:ascii="Times New Roman" w:eastAsia="宋体" w:hAnsi="Times New Roman" w:hint="eastAsia"/>
          <w:color w:val="000000"/>
        </w:rPr>
        <w:t>，一种基于载重辨识的车辆纵向控制参数优化方法及装置。</w:t>
      </w:r>
    </w:p>
    <w:p w14:paraId="584AE9C1"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该方案基于纵向动力学关系估计车辆载重，并利用更新后的载重值修正油门和制动控制量，以减小载重变化引起的纵向响应偏差。</w:t>
      </w:r>
    </w:p>
    <w:p w14:paraId="4CF669AE"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该方案解决在线载重辨识及纵向控制量修正问题，未把横向、纵向工程控制器的内部标定参数统一放入多周期闭环中求取梯度，也未涉及硬限幅、硬分支和硬速率限制的部署前复验。</w:t>
      </w:r>
    </w:p>
    <w:p w14:paraId="24410683" w14:textId="2FED7C02"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0">
        <w:r>
          <w:rPr>
            <w:color w:val="000000"/>
            <w:u w:val="single"/>
          </w:rPr>
          <w:t>https://patents.google.com/patent/CN120517441A/zh</w:t>
        </w:r>
      </w:hyperlink>
    </w:p>
    <w:p w14:paraId="6DA3A24F" w14:textId="77777777" w:rsidR="009E6F54" w:rsidRDefault="009E6F54" w:rsidP="009E6F54">
      <w:pPr>
        <w:spacing w:after="120" w:line="276" w:lineRule="auto"/>
        <w:ind w:firstLine="420"/>
        <w:rPr>
          <w:rFonts w:hint="eastAsia"/>
        </w:rPr>
      </w:pPr>
      <w:bookmarkStart w:id="7" w:name="道路边界约束下的横纵向控制"/>
      <w:bookmarkEnd w:id="6"/>
      <w:r>
        <w:rPr>
          <w:rFonts w:ascii="Times New Roman" w:eastAsia="宋体" w:hAnsi="Times New Roman"/>
          <w:color w:val="000000"/>
        </w:rPr>
        <w:t xml:space="preserve">1.1.4 </w:t>
      </w:r>
      <w:r>
        <w:rPr>
          <w:rFonts w:ascii="Times New Roman" w:eastAsia="宋体" w:hAnsi="Times New Roman" w:hint="eastAsia"/>
          <w:color w:val="000000"/>
        </w:rPr>
        <w:t>道路边界约束下的横纵向控制</w:t>
      </w:r>
    </w:p>
    <w:p w14:paraId="39969EEB"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CN120308157A</w:t>
      </w:r>
      <w:r>
        <w:rPr>
          <w:rFonts w:ascii="Times New Roman" w:eastAsia="宋体" w:hAnsi="Times New Roman" w:hint="eastAsia"/>
          <w:color w:val="000000"/>
        </w:rPr>
        <w:t>，一种基于道路边界约束的车辆横纵向控制方法及装置。</w:t>
      </w:r>
    </w:p>
    <w:p w14:paraId="625B7EB4"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该方案建立车辆非线性模型及其状态转移关系，结合道路边界约束求解控制变量序列，并据此生成车辆控制指令。</w:t>
      </w:r>
    </w:p>
    <w:p w14:paraId="6B18975B"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该方案的优化对象主要是当前规划或控制周期内的控制变量序列；本案的优化对象是已有工程控制器中的标定参数，并通过多场景闭环展开、自动微分、物理投影和硬逻辑复验形成参数交付闭环。</w:t>
      </w:r>
    </w:p>
    <w:p w14:paraId="29736157" w14:textId="5C8156FE"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1">
        <w:r>
          <w:rPr>
            <w:color w:val="000000"/>
            <w:u w:val="single"/>
          </w:rPr>
          <w:t>https://patents.google.com/patent/CN120308157A/zh</w:t>
        </w:r>
      </w:hyperlink>
    </w:p>
    <w:p w14:paraId="4A6A1402" w14:textId="77777777" w:rsidR="009E6F54" w:rsidRDefault="009E6F54" w:rsidP="009E6F54">
      <w:pPr>
        <w:spacing w:after="120" w:line="276" w:lineRule="auto"/>
        <w:ind w:firstLine="420"/>
        <w:rPr>
          <w:rFonts w:hint="eastAsia"/>
        </w:rPr>
      </w:pPr>
      <w:bookmarkStart w:id="8" w:name="车辆控制器标定设备和通信流程"/>
      <w:bookmarkEnd w:id="7"/>
      <w:r>
        <w:rPr>
          <w:rFonts w:ascii="Times New Roman" w:eastAsia="宋体" w:hAnsi="Times New Roman"/>
          <w:color w:val="000000"/>
        </w:rPr>
        <w:t xml:space="preserve">1.1.5 </w:t>
      </w:r>
      <w:r>
        <w:rPr>
          <w:rFonts w:ascii="Times New Roman" w:eastAsia="宋体" w:hAnsi="Times New Roman" w:hint="eastAsia"/>
          <w:color w:val="000000"/>
        </w:rPr>
        <w:t>车辆控制器标定设备和通信流程</w:t>
      </w:r>
    </w:p>
    <w:p w14:paraId="628E5C8D"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CN112039742A</w:t>
      </w:r>
      <w:r>
        <w:rPr>
          <w:rFonts w:ascii="Times New Roman" w:eastAsia="宋体" w:hAnsi="Times New Roman" w:hint="eastAsia"/>
          <w:color w:val="000000"/>
        </w:rPr>
        <w:t>，一种标定设备、车辆控制器标定方法及装置。</w:t>
      </w:r>
    </w:p>
    <w:p w14:paraId="0A818689"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该方案利用处理器、存储器、</w:t>
      </w:r>
      <w:r>
        <w:rPr>
          <w:rFonts w:ascii="Times New Roman" w:eastAsia="宋体" w:hAnsi="Times New Roman" w:hint="eastAsia"/>
          <w:color w:val="000000"/>
        </w:rPr>
        <w:t>CAN</w:t>
      </w:r>
      <w:r>
        <w:rPr>
          <w:rFonts w:ascii="Times New Roman" w:eastAsia="宋体" w:hAnsi="Times New Roman"/>
          <w:color w:val="000000"/>
        </w:rPr>
        <w:t xml:space="preserve"> </w:t>
      </w:r>
      <w:r>
        <w:rPr>
          <w:rFonts w:ascii="Times New Roman" w:eastAsia="宋体" w:hAnsi="Times New Roman" w:hint="eastAsia"/>
          <w:color w:val="000000"/>
        </w:rPr>
        <w:t>收发器和通信接口向车辆控制器发送标定指令并接收响应，用于简化标定设备与车辆控制器之间的操作流程。</w:t>
      </w:r>
    </w:p>
    <w:p w14:paraId="2612EC2B"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该方案关注标定设备、指令传输和响应确认，未公开如何根据轨迹跟踪误差构建可微目标函数、计算控制器参数梯度并完成多场景闭环复验。</w:t>
      </w:r>
    </w:p>
    <w:p w14:paraId="3EFB0284" w14:textId="565BEF6B"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2">
        <w:r>
          <w:rPr>
            <w:color w:val="000000"/>
            <w:u w:val="single"/>
          </w:rPr>
          <w:t>https://patents.google.com/patent/CN112039742A/zh</w:t>
        </w:r>
      </w:hyperlink>
    </w:p>
    <w:p w14:paraId="3E9C5413" w14:textId="77777777" w:rsidR="009E6F54" w:rsidRDefault="009E6F54" w:rsidP="009E6F54">
      <w:pPr>
        <w:spacing w:after="120" w:line="276" w:lineRule="auto"/>
        <w:ind w:firstLine="420"/>
        <w:rPr>
          <w:rFonts w:hint="eastAsia"/>
        </w:rPr>
      </w:pPr>
      <w:bookmarkStart w:id="9" w:name="利用学习型评价器调节自动驾驶规划器"/>
      <w:bookmarkEnd w:id="8"/>
      <w:r>
        <w:rPr>
          <w:rFonts w:ascii="Times New Roman" w:eastAsia="宋体" w:hAnsi="Times New Roman"/>
          <w:color w:val="000000"/>
        </w:rPr>
        <w:t xml:space="preserve">1.1.6 </w:t>
      </w:r>
      <w:r>
        <w:rPr>
          <w:rFonts w:ascii="Times New Roman" w:eastAsia="宋体" w:hAnsi="Times New Roman" w:hint="eastAsia"/>
          <w:color w:val="000000"/>
        </w:rPr>
        <w:t>利用学习型评价器调节自动驾驶规划器</w:t>
      </w:r>
    </w:p>
    <w:p w14:paraId="0E5239BE"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CN115907250A</w:t>
      </w:r>
      <w:r>
        <w:rPr>
          <w:rFonts w:ascii="Times New Roman" w:eastAsia="宋体" w:hAnsi="Times New Roman" w:hint="eastAsia"/>
          <w:color w:val="000000"/>
        </w:rPr>
        <w:t>，用于调整自主驾驶车辆的运动规划器的基于学习的评论器。</w:t>
      </w:r>
    </w:p>
    <w:p w14:paraId="037DE387"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该方案利用学习型评价器评价运动规划器输出，并据此调节运动规划器参数，以改善自动驾驶运动规划结果。</w:t>
      </w:r>
    </w:p>
    <w:p w14:paraId="0F8E59AF"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该方案面向运动规划器参数，不是面向既有车辆横向和纵向控制器的工程标定参数；其也未公开机理车辆模型与可选冻结残差模型组成的被控对象、控制周期级闭环时间展开及原始硬逻辑复验。</w:t>
      </w:r>
    </w:p>
    <w:p w14:paraId="6313456B" w14:textId="3D5AF2B6"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3">
        <w:r>
          <w:rPr>
            <w:color w:val="000000"/>
            <w:u w:val="single"/>
          </w:rPr>
          <w:t>https://patents.google.com/patent/CN115907250A/zh</w:t>
        </w:r>
      </w:hyperlink>
    </w:p>
    <w:p w14:paraId="755B1892" w14:textId="77777777" w:rsidR="009E6F54" w:rsidRDefault="009E6F54" w:rsidP="009E6F54">
      <w:pPr>
        <w:spacing w:after="120" w:line="276" w:lineRule="auto"/>
        <w:ind w:firstLine="420"/>
        <w:rPr>
          <w:rFonts w:hint="eastAsia"/>
        </w:rPr>
      </w:pPr>
      <w:bookmarkStart w:id="10" w:name="面向物理系统的可微机器"/>
      <w:bookmarkEnd w:id="9"/>
      <w:r>
        <w:rPr>
          <w:rFonts w:ascii="Times New Roman" w:eastAsia="宋体" w:hAnsi="Times New Roman"/>
          <w:color w:val="000000"/>
        </w:rPr>
        <w:t xml:space="preserve">1.1.7 </w:t>
      </w:r>
      <w:r>
        <w:rPr>
          <w:rFonts w:ascii="Times New Roman" w:eastAsia="宋体" w:hAnsi="Times New Roman" w:hint="eastAsia"/>
          <w:color w:val="000000"/>
        </w:rPr>
        <w:t>面向物理系统的可微机器</w:t>
      </w:r>
    </w:p>
    <w:p w14:paraId="42CA9F29"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US20220171353A1</w:t>
      </w:r>
      <w:r>
        <w:rPr>
          <w:rFonts w:ascii="Times New Roman" w:eastAsia="宋体" w:hAnsi="Times New Roman" w:hint="eastAsia"/>
          <w:color w:val="000000"/>
        </w:rPr>
        <w:t>，</w:t>
      </w:r>
      <w:r>
        <w:rPr>
          <w:rFonts w:ascii="Times New Roman" w:eastAsia="宋体" w:hAnsi="Times New Roman" w:hint="eastAsia"/>
          <w:color w:val="000000"/>
        </w:rPr>
        <w:t>Differentiable</w:t>
      </w:r>
      <w:r>
        <w:rPr>
          <w:rFonts w:ascii="Times New Roman" w:eastAsia="宋体" w:hAnsi="Times New Roman"/>
          <w:color w:val="000000"/>
        </w:rPr>
        <w:t xml:space="preserve"> machines for physical systems</w:t>
      </w:r>
      <w:r>
        <w:rPr>
          <w:rFonts w:ascii="Times New Roman" w:eastAsia="宋体" w:hAnsi="Times New Roman"/>
          <w:color w:val="000000"/>
        </w:rPr>
        <w:t>。</w:t>
      </w:r>
    </w:p>
    <w:p w14:paraId="7248C720"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该方案公开了能够对物理系统进行仿真、估计或控制的可微计算结构，使系统输出能够对模型或控制相关变量求导。</w:t>
      </w:r>
    </w:p>
    <w:p w14:paraId="6D0C11A8"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该方案属于通用可微物理系统框架，未具体公开车辆横向—纵向工程控制器的双模式复现、参数表节点整定、车辆物理参数域随机化、部署格式导出和硬逻辑验收门槛的组合。</w:t>
      </w:r>
    </w:p>
    <w:p w14:paraId="030E3DC4" w14:textId="4C17B1AF"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4">
        <w:r>
          <w:rPr>
            <w:color w:val="000000"/>
            <w:u w:val="single"/>
          </w:rPr>
          <w:t>https://patents.google.com/patent/US20220171353A1/en</w:t>
        </w:r>
      </w:hyperlink>
    </w:p>
    <w:p w14:paraId="546432B0" w14:textId="77777777" w:rsidR="009E6F54" w:rsidRDefault="009E6F54" w:rsidP="009E6F54">
      <w:pPr>
        <w:spacing w:after="120" w:line="276" w:lineRule="auto"/>
        <w:ind w:firstLine="420"/>
        <w:rPr>
          <w:rFonts w:hint="eastAsia"/>
        </w:rPr>
      </w:pPr>
      <w:bookmarkStart w:id="11" w:name="神经网络车辆动力学模型"/>
      <w:bookmarkEnd w:id="10"/>
      <w:r>
        <w:rPr>
          <w:rFonts w:ascii="Times New Roman" w:eastAsia="宋体" w:hAnsi="Times New Roman"/>
          <w:color w:val="000000"/>
        </w:rPr>
        <w:t xml:space="preserve">1.1.8 </w:t>
      </w:r>
      <w:r>
        <w:rPr>
          <w:rFonts w:ascii="Times New Roman" w:eastAsia="宋体" w:hAnsi="Times New Roman" w:hint="eastAsia"/>
          <w:color w:val="000000"/>
        </w:rPr>
        <w:t>神经网络车辆动力学模型</w:t>
      </w:r>
    </w:p>
    <w:p w14:paraId="22F96368"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w:t>
      </w:r>
      <w:r>
        <w:rPr>
          <w:rFonts w:ascii="Times New Roman" w:eastAsia="宋体" w:hAnsi="Times New Roman" w:hint="eastAsia"/>
          <w:color w:val="000000"/>
        </w:rPr>
        <w:t>US12007778B2</w:t>
      </w:r>
      <w:r>
        <w:rPr>
          <w:rFonts w:ascii="Times New Roman" w:eastAsia="宋体" w:hAnsi="Times New Roman" w:hint="eastAsia"/>
          <w:color w:val="000000"/>
        </w:rPr>
        <w:t>，</w:t>
      </w:r>
      <w:r>
        <w:rPr>
          <w:rFonts w:ascii="Times New Roman" w:eastAsia="宋体" w:hAnsi="Times New Roman" w:hint="eastAsia"/>
          <w:color w:val="000000"/>
        </w:rPr>
        <w:t>Neural</w:t>
      </w:r>
      <w:r>
        <w:rPr>
          <w:rFonts w:ascii="Times New Roman" w:eastAsia="宋体" w:hAnsi="Times New Roman"/>
          <w:color w:val="000000"/>
        </w:rPr>
        <w:t xml:space="preserve"> network based vehicle dynamics model</w:t>
      </w:r>
      <w:r>
        <w:rPr>
          <w:rFonts w:ascii="Times New Roman" w:eastAsia="宋体" w:hAnsi="Times New Roman"/>
          <w:color w:val="000000"/>
        </w:rPr>
        <w:t>。</w:t>
      </w:r>
    </w:p>
    <w:p w14:paraId="5467529D"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该方案利用神经网络车辆动力学模型，根据车辆状态和控制输入预测车辆后续状态，可用于车辆运动预测或控制相关处理。</w:t>
      </w:r>
    </w:p>
    <w:p w14:paraId="1AD935F7"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该方案重点在学习车辆动力学映射本身，未公开在控制器整定阶段冻结残差模型权重、让梯度穿过残差映射回到工程控制器参数，并通过分布外距离和组件消融判断模型失效来源。</w:t>
      </w:r>
    </w:p>
    <w:p w14:paraId="19F811E9" w14:textId="123C1F1A"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5">
        <w:r>
          <w:rPr>
            <w:color w:val="000000"/>
            <w:u w:val="single"/>
          </w:rPr>
          <w:t>https://patents.google.com/patent/US12007778B2/en</w:t>
        </w:r>
      </w:hyperlink>
    </w:p>
    <w:p w14:paraId="5CD3CE91" w14:textId="77777777" w:rsidR="009E6F54" w:rsidRDefault="009E6F54" w:rsidP="009E6F54">
      <w:pPr>
        <w:spacing w:after="120" w:line="276" w:lineRule="auto"/>
        <w:ind w:firstLine="420"/>
        <w:rPr>
          <w:rFonts w:hint="eastAsia"/>
        </w:rPr>
      </w:pPr>
      <w:bookmarkStart w:id="12" w:name="基于自动微分的控制器调参"/>
      <w:bookmarkEnd w:id="11"/>
      <w:r>
        <w:rPr>
          <w:rFonts w:ascii="Times New Roman" w:eastAsia="宋体" w:hAnsi="Times New Roman"/>
          <w:color w:val="000000"/>
        </w:rPr>
        <w:t xml:space="preserve">1.1.9 </w:t>
      </w:r>
      <w:r>
        <w:rPr>
          <w:rFonts w:ascii="Times New Roman" w:eastAsia="宋体" w:hAnsi="Times New Roman" w:hint="eastAsia"/>
          <w:color w:val="000000"/>
        </w:rPr>
        <w:t>基于自动微分的控制器调参</w:t>
      </w:r>
    </w:p>
    <w:p w14:paraId="44A86FFC"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公开材料：</w:t>
      </w:r>
      <w:r>
        <w:rPr>
          <w:rFonts w:ascii="Times New Roman" w:eastAsia="宋体" w:hAnsi="Times New Roman"/>
          <w:color w:val="000000"/>
        </w:rPr>
        <w:t xml:space="preserve"> DiffTune: Auto-Tuning through </w:t>
      </w:r>
      <w:r>
        <w:rPr>
          <w:rFonts w:ascii="Times New Roman" w:eastAsia="宋体" w:hAnsi="Times New Roman" w:hint="eastAsia"/>
          <w:color w:val="000000"/>
        </w:rPr>
        <w:t>Auto-Differentiation</w:t>
      </w:r>
      <w:r>
        <w:rPr>
          <w:rFonts w:ascii="Times New Roman" w:eastAsia="宋体" w:hAnsi="Times New Roman" w:hint="eastAsia"/>
          <w:color w:val="000000"/>
        </w:rPr>
        <w:t>，</w:t>
      </w:r>
      <w:r>
        <w:rPr>
          <w:rFonts w:ascii="Times New Roman" w:eastAsia="宋体" w:hAnsi="Times New Roman" w:hint="eastAsia"/>
          <w:color w:val="000000"/>
        </w:rPr>
        <w:t>arXiv:2209.10021</w:t>
      </w:r>
      <w:r>
        <w:rPr>
          <w:rFonts w:ascii="Times New Roman" w:eastAsia="宋体" w:hAnsi="Times New Roman" w:hint="eastAsia"/>
          <w:color w:val="000000"/>
        </w:rPr>
        <w:t>。</w:t>
      </w:r>
    </w:p>
    <w:p w14:paraId="0CDCF230"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公开内容：</w:t>
      </w:r>
      <w:r>
        <w:rPr>
          <w:rFonts w:ascii="Times New Roman" w:eastAsia="宋体" w:hAnsi="Times New Roman"/>
          <w:color w:val="000000"/>
        </w:rPr>
        <w:t xml:space="preserve"> </w:t>
      </w:r>
      <w:r>
        <w:rPr>
          <w:rFonts w:ascii="Times New Roman" w:eastAsia="宋体" w:hAnsi="Times New Roman" w:hint="eastAsia"/>
          <w:color w:val="000000"/>
        </w:rPr>
        <w:t>该论文把控制器调参表述为动态系统与控制器展开后的参数优化问题，并利用自动微分获得控制器参数的更新方向。</w:t>
      </w:r>
    </w:p>
    <w:p w14:paraId="1343D489" w14:textId="77777777" w:rsidR="009E6F54" w:rsidRDefault="009E6F54" w:rsidP="009E6F54">
      <w:pPr>
        <w:spacing w:after="80" w:line="276" w:lineRule="auto"/>
        <w:ind w:firstLine="420"/>
        <w:rPr>
          <w:rFonts w:hint="eastAsia"/>
        </w:rPr>
      </w:pPr>
      <w:r>
        <w:rPr>
          <w:rFonts w:ascii="Times New Roman" w:eastAsia="宋体" w:hAnsi="Times New Roman" w:hint="eastAsia"/>
          <w:b/>
          <w:bCs/>
          <w:color w:val="000000"/>
        </w:rPr>
        <w:t>与本案的区别：</w:t>
      </w:r>
      <w:r>
        <w:rPr>
          <w:rFonts w:ascii="Times New Roman" w:eastAsia="宋体" w:hAnsi="Times New Roman"/>
          <w:color w:val="000000"/>
        </w:rPr>
        <w:t xml:space="preserve"> </w:t>
      </w:r>
      <w:r>
        <w:rPr>
          <w:rFonts w:ascii="Times New Roman" w:eastAsia="宋体" w:hAnsi="Times New Roman" w:hint="eastAsia"/>
          <w:color w:val="000000"/>
        </w:rPr>
        <w:t>该论文提供通用自动微分调参思想，但未公开针对车辆横向和纵向工程控制器的参数识别与分组、训练</w:t>
      </w:r>
      <w:r>
        <w:rPr>
          <w:rFonts w:ascii="Times New Roman" w:eastAsia="宋体" w:hAnsi="Times New Roman" w:hint="eastAsia"/>
          <w:color w:val="000000"/>
        </w:rPr>
        <w:t>/</w:t>
      </w:r>
      <w:r>
        <w:rPr>
          <w:rFonts w:ascii="Times New Roman" w:eastAsia="宋体" w:hAnsi="Times New Roman" w:hint="eastAsia"/>
          <w:color w:val="000000"/>
        </w:rPr>
        <w:t>验证双模式逻辑、机理基础加可选冻结</w:t>
      </w:r>
      <w:r>
        <w:rPr>
          <w:rFonts w:ascii="Times New Roman" w:eastAsia="宋体" w:hAnsi="Times New Roman"/>
          <w:color w:val="000000"/>
        </w:rPr>
        <w:t xml:space="preserve"> MLP </w:t>
      </w:r>
      <w:r>
        <w:rPr>
          <w:rFonts w:ascii="Times New Roman" w:eastAsia="宋体" w:hAnsi="Times New Roman" w:hint="eastAsia"/>
          <w:color w:val="000000"/>
        </w:rPr>
        <w:t>残差、批量多场景软基线归一化、参数配置导出及硬逻辑复验的完整工程组合。</w:t>
      </w:r>
    </w:p>
    <w:p w14:paraId="2C3D4EFB" w14:textId="3E9EFEB9" w:rsidR="009E6F54" w:rsidRDefault="009E6F54" w:rsidP="009E6F54">
      <w:pPr>
        <w:spacing w:after="80" w:line="276" w:lineRule="auto"/>
        <w:ind w:firstLine="420"/>
        <w:rPr>
          <w:rFonts w:hint="eastAsia"/>
        </w:rPr>
      </w:pPr>
      <w:r>
        <w:rPr>
          <w:rFonts w:ascii="Times New Roman" w:eastAsia="宋体" w:hAnsi="Times New Roman" w:hint="eastAsia"/>
          <w:b/>
          <w:bCs/>
          <w:color w:val="000000"/>
        </w:rPr>
        <w:t>公开来源：</w:t>
      </w:r>
      <w:r>
        <w:rPr>
          <w:rFonts w:ascii="Times New Roman" w:eastAsia="宋体" w:hAnsi="Times New Roman"/>
          <w:color w:val="000000"/>
        </w:rPr>
        <w:t xml:space="preserve"> </w:t>
      </w:r>
      <w:hyperlink r:id="rId16">
        <w:r>
          <w:rPr>
            <w:color w:val="000000"/>
            <w:u w:val="single"/>
          </w:rPr>
          <w:t>https://arxiv.org/abs/2209.10021</w:t>
        </w:r>
      </w:hyperlink>
    </w:p>
    <w:p w14:paraId="470BCA6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检索总结：上述公开材料分别涉及横向在线调节、横向标定选择、纵向载重补偿、横纵向控制量求解、标定设备、规划器参数调节、可微物理系统、神经车辆动力学模型或通用控制器调参。本案的技术组合仍具有清晰区别：从既有车辆横向和纵向工程控制器中识别待调参数，构建参数共享的可微训练路径和原始硬逻辑验证路径，以机理动力学模型作为基础被控对象并可选叠加冻结的</w:t>
      </w:r>
      <w:r>
        <w:rPr>
          <w:rFonts w:ascii="Times New Roman" w:eastAsia="宋体" w:hAnsi="Times New Roman"/>
          <w:color w:val="000000"/>
        </w:rPr>
        <w:t xml:space="preserve"> MLP </w:t>
      </w:r>
      <w:r>
        <w:rPr>
          <w:rFonts w:ascii="Times New Roman" w:eastAsia="宋体" w:hAnsi="Times New Roman" w:hint="eastAsia"/>
          <w:color w:val="000000"/>
        </w:rPr>
        <w:t>残差，在多轨迹、多速度和多车辆参数域中进行控制周期级闭环展开，以归一化综合损失反向更新并投影参数，最后在硬逻辑路径中复验并导出可部署配置。</w:t>
      </w:r>
    </w:p>
    <w:p w14:paraId="2A609561" w14:textId="77777777" w:rsidR="009E6F54" w:rsidRDefault="009E6F54" w:rsidP="009E6F54">
      <w:pPr>
        <w:spacing w:after="120" w:line="276" w:lineRule="auto"/>
        <w:ind w:firstLine="420"/>
        <w:rPr>
          <w:rFonts w:hint="eastAsia"/>
        </w:rPr>
      </w:pPr>
      <w:bookmarkStart w:id="13" w:name="现有技术存在的缺点"/>
      <w:bookmarkEnd w:id="3"/>
      <w:bookmarkEnd w:id="12"/>
      <w:r>
        <w:rPr>
          <w:rFonts w:ascii="Times New Roman" w:eastAsia="宋体" w:hAnsi="Times New Roman"/>
          <w:color w:val="000000"/>
        </w:rPr>
        <w:t xml:space="preserve">1.2 </w:t>
      </w:r>
      <w:r>
        <w:rPr>
          <w:rFonts w:ascii="Times New Roman" w:eastAsia="宋体" w:hAnsi="Times New Roman" w:hint="eastAsia"/>
          <w:color w:val="000000"/>
        </w:rPr>
        <w:t>现有技术存在的缺点</w:t>
      </w:r>
    </w:p>
    <w:p w14:paraId="564F7A69"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）现有车辆横向控制参数调节方案多为在线查表、按偏差动态调节或稳定性测试后优化，难以一次性利用多轨迹、多速度和多车辆参数域数据对整组控制器参数进行全局整定。</w:t>
      </w:r>
    </w:p>
    <w:p w14:paraId="4217F59F"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）现有纵向控制优化方案多围绕载重辨识、驾驶风格学习或油门</w:t>
      </w:r>
      <w:r>
        <w:rPr>
          <w:rFonts w:ascii="Times New Roman" w:eastAsia="宋体" w:hAnsi="Times New Roman" w:hint="eastAsia"/>
          <w:color w:val="000000"/>
        </w:rPr>
        <w:t>/</w:t>
      </w:r>
      <w:r>
        <w:rPr>
          <w:rFonts w:ascii="Times New Roman" w:eastAsia="宋体" w:hAnsi="Times New Roman" w:hint="eastAsia"/>
          <w:color w:val="000000"/>
        </w:rPr>
        <w:t>制动控制量修正展开，未与横向控制器参数、轨迹跟踪误差和车辆动力学闭环统一建模。</w:t>
      </w:r>
    </w:p>
    <w:p w14:paraId="2C36A8AF"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）现有车辆动力学控制方案常用于轨迹控制量求解、稳定控制或特殊工况处置，优化对象通常是控制量序列或附加力矩，而不是已有工程控制器内部标定参数。</w:t>
      </w:r>
    </w:p>
    <w:p w14:paraId="47F205D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）现有标定设备方案关注通信、指令下发和人工标定流程便利性，无法自动给出参数梯度、参数更新方向和部署前闭环验证结果。</w:t>
      </w:r>
    </w:p>
    <w:p w14:paraId="2AD6A86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）现有可微仿真训练方案多用于端到端神经网络策略，若直接用于工程车辆控制器，容易忽略硬限幅、查表、分支逻辑和参数边界，导致训练结果难以直接部署。</w:t>
      </w:r>
    </w:p>
    <w:p w14:paraId="0808349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）现有方法缺乏训练路径与验证路径分离而参数共享的结构，难以兼顾“可微训练需要平滑近似”和“工程部署需要原始硬逻辑”两类要求。</w:t>
      </w:r>
    </w:p>
    <w:p w14:paraId="3DD65A4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）现有车辆控制器整定方案通常把被控对象简化为纯机理模型或固定仿真器，较少公开将机理动力学模型与冻结的</w:t>
      </w:r>
      <w:r>
        <w:rPr>
          <w:rFonts w:ascii="Times New Roman" w:eastAsia="宋体" w:hAnsi="Times New Roman"/>
          <w:color w:val="000000"/>
        </w:rPr>
        <w:t xml:space="preserve"> MLP </w:t>
      </w:r>
      <w:r>
        <w:rPr>
          <w:rFonts w:ascii="Times New Roman" w:eastAsia="宋体" w:hAnsi="Times New Roman" w:hint="eastAsia"/>
          <w:color w:val="000000"/>
        </w:rPr>
        <w:t>残差模型组合为可微被控对象，并进一步通过</w:t>
      </w:r>
      <w:r>
        <w:rPr>
          <w:rFonts w:ascii="Times New Roman" w:eastAsia="宋体" w:hAnsi="Times New Roman"/>
          <w:color w:val="000000"/>
        </w:rPr>
        <w:t xml:space="preserve"> MLP </w:t>
      </w:r>
      <w:r>
        <w:rPr>
          <w:rFonts w:ascii="Times New Roman" w:eastAsia="宋体" w:hAnsi="Times New Roman" w:hint="eastAsia"/>
          <w:color w:val="000000"/>
        </w:rPr>
        <w:t>输入输出可视化、分布外距离和组件消融来区分控制器问题与车辆模型失效。</w:t>
      </w:r>
    </w:p>
    <w:p w14:paraId="63520BF7" w14:textId="77777777" w:rsidR="009E6F54" w:rsidRDefault="009E6F54" w:rsidP="009E6F54">
      <w:pPr>
        <w:spacing w:after="120" w:line="276" w:lineRule="auto"/>
        <w:ind w:firstLine="420"/>
        <w:rPr>
          <w:rFonts w:hint="eastAsia"/>
        </w:rPr>
      </w:pPr>
      <w:bookmarkStart w:id="14" w:name="二本发明所要解决的技术问题"/>
      <w:bookmarkEnd w:id="2"/>
      <w:bookmarkEnd w:id="13"/>
      <w:r>
        <w:rPr>
          <w:rFonts w:ascii="Times New Roman" w:eastAsia="宋体" w:hAnsi="Times New Roman" w:hint="eastAsia"/>
          <w:color w:val="000000"/>
        </w:rPr>
        <w:t>二、本发明所要解决的技术问题</w:t>
      </w:r>
    </w:p>
    <w:p w14:paraId="5DA1E91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14:paraId="2777A91E"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14:paraId="349F994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此外，本发明还解决被控对象精度和整定可微性之间的协调问题。基础实施方式由机理动力学模型给出车辆运动响应；在需要进一步补偿机理模型与高保真车辆响应差异时，可选叠加预训练</w:t>
      </w:r>
      <w:r>
        <w:rPr>
          <w:rFonts w:ascii="Times New Roman" w:eastAsia="宋体" w:hAnsi="Times New Roman"/>
          <w:color w:val="000000"/>
        </w:rPr>
        <w:t xml:space="preserve"> MLP </w:t>
      </w:r>
      <w:r>
        <w:rPr>
          <w:rFonts w:ascii="Times New Roman" w:eastAsia="宋体" w:hAnsi="Times New Roman" w:hint="eastAsia"/>
          <w:color w:val="000000"/>
        </w:rPr>
        <w:t>残差模型。启用该残差模型时，其权重在控制器参数整定阶段保持冻结，系统仅利用输入输出映射修正车辆状态并传递梯度。</w:t>
      </w:r>
    </w:p>
    <w:p w14:paraId="69C6EC5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残差增强的实施方式中，本发明还解决闭环异常原因难以归因的问题。系统可捕获</w:t>
      </w:r>
      <w:r>
        <w:rPr>
          <w:rFonts w:ascii="Times New Roman" w:eastAsia="宋体" w:hAnsi="Times New Roman"/>
          <w:color w:val="000000"/>
        </w:rPr>
        <w:t xml:space="preserve"> MLP </w:t>
      </w:r>
      <w:r>
        <w:rPr>
          <w:rFonts w:ascii="Times New Roman" w:eastAsia="宋体" w:hAnsi="Times New Roman" w:hint="eastAsia"/>
          <w:color w:val="000000"/>
        </w:rPr>
        <w:t>输入、归一化距离、残差输出和车辆响应，形成静态扫描、闭环时序、输入分布外距离、组件消融和跨场景汇总等诊断结果，用于判断异常主要来源于控制器参数不足、车辆机理模型失配，还是残差模型在分布外输入下失效。</w:t>
      </w:r>
    </w:p>
    <w:p w14:paraId="0F649E8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本发明还解决多轨迹、多速度和车辆物理参数不确定性下的统一整定问题，使横向预瞄、收敛、角速度误差预瞄、纵向站位环（位置误差环）和速度环等多类参数能够在同一批量闭环训练过程中协同更新，并通过物理边界约束、硬逻辑复验、必要时的残差诊断图和日志产物保证整定过程可追溯。</w:t>
      </w:r>
    </w:p>
    <w:p w14:paraId="2222058C" w14:textId="77777777" w:rsidR="009E6F54" w:rsidRDefault="009E6F54" w:rsidP="009E6F54">
      <w:pPr>
        <w:spacing w:after="120" w:line="276" w:lineRule="auto"/>
        <w:ind w:firstLine="420"/>
        <w:rPr>
          <w:rFonts w:hint="eastAsia"/>
        </w:rPr>
      </w:pPr>
      <w:bookmarkStart w:id="15" w:name="三本发明技术方案的详细阐述"/>
      <w:bookmarkEnd w:id="14"/>
      <w:r>
        <w:rPr>
          <w:rFonts w:ascii="Times New Roman" w:eastAsia="宋体" w:hAnsi="Times New Roman" w:hint="eastAsia"/>
          <w:color w:val="000000"/>
        </w:rPr>
        <w:t>三、本发明技术方案的详细阐述</w:t>
      </w:r>
    </w:p>
    <w:p w14:paraId="0E3B8C4D" w14:textId="77777777" w:rsidR="009E6F54" w:rsidRDefault="009E6F54" w:rsidP="009E6F54">
      <w:pPr>
        <w:spacing w:after="120" w:line="276" w:lineRule="auto"/>
        <w:ind w:firstLine="420"/>
        <w:rPr>
          <w:rFonts w:hint="eastAsia"/>
        </w:rPr>
      </w:pPr>
      <w:bookmarkStart w:id="16" w:name="背景"/>
      <w:r>
        <w:rPr>
          <w:rFonts w:ascii="Times New Roman" w:eastAsia="宋体" w:hAnsi="Times New Roman"/>
          <w:color w:val="000000"/>
        </w:rPr>
        <w:t xml:space="preserve">3.1 </w:t>
      </w:r>
      <w:r>
        <w:rPr>
          <w:rFonts w:ascii="Times New Roman" w:eastAsia="宋体" w:hAnsi="Times New Roman" w:hint="eastAsia"/>
          <w:color w:val="000000"/>
        </w:rPr>
        <w:t>背景</w:t>
      </w:r>
    </w:p>
    <w:p w14:paraId="1D82218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14:paraId="244D947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p w14:paraId="4F461B5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在重卡或牵引车</w:t>
      </w:r>
      <w:r>
        <w:rPr>
          <w:rFonts w:ascii="Times New Roman" w:eastAsia="宋体" w:hAnsi="Times New Roman" w:hint="eastAsia"/>
          <w:color w:val="000000"/>
        </w:rPr>
        <w:t>-</w:t>
      </w:r>
      <w:r>
        <w:rPr>
          <w:rFonts w:ascii="Times New Roman" w:eastAsia="宋体" w:hAnsi="Times New Roman" w:hint="eastAsia"/>
          <w:color w:val="000000"/>
        </w:rPr>
        <w:t>挂车实施场景中，机理动力学模型根据车辆质量、轴距、侧偏刚度、轮胎半径、传动扭矩和铰接约束等给出下一周期的名义状态。在需要补偿机理模型剩余误差时，可选</w:t>
      </w:r>
      <w:r>
        <w:rPr>
          <w:rFonts w:ascii="Times New Roman" w:eastAsia="宋体" w:hAnsi="Times New Roman"/>
          <w:color w:val="000000"/>
        </w:rPr>
        <w:t xml:space="preserve"> MLP </w:t>
      </w:r>
      <w:r>
        <w:rPr>
          <w:rFonts w:ascii="Times New Roman" w:eastAsia="宋体" w:hAnsi="Times New Roman" w:hint="eastAsia"/>
          <w:color w:val="000000"/>
        </w:rPr>
        <w:t>残差模型接收车辆状态、控制指令和车辆配置等特征，输出速度或位姿残差，并将其转换为车辆状态修正；该可选模型在控制器参数整定阶段不更新权重。</w:t>
      </w:r>
    </w:p>
    <w:p w14:paraId="4F9468BF" w14:textId="77777777" w:rsidR="009E6F54" w:rsidRDefault="009E6F54" w:rsidP="009E6F54">
      <w:pPr>
        <w:spacing w:after="120" w:line="276" w:lineRule="auto"/>
        <w:ind w:firstLine="420"/>
        <w:rPr>
          <w:rFonts w:hint="eastAsia"/>
        </w:rPr>
      </w:pPr>
      <w:bookmarkStart w:id="17" w:name="系统框图"/>
      <w:bookmarkEnd w:id="16"/>
      <w:r>
        <w:rPr>
          <w:rFonts w:ascii="Times New Roman" w:eastAsia="宋体" w:hAnsi="Times New Roman"/>
          <w:color w:val="000000"/>
        </w:rPr>
        <w:t xml:space="preserve">3.2 </w:t>
      </w:r>
      <w:r>
        <w:rPr>
          <w:rFonts w:ascii="Times New Roman" w:eastAsia="宋体" w:hAnsi="Times New Roman" w:hint="eastAsia"/>
          <w:color w:val="000000"/>
        </w:rPr>
        <w:t>系统框图</w:t>
      </w:r>
    </w:p>
    <w:p w14:paraId="0B83367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1</w:t>
      </w:r>
      <w:r>
        <w:rPr>
          <w:rFonts w:ascii="Times New Roman" w:eastAsia="宋体" w:hAnsi="Times New Roman" w:hint="eastAsia"/>
          <w:color w:val="000000"/>
        </w:rPr>
        <w:t>示出了本发明的一种系统组成。系统按功能共包括</w:t>
      </w:r>
      <w:r>
        <w:rPr>
          <w:rFonts w:ascii="Times New Roman" w:eastAsia="宋体" w:hAnsi="Times New Roman"/>
          <w:color w:val="000000"/>
        </w:rPr>
        <w:t xml:space="preserve"> 13 </w:t>
      </w:r>
      <w:r>
        <w:rPr>
          <w:rFonts w:ascii="Times New Roman" w:eastAsia="宋体" w:hAnsi="Times New Roman" w:hint="eastAsia"/>
          <w:color w:val="000000"/>
        </w:rPr>
        <w:t>个模块或子模块：原始控制器代码</w:t>
      </w:r>
      <w:r>
        <w:rPr>
          <w:rFonts w:ascii="Times New Roman" w:eastAsia="宋体" w:hAnsi="Times New Roman" w:hint="eastAsia"/>
          <w:color w:val="000000"/>
        </w:rPr>
        <w:t>/</w:t>
      </w:r>
      <w:r>
        <w:rPr>
          <w:rFonts w:ascii="Times New Roman" w:eastAsia="宋体" w:hAnsi="Times New Roman" w:hint="eastAsia"/>
          <w:color w:val="000000"/>
        </w:rPr>
        <w:t>参数表、双模式控制器、机理动力学模型、可选</w:t>
      </w:r>
      <w:r>
        <w:rPr>
          <w:rFonts w:ascii="Times New Roman" w:eastAsia="宋体" w:hAnsi="Times New Roman"/>
          <w:color w:val="000000"/>
        </w:rPr>
        <w:t xml:space="preserve"> MLP </w:t>
      </w:r>
      <w:r>
        <w:rPr>
          <w:rFonts w:ascii="Times New Roman" w:eastAsia="宋体" w:hAnsi="Times New Roman" w:hint="eastAsia"/>
          <w:color w:val="000000"/>
        </w:rPr>
        <w:t>残差模型、多场景轨迹库、训练增强模块、闭环展开模块、损失计算模块、自动微分模块、参数投影模块、产物生成模块、硬逻辑复验模块和可选残差模型诊断模块。机理动力学模型为被控对象的基础，可选残差模型作为独立子模块叠加状态修正；各模块形成从工程控制器复现、闭环车辆响应仿真、参数更新、部署验证到按需异常归因的闭环流程。</w:t>
      </w:r>
    </w:p>
    <w:p w14:paraId="43CC325D"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19A4510F" wp14:editId="4FC6658B">
            <wp:extent cx="5623560" cy="332085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1_system_architecture.png"/>
                    <pic:cNvPicPr>
                      <a:picLocks noChangeAspect="1" noChangeArrowheads="1"/>
                    </pic:cNvPicPr>
                  </pic:nvPicPr>
                  <pic:blipFill>
                    <a:blip r:embed="rId17"/>
                    <a:stretch>
                      <a:fillRect/>
                    </a:stretch>
                  </pic:blipFill>
                  <pic:spPr bwMode="auto">
                    <a:xfrm>
                      <a:off x="0" y="0"/>
                      <a:ext cx="5623560" cy="3320859"/>
                    </a:xfrm>
                    <a:prstGeom prst="rect">
                      <a:avLst/>
                    </a:prstGeom>
                    <a:noFill/>
                    <a:ln w="9525">
                      <a:noFill/>
                      <a:headEnd/>
                      <a:tailEnd/>
                    </a:ln>
                  </pic:spPr>
                </pic:pic>
              </a:graphicData>
            </a:graphic>
          </wp:inline>
        </w:drawing>
      </w:r>
    </w:p>
    <w:p w14:paraId="0BB50529"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1</w:t>
      </w:r>
      <w:r>
        <w:rPr>
          <w:rFonts w:ascii="Times New Roman" w:eastAsia="宋体" w:hAnsi="Times New Roman"/>
          <w:color w:val="000000"/>
          <w:sz w:val="18"/>
        </w:rPr>
        <w:t xml:space="preserve"> </w:t>
      </w:r>
      <w:r>
        <w:rPr>
          <w:rFonts w:ascii="Times New Roman" w:eastAsia="宋体" w:hAnsi="Times New Roman" w:hint="eastAsia"/>
          <w:color w:val="000000"/>
          <w:sz w:val="18"/>
        </w:rPr>
        <w:t>可微闭环整定系统框图</w:t>
      </w:r>
    </w:p>
    <w:p w14:paraId="3A93B489" w14:textId="77777777" w:rsidR="009E6F54" w:rsidRDefault="009E6F54" w:rsidP="009E6F54">
      <w:pPr>
        <w:spacing w:after="120" w:line="276" w:lineRule="auto"/>
        <w:ind w:firstLine="420"/>
        <w:rPr>
          <w:rFonts w:hint="eastAsia"/>
        </w:rPr>
      </w:pPr>
      <w:bookmarkStart w:id="18" w:name="模块功能说明"/>
      <w:bookmarkEnd w:id="17"/>
      <w:r>
        <w:rPr>
          <w:rFonts w:ascii="Times New Roman" w:eastAsia="宋体" w:hAnsi="Times New Roman"/>
          <w:color w:val="000000"/>
        </w:rPr>
        <w:t xml:space="preserve">3.3 </w:t>
      </w:r>
      <w:r>
        <w:rPr>
          <w:rFonts w:ascii="Times New Roman" w:eastAsia="宋体" w:hAnsi="Times New Roman" w:hint="eastAsia"/>
          <w:color w:val="000000"/>
        </w:rPr>
        <w:t>模块功能说明</w:t>
      </w:r>
    </w:p>
    <w:p w14:paraId="4F81BFE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）原始控制器代码</w:t>
      </w:r>
      <w:r>
        <w:rPr>
          <w:rFonts w:ascii="Times New Roman" w:eastAsia="宋体" w:hAnsi="Times New Roman" w:hint="eastAsia"/>
          <w:color w:val="000000"/>
        </w:rPr>
        <w:t>/</w:t>
      </w:r>
      <w:r>
        <w:rPr>
          <w:rFonts w:ascii="Times New Roman" w:eastAsia="宋体" w:hAnsi="Times New Roman" w:hint="eastAsia"/>
          <w:color w:val="000000"/>
        </w:rPr>
        <w:t>参数表用于提供待复现的横向和纵向工程控制逻辑，并给出初始标定参数、车辆物理常数和安全边界。</w:t>
      </w:r>
    </w:p>
    <w:p w14:paraId="3FAC4D2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）双模式控制器用于在训练模式下提供可微计算路径，在验证模式下提供与工程控制器一致的硬逻辑路径。同一组整定参数在两个模式中共享。</w:t>
      </w:r>
    </w:p>
    <w:p w14:paraId="501970A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）机理被控对象模块用于模拟车辆在控制指令作用下的下一周期主体响应，并构成每种实施方式均包含的基础被控对象；在需要提高模型逼真度时，可进一步叠加</w:t>
      </w:r>
      <w:r>
        <w:rPr>
          <w:rFonts w:ascii="Times New Roman" w:eastAsia="宋体" w:hAnsi="Times New Roman"/>
          <w:color w:val="000000"/>
        </w:rPr>
        <w:t xml:space="preserve"> MLP </w:t>
      </w:r>
      <w:r>
        <w:rPr>
          <w:rFonts w:ascii="Times New Roman" w:eastAsia="宋体" w:hAnsi="Times New Roman" w:hint="eastAsia"/>
          <w:color w:val="000000"/>
        </w:rPr>
        <w:t>残差模型。机理动力学模型负责表达车辆质量、轴距、轮胎侧偏、传动扭矩、铰接约束、空气阻力和滚阻等确定性物理关系；</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残差模型负责补偿机理模型与高保真仿真或实车数据之间的剩余误差。</w:t>
      </w:r>
    </w:p>
    <w:p w14:paraId="7B04283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）可选</w:t>
      </w:r>
      <w:r>
        <w:rPr>
          <w:rFonts w:ascii="Times New Roman" w:eastAsia="宋体" w:hAnsi="Times New Roman"/>
          <w:color w:val="000000"/>
        </w:rPr>
        <w:t xml:space="preserve"> MLP </w:t>
      </w:r>
      <w:r>
        <w:rPr>
          <w:rFonts w:ascii="Times New Roman" w:eastAsia="宋体" w:hAnsi="Times New Roman" w:hint="eastAsia"/>
          <w:color w:val="000000"/>
        </w:rPr>
        <w:t>残差模型用于根据车辆状态、控制指令、车辆配置、铰接状态和归一化统计量等输入特征输出运动残差。运动残差可以包括牵引车速度残差、挂车速度残差和相对位姿残差。残差经坐标转换、限幅和必要的掩码处理后叠加到机理模型的下一周期状态上。</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权重在控制器整定阶段保持冻结，梯度仅通过其输入输出计算链路回传到控制器参数。</w:t>
      </w:r>
    </w:p>
    <w:p w14:paraId="69887703"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）多场景轨迹库用于提供换道、双换道、渐变曲率弯道、</w:t>
      </w:r>
      <w:r>
        <w:rPr>
          <w:rFonts w:ascii="Times New Roman" w:eastAsia="宋体" w:hAnsi="Times New Roman" w:hint="eastAsia"/>
          <w:color w:val="000000"/>
        </w:rPr>
        <w:t>S</w:t>
      </w:r>
      <w:r>
        <w:rPr>
          <w:rFonts w:ascii="Times New Roman" w:eastAsia="宋体" w:hAnsi="Times New Roman" w:hint="eastAsia"/>
          <w:color w:val="000000"/>
        </w:rPr>
        <w:t>弯、弯前减速和换道加减速等场景，并覆盖多个速度段。</w:t>
      </w:r>
    </w:p>
    <w:p w14:paraId="334A999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）训练增强模块用于在训练阶段引入车辆物理参数域随机化、反馈噪声和指令抖动，避免控制器参数仅适配单一车辆或单一无扰动输入。</w:t>
      </w:r>
    </w:p>
    <w:p w14:paraId="4FF3E89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）闭环展开模块用于按控制周期串联横向控制器、纵向控制器和机理被控对象；在启用残差增强时，再串联</w:t>
      </w:r>
      <w:r>
        <w:rPr>
          <w:rFonts w:ascii="Times New Roman" w:eastAsia="宋体" w:hAnsi="Times New Roman"/>
          <w:color w:val="000000"/>
        </w:rPr>
        <w:t xml:space="preserve"> MLP </w:t>
      </w:r>
      <w:r>
        <w:rPr>
          <w:rFonts w:ascii="Times New Roman" w:eastAsia="宋体" w:hAnsi="Times New Roman" w:hint="eastAsia"/>
          <w:color w:val="000000"/>
        </w:rPr>
        <w:t>残差状态修正，使每一时刻的状态变化都依赖前一时刻的控制结果。</w:t>
      </w:r>
    </w:p>
    <w:p w14:paraId="5B2F9AF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）损失计算模块用于评价横向误差、航向误差、速度误差、转向平滑性、加速度平滑性和参数偏移，得到可优化的综合损失。</w:t>
      </w:r>
    </w:p>
    <w:p w14:paraId="4C57C31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9</w:t>
      </w:r>
      <w:r>
        <w:rPr>
          <w:rFonts w:ascii="Times New Roman" w:eastAsia="宋体" w:hAnsi="Times New Roman" w:hint="eastAsia"/>
          <w:color w:val="000000"/>
        </w:rPr>
        <w:t>）自动微分模块用于沿闭环时间链路反向传播，计算综合损失对控制器参数的梯度。对于冻结的</w:t>
      </w:r>
      <w:r>
        <w:rPr>
          <w:rFonts w:ascii="Times New Roman" w:eastAsia="宋体" w:hAnsi="Times New Roman"/>
          <w:color w:val="000000"/>
        </w:rPr>
        <w:t xml:space="preserve"> MLP </w:t>
      </w:r>
      <w:r>
        <w:rPr>
          <w:rFonts w:ascii="Times New Roman" w:eastAsia="宋体" w:hAnsi="Times New Roman" w:hint="eastAsia"/>
          <w:color w:val="000000"/>
        </w:rPr>
        <w:t>残差模型，该模块不更新</w:t>
      </w:r>
      <w:r>
        <w:rPr>
          <w:rFonts w:ascii="Times New Roman" w:eastAsia="宋体" w:hAnsi="Times New Roman"/>
          <w:color w:val="000000"/>
        </w:rPr>
        <w:t xml:space="preserve"> MLP </w:t>
      </w:r>
      <w:r>
        <w:rPr>
          <w:rFonts w:ascii="Times New Roman" w:eastAsia="宋体" w:hAnsi="Times New Roman" w:hint="eastAsia"/>
          <w:color w:val="000000"/>
        </w:rPr>
        <w:t>权重，只利用其可微映射把车辆响应对控制器参数的影响传递回来。</w:t>
      </w:r>
    </w:p>
    <w:p w14:paraId="5DE4951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10</w:t>
      </w:r>
      <w:r>
        <w:rPr>
          <w:rFonts w:ascii="Times New Roman" w:eastAsia="宋体" w:hAnsi="Times New Roman" w:hint="eastAsia"/>
          <w:color w:val="000000"/>
        </w:rPr>
        <w:t>）参数投影模块用于将更新后的参数限制在物理合理范围和安全范围内，防止自动整定越过工程可部署边界。</w:t>
      </w:r>
    </w:p>
    <w:p w14:paraId="25384243"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11</w:t>
      </w:r>
      <w:r>
        <w:rPr>
          <w:rFonts w:ascii="Times New Roman" w:eastAsia="宋体" w:hAnsi="Times New Roman" w:hint="eastAsia"/>
          <w:color w:val="000000"/>
        </w:rPr>
        <w:t>）产物生成模块用于输出整定后的参数配置、训练曲线、参数变化图、验证统计图、诊断图和日志。</w:t>
      </w:r>
    </w:p>
    <w:p w14:paraId="7A52D2F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12</w:t>
      </w:r>
      <w:r>
        <w:rPr>
          <w:rFonts w:ascii="Times New Roman" w:eastAsia="宋体" w:hAnsi="Times New Roman" w:hint="eastAsia"/>
          <w:color w:val="000000"/>
        </w:rPr>
        <w:t>）硬逻辑复验模块用于使用验证模式运行全场景闭环仿真，检查整定参数在原始硬分支、硬限幅和硬速率限制下的表现。</w:t>
      </w:r>
    </w:p>
    <w:p w14:paraId="56732FC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13</w:t>
      </w: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残差增强时，可选残差模型可视化诊断模块用于在闭环异常或部署前复验不达标时，捕获</w:t>
      </w:r>
      <w:r>
        <w:rPr>
          <w:rFonts w:ascii="Times New Roman" w:eastAsia="宋体" w:hAnsi="Times New Roman"/>
          <w:color w:val="000000"/>
        </w:rPr>
        <w:t xml:space="preserve"> MLP </w:t>
      </w:r>
      <w:r>
        <w:rPr>
          <w:rFonts w:ascii="Times New Roman" w:eastAsia="宋体" w:hAnsi="Times New Roman" w:hint="eastAsia"/>
          <w:color w:val="000000"/>
        </w:rPr>
        <w:t>的输入特征、归一化后距离、原始残差输出、限幅后残差输出和车辆响应，并生成静态扫描、闭环时序图、输入分布外距离图、危险区热图、组件消融对比图和跨场景汇总图。通过比较“纯机理模型”“机理模型</w:t>
      </w:r>
      <w:r>
        <w:rPr>
          <w:rFonts w:ascii="Times New Roman" w:eastAsia="宋体" w:hAnsi="Times New Roman" w:hint="eastAsia"/>
          <w:color w:val="000000"/>
        </w:rPr>
        <w:t>+</w:t>
      </w:r>
      <w:r>
        <w:rPr>
          <w:rFonts w:ascii="Times New Roman" w:eastAsia="宋体" w:hAnsi="Times New Roman" w:hint="eastAsia"/>
          <w:color w:val="000000"/>
        </w:rPr>
        <w:t>完整</w:t>
      </w:r>
      <w:r>
        <w:rPr>
          <w:rFonts w:ascii="Times New Roman" w:eastAsia="宋体" w:hAnsi="Times New Roman"/>
          <w:color w:val="000000"/>
        </w:rPr>
        <w:t xml:space="preserve"> </w:t>
      </w:r>
      <w:r>
        <w:rPr>
          <w:rFonts w:ascii="Times New Roman" w:eastAsia="宋体" w:hAnsi="Times New Roman" w:hint="eastAsia"/>
          <w:color w:val="000000"/>
        </w:rPr>
        <w:t>MLP</w:t>
      </w:r>
      <w:r>
        <w:rPr>
          <w:rFonts w:ascii="Times New Roman" w:eastAsia="宋体" w:hAnsi="Times New Roman" w:hint="eastAsia"/>
          <w:color w:val="000000"/>
        </w:rPr>
        <w:t>”“屏蔽部分</w:t>
      </w:r>
      <w:r>
        <w:rPr>
          <w:rFonts w:ascii="Times New Roman" w:eastAsia="宋体" w:hAnsi="Times New Roman"/>
          <w:color w:val="000000"/>
        </w:rPr>
        <w:t xml:space="preserve"> MLP </w:t>
      </w:r>
      <w:r>
        <w:rPr>
          <w:rFonts w:ascii="Times New Roman" w:eastAsia="宋体" w:hAnsi="Times New Roman" w:hint="eastAsia"/>
          <w:color w:val="000000"/>
        </w:rPr>
        <w:t>输出分量”等结果，可以判断异常主要来自控制器整定不足，还是来自</w:t>
      </w:r>
      <w:r>
        <w:rPr>
          <w:rFonts w:ascii="Times New Roman" w:eastAsia="宋体" w:hAnsi="Times New Roman"/>
          <w:color w:val="000000"/>
        </w:rPr>
        <w:t xml:space="preserve"> MLP </w:t>
      </w:r>
      <w:r>
        <w:rPr>
          <w:rFonts w:ascii="Times New Roman" w:eastAsia="宋体" w:hAnsi="Times New Roman" w:hint="eastAsia"/>
          <w:color w:val="000000"/>
        </w:rPr>
        <w:t>残差模型输出偏置、饱和或分布外失效。</w:t>
      </w:r>
    </w:p>
    <w:p w14:paraId="1BFCE965" w14:textId="77777777" w:rsidR="009E6F54" w:rsidRDefault="009E6F54" w:rsidP="009E6F54">
      <w:pPr>
        <w:spacing w:after="120" w:line="276" w:lineRule="auto"/>
        <w:ind w:firstLine="420"/>
        <w:rPr>
          <w:rFonts w:hint="eastAsia"/>
        </w:rPr>
      </w:pPr>
      <w:bookmarkStart w:id="19" w:name="系统流程说明"/>
      <w:bookmarkEnd w:id="18"/>
      <w:r>
        <w:rPr>
          <w:rFonts w:ascii="Times New Roman" w:eastAsia="宋体" w:hAnsi="Times New Roman"/>
          <w:color w:val="000000"/>
        </w:rPr>
        <w:t xml:space="preserve">3.4 </w:t>
      </w:r>
      <w:r>
        <w:rPr>
          <w:rFonts w:ascii="Times New Roman" w:eastAsia="宋体" w:hAnsi="Times New Roman" w:hint="eastAsia"/>
          <w:color w:val="000000"/>
        </w:rPr>
        <w:t>系统流程说明</w:t>
      </w:r>
    </w:p>
    <w:p w14:paraId="5092841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2</w:t>
      </w:r>
      <w:r>
        <w:rPr>
          <w:rFonts w:ascii="Times New Roman" w:eastAsia="宋体" w:hAnsi="Times New Roman" w:hint="eastAsia"/>
          <w:color w:val="000000"/>
        </w:rPr>
        <w:t>示出了本发明的一种方法流程。</w:t>
      </w:r>
    </w:p>
    <w:p w14:paraId="1FE202E8"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09326F13" wp14:editId="6EDBDCC1">
            <wp:extent cx="5623560" cy="419591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2_method_flow.png"/>
                    <pic:cNvPicPr>
                      <a:picLocks noChangeAspect="1" noChangeArrowheads="1"/>
                    </pic:cNvPicPr>
                  </pic:nvPicPr>
                  <pic:blipFill>
                    <a:blip r:embed="rId18"/>
                    <a:stretch>
                      <a:fillRect/>
                    </a:stretch>
                  </pic:blipFill>
                  <pic:spPr bwMode="auto">
                    <a:xfrm>
                      <a:off x="0" y="0"/>
                      <a:ext cx="5623560" cy="4195915"/>
                    </a:xfrm>
                    <a:prstGeom prst="rect">
                      <a:avLst/>
                    </a:prstGeom>
                    <a:noFill/>
                    <a:ln w="9525">
                      <a:noFill/>
                      <a:headEnd/>
                      <a:tailEnd/>
                    </a:ln>
                  </pic:spPr>
                </pic:pic>
              </a:graphicData>
            </a:graphic>
          </wp:inline>
        </w:drawing>
      </w:r>
    </w:p>
    <w:p w14:paraId="3C9639A0"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2</w:t>
      </w:r>
      <w:r>
        <w:rPr>
          <w:rFonts w:ascii="Times New Roman" w:eastAsia="宋体" w:hAnsi="Times New Roman"/>
          <w:color w:val="000000"/>
          <w:sz w:val="18"/>
        </w:rPr>
        <w:t xml:space="preserve"> </w:t>
      </w:r>
      <w:r>
        <w:rPr>
          <w:rFonts w:ascii="Times New Roman" w:eastAsia="宋体" w:hAnsi="Times New Roman" w:hint="eastAsia"/>
          <w:color w:val="000000"/>
          <w:sz w:val="18"/>
        </w:rPr>
        <w:t>控制器参数自动整定流程图</w:t>
      </w:r>
    </w:p>
    <w:p w14:paraId="6A2D839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具体流程如下：</w:t>
      </w:r>
    </w:p>
    <w:p w14:paraId="6F1D46B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S1</w:t>
      </w:r>
      <w:r>
        <w:rPr>
          <w:rFonts w:ascii="Times New Roman" w:eastAsia="宋体" w:hAnsi="Times New Roman" w:hint="eastAsia"/>
          <w:color w:val="000000"/>
        </w:rPr>
        <w:t>，读取车辆控制器的原始代码和参数配置，识别可调参数、固定物理参数和安全约束参数。</w:t>
      </w:r>
    </w:p>
    <w:p w14:paraId="512EA9AE"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S2</w:t>
      </w:r>
      <w:r>
        <w:rPr>
          <w:rFonts w:ascii="Times New Roman" w:eastAsia="宋体" w:hAnsi="Times New Roman" w:hint="eastAsia"/>
          <w:color w:val="000000"/>
        </w:rPr>
        <w:t>，将横向控制器和纵向控制器封装为双模式控制器。训练模式保留控制器主要物理关系，并对非光滑步骤采用可微近似；验证模式保留原始工程硬逻辑。</w:t>
      </w:r>
    </w:p>
    <w:p w14:paraId="063051E7"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S3</w:t>
      </w:r>
      <w:r>
        <w:rPr>
          <w:rFonts w:ascii="Times New Roman" w:eastAsia="宋体" w:hAnsi="Times New Roman" w:hint="eastAsia"/>
          <w:color w:val="000000"/>
        </w:rPr>
        <w:t>，构建以机理模型为基础的被控对象，并根据需要构建车辆物理参数域；需要提高逼真度时，可再叠加冻结的</w:t>
      </w:r>
      <w:r>
        <w:rPr>
          <w:rFonts w:ascii="Times New Roman" w:eastAsia="宋体" w:hAnsi="Times New Roman"/>
          <w:color w:val="000000"/>
        </w:rPr>
        <w:t xml:space="preserve"> MLP </w:t>
      </w:r>
      <w:r>
        <w:rPr>
          <w:rFonts w:ascii="Times New Roman" w:eastAsia="宋体" w:hAnsi="Times New Roman" w:hint="eastAsia"/>
          <w:color w:val="000000"/>
        </w:rPr>
        <w:t>残差模型。机理模型可以采用运动学自行车模型、动力学自行车模型或牵引车</w:t>
      </w:r>
      <w:r>
        <w:rPr>
          <w:rFonts w:ascii="Times New Roman" w:eastAsia="宋体" w:hAnsi="Times New Roman" w:hint="eastAsia"/>
          <w:color w:val="000000"/>
        </w:rPr>
        <w:t>-</w:t>
      </w:r>
      <w:r>
        <w:rPr>
          <w:rFonts w:ascii="Times New Roman" w:eastAsia="宋体" w:hAnsi="Times New Roman" w:hint="eastAsia"/>
          <w:color w:val="000000"/>
        </w:rPr>
        <w:t>挂车双体动力学模型。</w:t>
      </w:r>
    </w:p>
    <w:p w14:paraId="06C2CEA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S4</w:t>
      </w:r>
      <w:r>
        <w:rPr>
          <w:rFonts w:ascii="Times New Roman" w:eastAsia="宋体" w:hAnsi="Times New Roman" w:hint="eastAsia"/>
          <w:color w:val="000000"/>
        </w:rPr>
        <w:t>，构造多轨迹多速度训练集，并将轨迹场景、速度段和车辆参数域展开为批量样本。</w:t>
      </w:r>
    </w:p>
    <w:p w14:paraId="7A7EBE4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S5</w:t>
      </w:r>
      <w:r>
        <w:rPr>
          <w:rFonts w:ascii="Times New Roman" w:eastAsia="宋体" w:hAnsi="Times New Roman" w:hint="eastAsia"/>
          <w:color w:val="000000"/>
        </w:rPr>
        <w:t>，在每一个控制周期内，依次执行横向控制、纵向控制和机理动力学预测；当残差增强标志为启用时，再执行</w:t>
      </w:r>
      <w:r>
        <w:rPr>
          <w:rFonts w:ascii="Times New Roman" w:eastAsia="宋体" w:hAnsi="Times New Roman"/>
          <w:color w:val="000000"/>
        </w:rPr>
        <w:t xml:space="preserve"> MLP </w:t>
      </w:r>
      <w:r>
        <w:rPr>
          <w:rFonts w:ascii="Times New Roman" w:eastAsia="宋体" w:hAnsi="Times New Roman" w:hint="eastAsia"/>
          <w:color w:val="000000"/>
        </w:rPr>
        <w:t>残差修正并推进闭环状态。</w:t>
      </w:r>
    </w:p>
    <w:p w14:paraId="6B575D7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S6</w:t>
      </w:r>
      <w:r>
        <w:rPr>
          <w:rFonts w:ascii="Times New Roman" w:eastAsia="宋体" w:hAnsi="Times New Roman" w:hint="eastAsia"/>
          <w:color w:val="000000"/>
        </w:rPr>
        <w:t>，根据车辆状态和参考轨迹计算综合损失。</w:t>
      </w:r>
    </w:p>
    <w:p w14:paraId="11A8D7B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S7</w:t>
      </w:r>
      <w:r>
        <w:rPr>
          <w:rFonts w:ascii="Times New Roman" w:eastAsia="宋体" w:hAnsi="Times New Roman" w:hint="eastAsia"/>
          <w:color w:val="000000"/>
        </w:rPr>
        <w:t>，沿时间展开链路反向传播，获得损失对控制器参数的梯度，更新参数并执行物理约束投影；在启用</w:t>
      </w:r>
      <w:r>
        <w:rPr>
          <w:rFonts w:ascii="Times New Roman" w:eastAsia="宋体" w:hAnsi="Times New Roman"/>
          <w:color w:val="000000"/>
        </w:rPr>
        <w:t xml:space="preserve"> MLP </w:t>
      </w:r>
      <w:r>
        <w:rPr>
          <w:rFonts w:ascii="Times New Roman" w:eastAsia="宋体" w:hAnsi="Times New Roman" w:hint="eastAsia"/>
          <w:color w:val="000000"/>
        </w:rPr>
        <w:t>残差模型时，其权重保持冻结。</w:t>
      </w:r>
    </w:p>
    <w:p w14:paraId="1568B10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S8</w:t>
      </w:r>
      <w:r>
        <w:rPr>
          <w:rFonts w:ascii="Times New Roman" w:eastAsia="宋体" w:hAnsi="Times New Roman" w:hint="eastAsia"/>
          <w:color w:val="000000"/>
        </w:rPr>
        <w:t>，导出整定后的参数配置，并在验证模式下进行硬逻辑复验；若复验不满足要求，则以上一轮参数为起点继续整定或调整训练场景。</w:t>
      </w:r>
    </w:p>
    <w:p w14:paraId="6C5CCED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S9</w:t>
      </w:r>
      <w:r>
        <w:rPr>
          <w:rFonts w:ascii="Times New Roman" w:eastAsia="宋体" w:hAnsi="Times New Roman" w:hint="eastAsia"/>
          <w:color w:val="000000"/>
        </w:rPr>
        <w:t>，在启用残差增强且硬逻辑复验出现异常、部分场景误差显著增大，或需要判断被控对象可信度时，运行</w:t>
      </w:r>
      <w:r>
        <w:rPr>
          <w:rFonts w:ascii="Times New Roman" w:eastAsia="宋体" w:hAnsi="Times New Roman"/>
          <w:color w:val="000000"/>
        </w:rPr>
        <w:t xml:space="preserve"> MLP </w:t>
      </w:r>
      <w:r>
        <w:rPr>
          <w:rFonts w:ascii="Times New Roman" w:eastAsia="宋体" w:hAnsi="Times New Roman" w:hint="eastAsia"/>
          <w:color w:val="000000"/>
        </w:rPr>
        <w:t>可视化诊断。若残差模型在无侧向激励基准状态下产生持续偏置、输入远离训练分布、输出频繁达到限幅边界，或屏蔽某一残差分量后异常消失，则优先判断为残差模型失效；若纯机理路径和残差增强路径表现相似，则优先判断为控制器参数或控制器结构不足。</w:t>
      </w:r>
    </w:p>
    <w:p w14:paraId="3F789BEC" w14:textId="77777777" w:rsidR="009E6F54" w:rsidRDefault="009E6F54" w:rsidP="009E6F54">
      <w:pPr>
        <w:spacing w:after="120" w:line="276" w:lineRule="auto"/>
        <w:ind w:firstLine="420"/>
        <w:rPr>
          <w:rFonts w:hint="eastAsia"/>
        </w:rPr>
      </w:pPr>
      <w:bookmarkStart w:id="20" w:name="符号与公式"/>
      <w:bookmarkEnd w:id="19"/>
      <w:r>
        <w:rPr>
          <w:rFonts w:ascii="Times New Roman" w:eastAsia="宋体" w:hAnsi="Times New Roman"/>
          <w:color w:val="000000"/>
        </w:rPr>
        <w:t xml:space="preserve">3.4.1 </w:t>
      </w:r>
      <w:r>
        <w:rPr>
          <w:rFonts w:ascii="Times New Roman" w:eastAsia="宋体" w:hAnsi="Times New Roman" w:hint="eastAsia"/>
          <w:color w:val="000000"/>
        </w:rPr>
        <w:t>符号与公式</w:t>
      </w:r>
    </w:p>
    <w:p w14:paraId="11028A06" w14:textId="77777777" w:rsidR="009E6F54" w:rsidRDefault="009E6F54" w:rsidP="009E6F54">
      <w:pPr>
        <w:spacing w:after="120" w:line="276" w:lineRule="auto"/>
        <w:ind w:firstLine="420"/>
        <w:rPr>
          <w:rFonts w:hint="eastAsia"/>
        </w:rPr>
      </w:pPr>
      <w:bookmarkStart w:id="21" w:name="符号与变量定义"/>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）符号与变量定义</w:t>
      </w:r>
    </w:p>
    <w:tbl>
      <w:tblPr>
        <w:tblW w:w="9000" w:type="dxa"/>
        <w:jc w:val="center"/>
        <w:tblBorders>
          <w:top w:val="single" w:sz="10" w:space="0" w:color="000000"/>
          <w:left w:val="nil"/>
          <w:bottom w:val="single" w:sz="10" w:space="0" w:color="000000"/>
          <w:right w:val="nil"/>
          <w:insideH w:val="nil"/>
          <w:insideV w:val="nil"/>
        </w:tblBorders>
        <w:tblLayout w:type="fixed"/>
        <w:tblLook w:val="0020" w:firstRow="1" w:lastRow="0" w:firstColumn="0" w:lastColumn="0" w:noHBand="0" w:noVBand="0"/>
      </w:tblPr>
      <w:tblGrid>
        <w:gridCol w:w="3000"/>
        <w:gridCol w:w="3000"/>
        <w:gridCol w:w="3000"/>
      </w:tblGrid>
      <w:tr w:rsidR="009E6F54" w14:paraId="1C5004B0" w14:textId="77777777">
        <w:trPr>
          <w:cantSplit/>
          <w:tblHeader/>
          <w:jc w:val="center"/>
        </w:trPr>
        <w:tc>
          <w:tcPr>
            <w:tcW w:w="2640" w:type="dxa"/>
            <w:tcBorders>
              <w:top w:val="nil"/>
              <w:left w:val="nil"/>
              <w:bottom w:val="single" w:sz="8" w:space="0" w:color="000000"/>
              <w:right w:val="nil"/>
            </w:tcBorders>
            <w:tcMar>
              <w:top w:w="80" w:type="dxa"/>
              <w:left w:w="100" w:type="dxa"/>
              <w:bottom w:w="80" w:type="dxa"/>
              <w:right w:w="100" w:type="dxa"/>
            </w:tcMar>
            <w:vAlign w:val="center"/>
          </w:tcPr>
          <w:p w14:paraId="2975C120" w14:textId="77777777" w:rsidR="009E6F54" w:rsidRDefault="009E6F54">
            <w:pPr>
              <w:spacing w:after="40" w:line="252" w:lineRule="auto"/>
              <w:jc w:val="center"/>
              <w:rPr>
                <w:rFonts w:hint="eastAsia"/>
              </w:rPr>
            </w:pPr>
            <w:r>
              <w:rPr>
                <w:rFonts w:ascii="Times New Roman" w:eastAsia="黑体" w:hAnsi="Times New Roman" w:hint="eastAsia"/>
                <w:b/>
                <w:color w:val="000000"/>
                <w:sz w:val="17"/>
              </w:rPr>
              <w:t>符号</w:t>
            </w:r>
          </w:p>
        </w:tc>
        <w:tc>
          <w:tcPr>
            <w:tcW w:w="2640" w:type="dxa"/>
            <w:tcBorders>
              <w:top w:val="nil"/>
              <w:left w:val="nil"/>
              <w:bottom w:val="single" w:sz="8" w:space="0" w:color="000000"/>
              <w:right w:val="nil"/>
            </w:tcBorders>
            <w:tcMar>
              <w:top w:w="80" w:type="dxa"/>
              <w:left w:w="100" w:type="dxa"/>
              <w:bottom w:w="80" w:type="dxa"/>
              <w:right w:w="100" w:type="dxa"/>
            </w:tcMar>
            <w:vAlign w:val="center"/>
          </w:tcPr>
          <w:p w14:paraId="257EC444" w14:textId="77777777" w:rsidR="009E6F54" w:rsidRDefault="009E6F54">
            <w:pPr>
              <w:spacing w:after="40" w:line="252" w:lineRule="auto"/>
              <w:jc w:val="center"/>
              <w:rPr>
                <w:rFonts w:hint="eastAsia"/>
              </w:rPr>
            </w:pPr>
            <w:r>
              <w:rPr>
                <w:rFonts w:ascii="Times New Roman" w:eastAsia="黑体" w:hAnsi="Times New Roman" w:hint="eastAsia"/>
                <w:b/>
                <w:color w:val="000000"/>
                <w:sz w:val="17"/>
              </w:rPr>
              <w:t>含义</w:t>
            </w:r>
          </w:p>
        </w:tc>
        <w:tc>
          <w:tcPr>
            <w:tcW w:w="2640" w:type="dxa"/>
            <w:tcBorders>
              <w:top w:val="nil"/>
              <w:left w:val="nil"/>
              <w:bottom w:val="single" w:sz="8" w:space="0" w:color="000000"/>
              <w:right w:val="nil"/>
            </w:tcBorders>
            <w:tcMar>
              <w:top w:w="80" w:type="dxa"/>
              <w:left w:w="100" w:type="dxa"/>
              <w:bottom w:w="80" w:type="dxa"/>
              <w:right w:w="100" w:type="dxa"/>
            </w:tcMar>
            <w:vAlign w:val="center"/>
          </w:tcPr>
          <w:p w14:paraId="0B3C1DCD" w14:textId="77777777" w:rsidR="009E6F54" w:rsidRDefault="009E6F54">
            <w:pPr>
              <w:spacing w:after="40" w:line="252" w:lineRule="auto"/>
              <w:jc w:val="center"/>
              <w:rPr>
                <w:rFonts w:hint="eastAsia"/>
              </w:rPr>
            </w:pPr>
            <w:r>
              <w:rPr>
                <w:rFonts w:ascii="Times New Roman" w:eastAsia="黑体" w:hAnsi="Times New Roman" w:hint="eastAsia"/>
                <w:b/>
                <w:color w:val="000000"/>
                <w:sz w:val="17"/>
              </w:rPr>
              <w:t>下标或量纲</w:t>
            </w:r>
          </w:p>
        </w:tc>
      </w:tr>
      <w:tr w:rsidR="009E6F54" w14:paraId="38F9B993"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4D084CA" w14:textId="77777777" w:rsidR="009E6F54" w:rsidRDefault="009E6F54">
            <w:pPr>
              <w:spacing w:after="40" w:line="252" w:lineRule="auto"/>
              <w:jc w:val="left"/>
              <w:rPr>
                <w:rFonts w:hint="eastAsia"/>
              </w:rPr>
            </w:pPr>
            <m:oMathPara>
              <m:oMath>
                <m:r>
                  <w:rPr>
                    <w:rFonts w:ascii="Cambria Math" w:hAnsi="Cambria Math"/>
                  </w:rPr>
                  <m:t>b</m:t>
                </m:r>
                <m:r>
                  <m:rPr>
                    <m:sty m:val="p"/>
                  </m:rPr>
                  <w:rPr>
                    <w:rFonts w:ascii="Cambria Math" w:hAnsi="Cambria Math"/>
                  </w:rPr>
                  <m:t>,</m:t>
                </m:r>
                <m:r>
                  <w:rPr>
                    <w:rFonts w:ascii="Cambria Math" w:hAnsi="Cambria Math"/>
                  </w:rPr>
                  <m:t>B</m:t>
                </m:r>
              </m:oMath>
            </m:oMathPara>
          </w:p>
        </w:tc>
        <w:tc>
          <w:tcPr>
            <w:tcW w:w="2640" w:type="dxa"/>
            <w:tcBorders>
              <w:top w:val="nil"/>
              <w:left w:val="nil"/>
              <w:bottom w:val="nil"/>
              <w:right w:val="nil"/>
            </w:tcBorders>
            <w:tcMar>
              <w:top w:w="80" w:type="dxa"/>
              <w:left w:w="100" w:type="dxa"/>
              <w:bottom w:w="80" w:type="dxa"/>
              <w:right w:w="100" w:type="dxa"/>
            </w:tcMar>
            <w:vAlign w:val="center"/>
          </w:tcPr>
          <w:p w14:paraId="0E8323B6" w14:textId="77777777" w:rsidR="009E6F54" w:rsidRDefault="009E6F54">
            <w:pPr>
              <w:spacing w:after="40" w:line="252" w:lineRule="auto"/>
              <w:jc w:val="left"/>
              <w:rPr>
                <w:rFonts w:hint="eastAsia"/>
              </w:rPr>
            </w:pPr>
            <w:r>
              <w:rPr>
                <w:rFonts w:ascii="Times New Roman" w:eastAsia="宋体" w:hAnsi="Times New Roman" w:hint="eastAsia"/>
                <w:color w:val="000000"/>
                <w:sz w:val="17"/>
              </w:rPr>
              <w:t>批量场景索引及批量场景数</w:t>
            </w:r>
          </w:p>
        </w:tc>
        <w:tc>
          <w:tcPr>
            <w:tcW w:w="2640" w:type="dxa"/>
            <w:tcBorders>
              <w:top w:val="nil"/>
              <w:left w:val="nil"/>
              <w:bottom w:val="nil"/>
              <w:right w:val="nil"/>
            </w:tcBorders>
            <w:tcMar>
              <w:top w:w="80" w:type="dxa"/>
              <w:left w:w="100" w:type="dxa"/>
              <w:bottom w:w="80" w:type="dxa"/>
              <w:right w:w="100" w:type="dxa"/>
            </w:tcMar>
            <w:vAlign w:val="center"/>
          </w:tcPr>
          <w:p w14:paraId="57FDA6ED" w14:textId="77777777" w:rsidR="009E6F54" w:rsidRDefault="009E6F54">
            <w:pPr>
              <w:spacing w:after="40" w:line="252" w:lineRule="auto"/>
              <w:jc w:val="left"/>
              <w:rPr>
                <w:rFonts w:hint="eastAsia"/>
              </w:rPr>
            </w:pPr>
            <m:oMathPara>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m:oMathPara>
          </w:p>
        </w:tc>
      </w:tr>
      <w:tr w:rsidR="009E6F54" w14:paraId="44B05ACB"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5F511052" w14:textId="77777777" w:rsidR="009E6F54" w:rsidRDefault="009E6F54">
            <w:pPr>
              <w:spacing w:after="40" w:line="252" w:lineRule="auto"/>
              <w:jc w:val="left"/>
              <w:rPr>
                <w:rFonts w:hint="eastAsia"/>
              </w:rPr>
            </w:pPr>
            <m:oMathPara>
              <m:oMath>
                <m:r>
                  <w:rPr>
                    <w:rFonts w:ascii="Cambria Math" w:hAnsi="Cambria Math"/>
                  </w:rPr>
                  <m:t>K</m:t>
                </m:r>
              </m:oMath>
            </m:oMathPara>
          </w:p>
        </w:tc>
        <w:tc>
          <w:tcPr>
            <w:tcW w:w="2640" w:type="dxa"/>
            <w:tcBorders>
              <w:top w:val="nil"/>
              <w:left w:val="nil"/>
              <w:bottom w:val="nil"/>
              <w:right w:val="nil"/>
            </w:tcBorders>
            <w:tcMar>
              <w:top w:w="80" w:type="dxa"/>
              <w:left w:w="100" w:type="dxa"/>
              <w:bottom w:w="80" w:type="dxa"/>
              <w:right w:w="100" w:type="dxa"/>
            </w:tcMar>
            <w:vAlign w:val="center"/>
          </w:tcPr>
          <w:p w14:paraId="43EC0469" w14:textId="77777777" w:rsidR="009E6F54" w:rsidRDefault="009E6F54">
            <w:pPr>
              <w:spacing w:after="40" w:line="252" w:lineRule="auto"/>
              <w:jc w:val="left"/>
              <w:rPr>
                <w:rFonts w:hint="eastAsia"/>
              </w:rPr>
            </w:pPr>
            <w:r>
              <w:rPr>
                <w:rFonts w:ascii="Times New Roman" w:eastAsia="宋体" w:hAnsi="Times New Roman" w:hint="eastAsia"/>
                <w:color w:val="000000"/>
                <w:sz w:val="17"/>
              </w:rPr>
              <w:t>同一原始轨迹对应的车辆参数域副本数</w:t>
            </w:r>
          </w:p>
        </w:tc>
        <w:tc>
          <w:tcPr>
            <w:tcW w:w="2640" w:type="dxa"/>
            <w:tcBorders>
              <w:top w:val="nil"/>
              <w:left w:val="nil"/>
              <w:bottom w:val="nil"/>
              <w:right w:val="nil"/>
            </w:tcBorders>
            <w:tcMar>
              <w:top w:w="80" w:type="dxa"/>
              <w:left w:w="100" w:type="dxa"/>
              <w:bottom w:w="80" w:type="dxa"/>
              <w:right w:w="100" w:type="dxa"/>
            </w:tcMar>
            <w:vAlign w:val="center"/>
          </w:tcPr>
          <w:p w14:paraId="50721C31" w14:textId="77777777" w:rsidR="009E6F54" w:rsidRDefault="009E6F54">
            <w:pPr>
              <w:spacing w:after="40" w:line="252" w:lineRule="auto"/>
              <w:jc w:val="left"/>
              <w:rPr>
                <w:rFonts w:hint="eastAsia"/>
              </w:rPr>
            </w:pPr>
            <w:r>
              <w:rPr>
                <w:rFonts w:ascii="Times New Roman" w:eastAsia="宋体" w:hAnsi="Times New Roman" w:hint="eastAsia"/>
                <w:color w:val="000000"/>
                <w:sz w:val="17"/>
              </w:rPr>
              <w:t>未启用域随机化时</w:t>
            </w:r>
            <w:r>
              <w:rPr>
                <w:rFonts w:ascii="Times New Roman" w:eastAsia="宋体" w:hAnsi="Times New Roman"/>
                <w:color w:val="000000"/>
                <w:sz w:val="17"/>
              </w:rPr>
              <w:t xml:space="preserve"> </w:t>
            </w:r>
            <m:oMath>
              <m:r>
                <w:rPr>
                  <w:rFonts w:ascii="Cambria Math" w:hAnsi="Cambria Math"/>
                </w:rPr>
                <m:t>K</m:t>
              </m:r>
              <m:r>
                <m:rPr>
                  <m:sty m:val="p"/>
                </m:rPr>
                <w:rPr>
                  <w:rFonts w:ascii="Cambria Math" w:hAnsi="Cambria Math"/>
                </w:rPr>
                <m:t>=</m:t>
              </m:r>
              <m:r>
                <w:rPr>
                  <w:rFonts w:ascii="Cambria Math" w:hAnsi="Cambria Math"/>
                </w:rPr>
                <m:t>1</m:t>
              </m:r>
            </m:oMath>
          </w:p>
        </w:tc>
      </w:tr>
      <w:tr w:rsidR="009E6F54" w14:paraId="149DC592"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C97F32A" w14:textId="77777777" w:rsidR="009E6F54" w:rsidRDefault="009E6F54">
            <w:pPr>
              <w:spacing w:after="40" w:line="252" w:lineRule="auto"/>
              <w:jc w:val="left"/>
              <w:rPr>
                <w:rFonts w:hint="eastAsia"/>
              </w:rPr>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2C586ECC" w14:textId="77777777" w:rsidR="009E6F54" w:rsidRDefault="009E6F54">
            <w:pPr>
              <w:spacing w:after="40" w:line="252" w:lineRule="auto"/>
              <w:jc w:val="left"/>
              <w:rPr>
                <w:rFonts w:hint="eastAsia"/>
              </w:rPr>
            </w:pPr>
            <w:r>
              <w:rPr>
                <w:rFonts w:ascii="Times New Roman" w:eastAsia="宋体" w:hAnsi="Times New Roman" w:hint="eastAsia"/>
                <w:color w:val="000000"/>
                <w:sz w:val="17"/>
              </w:rPr>
              <w:t>控制周期索引及第</w:t>
            </w:r>
            <w:r>
              <w:rPr>
                <w:rFonts w:ascii="Times New Roman" w:eastAsia="宋体" w:hAnsi="Times New Roman"/>
                <w:color w:val="000000"/>
                <w:sz w:val="17"/>
              </w:rPr>
              <w:t xml:space="preserve"> </w:t>
            </w:r>
            <m:oMath>
              <m:r>
                <w:rPr>
                  <w:rFonts w:ascii="Cambria Math" w:hAnsi="Cambria Math"/>
                </w:rPr>
                <m:t>b</m:t>
              </m:r>
            </m:oMath>
            <w:r>
              <w:rPr>
                <w:rFonts w:ascii="Times New Roman" w:eastAsia="宋体" w:hAnsi="Times New Roman"/>
                <w:color w:val="000000"/>
                <w:sz w:val="17"/>
              </w:rPr>
              <w:t xml:space="preserve"> </w:t>
            </w:r>
            <w:r>
              <w:rPr>
                <w:rFonts w:ascii="Times New Roman" w:eastAsia="宋体" w:hAnsi="Times New Roman" w:hint="eastAsia"/>
                <w:color w:val="000000"/>
                <w:sz w:val="17"/>
              </w:rPr>
              <w:t>个场景的末周期</w:t>
            </w:r>
          </w:p>
        </w:tc>
        <w:tc>
          <w:tcPr>
            <w:tcW w:w="2640" w:type="dxa"/>
            <w:tcBorders>
              <w:top w:val="nil"/>
              <w:left w:val="nil"/>
              <w:bottom w:val="nil"/>
              <w:right w:val="nil"/>
            </w:tcBorders>
            <w:tcMar>
              <w:top w:w="80" w:type="dxa"/>
              <w:left w:w="100" w:type="dxa"/>
              <w:bottom w:w="80" w:type="dxa"/>
              <w:right w:w="100" w:type="dxa"/>
            </w:tcMar>
            <w:vAlign w:val="center"/>
          </w:tcPr>
          <w:p w14:paraId="579F4819" w14:textId="77777777" w:rsidR="009E6F54" w:rsidRDefault="009E6F54">
            <w:pPr>
              <w:spacing w:after="40" w:line="252" w:lineRule="auto"/>
              <w:jc w:val="left"/>
              <w:rPr>
                <w:rFonts w:hint="eastAsia"/>
              </w:rPr>
            </w:p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w:r>
              <w:rPr>
                <w:rFonts w:ascii="Times New Roman" w:eastAsia="宋体" w:hAnsi="Times New Roman" w:hint="eastAsia"/>
                <w:color w:val="000000"/>
                <w:sz w:val="17"/>
              </w:rPr>
              <w:t>，周期可为</w:t>
            </w:r>
            <w:r>
              <w:rPr>
                <w:rFonts w:ascii="Times New Roman" w:eastAsia="宋体" w:hAnsi="Times New Roman"/>
                <w:color w:val="000000"/>
                <w:sz w:val="17"/>
              </w:rPr>
              <w:t xml:space="preserve"> 0.02 s</w:t>
            </w:r>
          </w:p>
        </w:tc>
      </w:tr>
      <w:tr w:rsidR="009E6F54" w14:paraId="3C31EC3F"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03B12764"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3E40E764" w14:textId="77777777" w:rsidR="009E6F54" w:rsidRDefault="009E6F54">
            <w:pPr>
              <w:spacing w:after="40" w:line="252" w:lineRule="auto"/>
              <w:jc w:val="left"/>
              <w:rPr>
                <w:rFonts w:hint="eastAsia"/>
              </w:rPr>
            </w:pPr>
            <w:r>
              <w:rPr>
                <w:rFonts w:ascii="Times New Roman" w:eastAsia="宋体" w:hAnsi="Times New Roman" w:hint="eastAsia"/>
                <w:color w:val="000000"/>
                <w:sz w:val="17"/>
              </w:rPr>
              <w:t>车辆状态</w:t>
            </w:r>
          </w:p>
        </w:tc>
        <w:tc>
          <w:tcPr>
            <w:tcW w:w="2640" w:type="dxa"/>
            <w:tcBorders>
              <w:top w:val="nil"/>
              <w:left w:val="nil"/>
              <w:bottom w:val="nil"/>
              <w:right w:val="nil"/>
            </w:tcBorders>
            <w:tcMar>
              <w:top w:w="80" w:type="dxa"/>
              <w:left w:w="100" w:type="dxa"/>
              <w:bottom w:w="80" w:type="dxa"/>
              <w:right w:w="100" w:type="dxa"/>
            </w:tcMar>
            <w:vAlign w:val="center"/>
          </w:tcPr>
          <w:p w14:paraId="5AF9CCC8" w14:textId="77777777" w:rsidR="009E6F54" w:rsidRDefault="009E6F54">
            <w:pPr>
              <w:spacing w:after="40" w:line="252" w:lineRule="auto"/>
              <w:jc w:val="left"/>
              <w:rPr>
                <w:rFonts w:hint="eastAsia"/>
              </w:rPr>
            </w:pPr>
            <w:r>
              <w:rPr>
                <w:rFonts w:ascii="Times New Roman" w:eastAsia="宋体" w:hAnsi="Times New Roman" w:hint="eastAsia"/>
                <w:color w:val="000000"/>
                <w:sz w:val="17"/>
              </w:rPr>
              <w:t>包括位置、航向、速度、横摆角速度和可选铰接状态</w:t>
            </w:r>
          </w:p>
        </w:tc>
      </w:tr>
      <w:tr w:rsidR="009E6F54" w14:paraId="0C93E077"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24113B0"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759D28DE" w14:textId="77777777" w:rsidR="009E6F54" w:rsidRDefault="009E6F54">
            <w:pPr>
              <w:spacing w:after="40" w:line="252" w:lineRule="auto"/>
              <w:jc w:val="left"/>
              <w:rPr>
                <w:rFonts w:hint="eastAsia"/>
              </w:rPr>
            </w:pPr>
            <w:r>
              <w:rPr>
                <w:rFonts w:ascii="Times New Roman" w:eastAsia="宋体" w:hAnsi="Times New Roman" w:hint="eastAsia"/>
                <w:color w:val="000000"/>
                <w:sz w:val="17"/>
              </w:rPr>
              <w:t>参考轨迹状态</w:t>
            </w:r>
          </w:p>
        </w:tc>
        <w:tc>
          <w:tcPr>
            <w:tcW w:w="2640" w:type="dxa"/>
            <w:tcBorders>
              <w:top w:val="nil"/>
              <w:left w:val="nil"/>
              <w:bottom w:val="nil"/>
              <w:right w:val="nil"/>
            </w:tcBorders>
            <w:tcMar>
              <w:top w:w="80" w:type="dxa"/>
              <w:left w:w="100" w:type="dxa"/>
              <w:bottom w:w="80" w:type="dxa"/>
              <w:right w:w="100" w:type="dxa"/>
            </w:tcMar>
            <w:vAlign w:val="center"/>
          </w:tcPr>
          <w:p w14:paraId="2935B600" w14:textId="77777777" w:rsidR="009E6F54" w:rsidRDefault="009E6F54">
            <w:pPr>
              <w:spacing w:after="40" w:line="252" w:lineRule="auto"/>
              <w:jc w:val="left"/>
              <w:rPr>
                <w:rFonts w:hint="eastAsia"/>
              </w:rPr>
            </w:pPr>
            <w:r>
              <w:rPr>
                <w:rFonts w:ascii="Times New Roman" w:eastAsia="宋体" w:hAnsi="Times New Roman" w:hint="eastAsia"/>
                <w:color w:val="000000"/>
                <w:sz w:val="17"/>
              </w:rPr>
              <w:t>包括参考位置、航向、曲率和速度</w:t>
            </w:r>
          </w:p>
        </w:tc>
      </w:tr>
      <w:tr w:rsidR="009E6F54" w14:paraId="6832AB19"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2016ED21"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tc>
        <w:tc>
          <w:tcPr>
            <w:tcW w:w="2640" w:type="dxa"/>
            <w:tcBorders>
              <w:top w:val="nil"/>
              <w:left w:val="nil"/>
              <w:bottom w:val="nil"/>
              <w:right w:val="nil"/>
            </w:tcBorders>
            <w:tcMar>
              <w:top w:w="80" w:type="dxa"/>
              <w:left w:w="100" w:type="dxa"/>
              <w:bottom w:w="80" w:type="dxa"/>
              <w:right w:w="100" w:type="dxa"/>
            </w:tcMar>
            <w:vAlign w:val="center"/>
          </w:tcPr>
          <w:p w14:paraId="2A93D1CC" w14:textId="77777777" w:rsidR="009E6F54" w:rsidRDefault="009E6F54">
            <w:pPr>
              <w:spacing w:after="40" w:line="252" w:lineRule="auto"/>
              <w:jc w:val="left"/>
              <w:rPr>
                <w:rFonts w:hint="eastAsia"/>
              </w:rPr>
            </w:pPr>
            <w:r>
              <w:rPr>
                <w:rFonts w:ascii="Times New Roman" w:eastAsia="宋体" w:hAnsi="Times New Roman" w:hint="eastAsia"/>
                <w:color w:val="000000"/>
                <w:sz w:val="17"/>
              </w:rPr>
              <w:t>控制指令</w:t>
            </w:r>
          </w:p>
        </w:tc>
        <w:tc>
          <w:tcPr>
            <w:tcW w:w="2640" w:type="dxa"/>
            <w:tcBorders>
              <w:top w:val="nil"/>
              <w:left w:val="nil"/>
              <w:bottom w:val="nil"/>
              <w:right w:val="nil"/>
            </w:tcBorders>
            <w:tcMar>
              <w:top w:w="80" w:type="dxa"/>
              <w:left w:w="100" w:type="dxa"/>
              <w:bottom w:w="80" w:type="dxa"/>
              <w:right w:w="100" w:type="dxa"/>
            </w:tcMar>
            <w:vAlign w:val="center"/>
          </w:tcPr>
          <w:p w14:paraId="03E44B8A" w14:textId="77777777" w:rsidR="009E6F54" w:rsidRDefault="009E6F54">
            <w:pPr>
              <w:spacing w:after="40" w:line="252" w:lineRule="auto"/>
              <w:jc w:val="left"/>
              <w:rPr>
                <w:rFonts w:hint="eastAsia"/>
              </w:rPr>
            </w:pPr>
            <m:oMath>
              <m:r>
                <w:rPr>
                  <w:rFonts w:ascii="Cambria Math" w:hAnsi="Cambria Math"/>
                </w:rPr>
                <m:t>δ</m:t>
              </m:r>
            </m:oMath>
            <w:r>
              <w:rPr>
                <w:rFonts w:ascii="Times New Roman" w:eastAsia="宋体" w:hAnsi="Times New Roman"/>
                <w:color w:val="000000"/>
                <w:sz w:val="17"/>
              </w:rPr>
              <w:t xml:space="preserve"> </w:t>
            </w:r>
            <w:r>
              <w:rPr>
                <w:rFonts w:ascii="Times New Roman" w:eastAsia="宋体" w:hAnsi="Times New Roman" w:hint="eastAsia"/>
                <w:color w:val="000000"/>
                <w:sz w:val="17"/>
              </w:rPr>
              <w:t>为转向指令，</w:t>
            </w:r>
            <m:oMath>
              <m:r>
                <w:rPr>
                  <w:rFonts w:ascii="Cambria Math" w:hAnsi="Cambria Math"/>
                </w:rPr>
                <m:t>q</m:t>
              </m:r>
            </m:oMath>
            <w:r>
              <w:rPr>
                <w:rFonts w:ascii="Times New Roman" w:eastAsia="宋体" w:hAnsi="Times New Roman"/>
                <w:color w:val="000000"/>
                <w:sz w:val="17"/>
              </w:rPr>
              <w:t xml:space="preserve"> </w:t>
            </w:r>
            <w:r>
              <w:rPr>
                <w:rFonts w:ascii="Times New Roman" w:eastAsia="宋体" w:hAnsi="Times New Roman" w:hint="eastAsia"/>
                <w:color w:val="000000"/>
                <w:sz w:val="17"/>
              </w:rPr>
              <w:t>为加速度或扭矩类纵向指令</w:t>
            </w:r>
          </w:p>
        </w:tc>
      </w:tr>
      <w:tr w:rsidR="009E6F54" w14:paraId="31C0D997"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7ADAC03C" w14:textId="77777777" w:rsidR="009E6F54" w:rsidRDefault="009E6F54">
            <w:pPr>
              <w:spacing w:after="40" w:line="252" w:lineRule="auto"/>
              <w:jc w:val="left"/>
              <w:rPr>
                <w:rFonts w:hint="eastAsia"/>
              </w:rPr>
            </w:pPr>
            <m:oMathPara>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m:oMathPara>
          </w:p>
        </w:tc>
        <w:tc>
          <w:tcPr>
            <w:tcW w:w="2640" w:type="dxa"/>
            <w:tcBorders>
              <w:top w:val="nil"/>
              <w:left w:val="nil"/>
              <w:bottom w:val="nil"/>
              <w:right w:val="nil"/>
            </w:tcBorders>
            <w:tcMar>
              <w:top w:w="80" w:type="dxa"/>
              <w:left w:w="100" w:type="dxa"/>
              <w:bottom w:w="80" w:type="dxa"/>
              <w:right w:w="100" w:type="dxa"/>
            </w:tcMar>
            <w:vAlign w:val="center"/>
          </w:tcPr>
          <w:p w14:paraId="350DBC0D" w14:textId="77777777" w:rsidR="009E6F54" w:rsidRDefault="009E6F54">
            <w:pPr>
              <w:spacing w:after="40" w:line="252" w:lineRule="auto"/>
              <w:jc w:val="left"/>
              <w:rPr>
                <w:rFonts w:hint="eastAsia"/>
              </w:rPr>
            </w:pPr>
            <w:r>
              <w:rPr>
                <w:rFonts w:ascii="Times New Roman" w:eastAsia="宋体" w:hAnsi="Times New Roman" w:hint="eastAsia"/>
                <w:color w:val="000000"/>
                <w:sz w:val="17"/>
              </w:rPr>
              <w:t>待整定参数、初始工程参数和最终候选参数</w:t>
            </w:r>
          </w:p>
        </w:tc>
        <w:tc>
          <w:tcPr>
            <w:tcW w:w="2640" w:type="dxa"/>
            <w:tcBorders>
              <w:top w:val="nil"/>
              <w:left w:val="nil"/>
              <w:bottom w:val="nil"/>
              <w:right w:val="nil"/>
            </w:tcBorders>
            <w:tcMar>
              <w:top w:w="80" w:type="dxa"/>
              <w:left w:w="100" w:type="dxa"/>
              <w:bottom w:w="80" w:type="dxa"/>
              <w:right w:w="100" w:type="dxa"/>
            </w:tcMar>
            <w:vAlign w:val="center"/>
          </w:tcPr>
          <w:p w14:paraId="6AF41B1B" w14:textId="77777777" w:rsidR="009E6F54" w:rsidRDefault="009E6F54">
            <w:pPr>
              <w:spacing w:after="40" w:line="252" w:lineRule="auto"/>
              <w:jc w:val="left"/>
              <w:rPr>
                <w:rFonts w:hint="eastAsia"/>
              </w:rPr>
            </w:pPr>
            <w:r>
              <w:rPr>
                <w:rFonts w:ascii="Times New Roman" w:eastAsia="宋体" w:hAnsi="Times New Roman" w:hint="eastAsia"/>
                <w:color w:val="000000"/>
                <w:sz w:val="17"/>
              </w:rPr>
              <w:t>含横向参数与纵向参数</w:t>
            </w:r>
          </w:p>
        </w:tc>
      </w:tr>
      <w:tr w:rsidR="009E6F54" w14:paraId="02D55524"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E683638"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hard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0EF4DD4F" w14:textId="77777777" w:rsidR="009E6F54" w:rsidRDefault="009E6F54">
            <w:pPr>
              <w:spacing w:after="40" w:line="252" w:lineRule="auto"/>
              <w:jc w:val="left"/>
              <w:rPr>
                <w:rFonts w:hint="eastAsia"/>
              </w:rPr>
            </w:pPr>
            <w:r>
              <w:rPr>
                <w:rFonts w:ascii="Times New Roman" w:eastAsia="宋体" w:hAnsi="Times New Roman" w:hint="eastAsia"/>
                <w:color w:val="000000"/>
                <w:sz w:val="17"/>
              </w:rPr>
              <w:t>训练路径与硬逻辑验证路径</w:t>
            </w:r>
          </w:p>
        </w:tc>
        <w:tc>
          <w:tcPr>
            <w:tcW w:w="2640" w:type="dxa"/>
            <w:tcBorders>
              <w:top w:val="nil"/>
              <w:left w:val="nil"/>
              <w:bottom w:val="nil"/>
              <w:right w:val="nil"/>
            </w:tcBorders>
            <w:tcMar>
              <w:top w:w="80" w:type="dxa"/>
              <w:left w:w="100" w:type="dxa"/>
              <w:bottom w:w="80" w:type="dxa"/>
              <w:right w:w="100" w:type="dxa"/>
            </w:tcMar>
            <w:vAlign w:val="center"/>
          </w:tcPr>
          <w:p w14:paraId="62DAE6CE" w14:textId="77777777" w:rsidR="009E6F54" w:rsidRDefault="009E6F54">
            <w:pPr>
              <w:spacing w:after="40" w:line="252" w:lineRule="auto"/>
              <w:jc w:val="left"/>
              <w:rPr>
                <w:rFonts w:hint="eastAsia"/>
              </w:rPr>
            </w:pPr>
            <w:r>
              <w:rPr>
                <w:rFonts w:ascii="Times New Roman" w:eastAsia="宋体" w:hAnsi="Times New Roman" w:hint="eastAsia"/>
                <w:color w:val="000000"/>
                <w:sz w:val="17"/>
              </w:rPr>
              <w:t>两条路径共享</w:t>
            </w:r>
            <w:r>
              <w:rPr>
                <w:rFonts w:ascii="Times New Roman" w:eastAsia="宋体" w:hAnsi="Times New Roman"/>
                <w:color w:val="000000"/>
                <w:sz w:val="17"/>
              </w:rPr>
              <w:t xml:space="preserve"> </w:t>
            </w:r>
            <m:oMath>
              <m:r>
                <w:rPr>
                  <w:rFonts w:ascii="Cambria Math" w:hAnsi="Cambria Math"/>
                </w:rPr>
                <m:t>θ</m:t>
              </m:r>
            </m:oMath>
          </w:p>
        </w:tc>
      </w:tr>
      <w:tr w:rsidR="009E6F54" w14:paraId="26B77373"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D2FF38F"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mech</m:t>
                    </m:r>
                  </m:sub>
                </m:sSub>
                <m:r>
                  <m:rPr>
                    <m:sty m:val="p"/>
                  </m:rPr>
                  <w:rPr>
                    <w:rFonts w:ascii="Cambria Math" w:hAnsi="Cambria Math"/>
                  </w:rPr>
                  <m:t>(⋅)</m:t>
                </m:r>
              </m:oMath>
            </m:oMathPara>
          </w:p>
        </w:tc>
        <w:tc>
          <w:tcPr>
            <w:tcW w:w="2640" w:type="dxa"/>
            <w:tcBorders>
              <w:top w:val="nil"/>
              <w:left w:val="nil"/>
              <w:bottom w:val="nil"/>
              <w:right w:val="nil"/>
            </w:tcBorders>
            <w:tcMar>
              <w:top w:w="80" w:type="dxa"/>
              <w:left w:w="100" w:type="dxa"/>
              <w:bottom w:w="80" w:type="dxa"/>
              <w:right w:w="100" w:type="dxa"/>
            </w:tcMar>
            <w:vAlign w:val="center"/>
          </w:tcPr>
          <w:p w14:paraId="439F989B" w14:textId="77777777" w:rsidR="009E6F54" w:rsidRDefault="009E6F54">
            <w:pPr>
              <w:spacing w:after="40" w:line="252" w:lineRule="auto"/>
              <w:jc w:val="left"/>
              <w:rPr>
                <w:rFonts w:hint="eastAsia"/>
              </w:rPr>
            </w:pPr>
            <w:r>
              <w:rPr>
                <w:rFonts w:ascii="Times New Roman" w:eastAsia="宋体" w:hAnsi="Times New Roman" w:hint="eastAsia"/>
                <w:color w:val="000000"/>
                <w:sz w:val="17"/>
              </w:rPr>
              <w:t>车辆机理动力学状态更新函数</w:t>
            </w:r>
          </w:p>
        </w:tc>
        <w:tc>
          <w:tcPr>
            <w:tcW w:w="2640" w:type="dxa"/>
            <w:tcBorders>
              <w:top w:val="nil"/>
              <w:left w:val="nil"/>
              <w:bottom w:val="nil"/>
              <w:right w:val="nil"/>
            </w:tcBorders>
            <w:tcMar>
              <w:top w:w="80" w:type="dxa"/>
              <w:left w:w="100" w:type="dxa"/>
              <w:bottom w:w="80" w:type="dxa"/>
              <w:right w:w="100" w:type="dxa"/>
            </w:tcMar>
            <w:vAlign w:val="center"/>
          </w:tcPr>
          <w:p w14:paraId="5CAE531D" w14:textId="77777777" w:rsidR="009E6F54" w:rsidRDefault="009E6F54">
            <w:pPr>
              <w:spacing w:after="40" w:line="252" w:lineRule="auto"/>
              <w:jc w:val="left"/>
              <w:rPr>
                <w:rFonts w:hint="eastAsia"/>
              </w:rPr>
            </w:pPr>
            <w:r>
              <w:rPr>
                <w:rFonts w:ascii="Times New Roman" w:eastAsia="宋体" w:hAnsi="Times New Roman" w:hint="eastAsia"/>
                <w:color w:val="000000"/>
                <w:sz w:val="17"/>
              </w:rPr>
              <w:t>根据当前状态、控制指令和</w:t>
            </w:r>
            <w:r>
              <w:rPr>
                <w:rFonts w:ascii="Times New Roman" w:eastAsia="宋体" w:hAnsi="Times New Roman"/>
                <w:color w:val="000000"/>
                <w:sz w:val="17"/>
              </w:rPr>
              <w:t xml:space="preserve"> </w:t>
            </w:r>
            <m:oMath>
              <m:sSub>
                <m:sSubPr>
                  <m:ctrlPr>
                    <w:rPr>
                      <w:rFonts w:ascii="Cambria Math" w:hAnsi="Cambria Math"/>
                    </w:rPr>
                  </m:ctrlPr>
                </m:sSubPr>
                <m:e>
                  <m:r>
                    <w:rPr>
                      <w:rFonts w:ascii="Cambria Math" w:hAnsi="Cambria Math"/>
                    </w:rPr>
                    <m:t>ϕ</m:t>
                  </m:r>
                </m:e>
                <m:sub>
                  <m:r>
                    <w:rPr>
                      <w:rFonts w:ascii="Cambria Math" w:hAnsi="Cambria Math"/>
                    </w:rPr>
                    <m:t>b</m:t>
                  </m:r>
                </m:sub>
              </m:sSub>
            </m:oMath>
            <w:r>
              <w:rPr>
                <w:rFonts w:ascii="Times New Roman" w:eastAsia="宋体" w:hAnsi="Times New Roman"/>
                <w:color w:val="000000"/>
                <w:sz w:val="17"/>
              </w:rPr>
              <w:t xml:space="preserve"> </w:t>
            </w:r>
            <w:r>
              <w:rPr>
                <w:rFonts w:ascii="Times New Roman" w:eastAsia="宋体" w:hAnsi="Times New Roman" w:hint="eastAsia"/>
                <w:color w:val="000000"/>
                <w:sz w:val="17"/>
              </w:rPr>
              <w:t>预测下一周期状态</w:t>
            </w:r>
          </w:p>
        </w:tc>
      </w:tr>
      <w:tr w:rsidR="009E6F54" w14:paraId="5F9EAA7B"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6D4DC8A"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ϕ</m:t>
                    </m:r>
                  </m:e>
                  <m:sub>
                    <m:r>
                      <w:rPr>
                        <w:rFonts w:ascii="Cambria Math" w:hAnsi="Cambria Math"/>
                      </w:rPr>
                      <m:t>b</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0F1D8B34" w14:textId="77777777" w:rsidR="009E6F54" w:rsidRDefault="009E6F54">
            <w:pPr>
              <w:spacing w:after="40" w:line="252" w:lineRule="auto"/>
              <w:jc w:val="left"/>
              <w:rPr>
                <w:rFonts w:hint="eastAsia"/>
              </w:rPr>
            </w:pPr>
            <w:r>
              <w:rPr>
                <w:rFonts w:ascii="Times New Roman" w:eastAsia="宋体" w:hAnsi="Times New Roman" w:hint="eastAsia"/>
                <w:color w:val="000000"/>
                <w:sz w:val="17"/>
              </w:rPr>
              <w:t>第</w:t>
            </w:r>
            <w:r>
              <w:rPr>
                <w:rFonts w:ascii="Times New Roman" w:eastAsia="宋体" w:hAnsi="Times New Roman"/>
                <w:color w:val="000000"/>
                <w:sz w:val="17"/>
              </w:rPr>
              <w:t xml:space="preserve"> </w:t>
            </w:r>
            <m:oMath>
              <m:r>
                <w:rPr>
                  <w:rFonts w:ascii="Cambria Math" w:hAnsi="Cambria Math"/>
                </w:rPr>
                <m:t>b</m:t>
              </m:r>
            </m:oMath>
            <w:r>
              <w:rPr>
                <w:rFonts w:ascii="Times New Roman" w:eastAsia="宋体" w:hAnsi="Times New Roman"/>
                <w:color w:val="000000"/>
                <w:sz w:val="17"/>
              </w:rPr>
              <w:t xml:space="preserve"> </w:t>
            </w:r>
            <w:r>
              <w:rPr>
                <w:rFonts w:ascii="Times New Roman" w:eastAsia="宋体" w:hAnsi="Times New Roman" w:hint="eastAsia"/>
                <w:color w:val="000000"/>
                <w:sz w:val="17"/>
              </w:rPr>
              <w:t>个车辆域的机理参数</w:t>
            </w:r>
          </w:p>
        </w:tc>
        <w:tc>
          <w:tcPr>
            <w:tcW w:w="2640" w:type="dxa"/>
            <w:tcBorders>
              <w:top w:val="nil"/>
              <w:left w:val="nil"/>
              <w:bottom w:val="nil"/>
              <w:right w:val="nil"/>
            </w:tcBorders>
            <w:tcMar>
              <w:top w:w="80" w:type="dxa"/>
              <w:left w:w="100" w:type="dxa"/>
              <w:bottom w:w="80" w:type="dxa"/>
              <w:right w:w="100" w:type="dxa"/>
            </w:tcMar>
            <w:vAlign w:val="center"/>
          </w:tcPr>
          <w:p w14:paraId="7B720109" w14:textId="77777777" w:rsidR="009E6F54" w:rsidRDefault="009E6F54">
            <w:pPr>
              <w:spacing w:after="40" w:line="252" w:lineRule="auto"/>
              <w:jc w:val="left"/>
              <w:rPr>
                <w:rFonts w:hint="eastAsia"/>
              </w:rPr>
            </w:pPr>
            <w:r>
              <w:rPr>
                <w:rFonts w:ascii="Times New Roman" w:eastAsia="宋体" w:hAnsi="Times New Roman" w:hint="eastAsia"/>
                <w:color w:val="000000"/>
                <w:sz w:val="17"/>
              </w:rPr>
              <w:t>质量、侧偏刚度、轮胎半径、传动及铰接参数等</w:t>
            </w:r>
          </w:p>
        </w:tc>
      </w:tr>
      <w:tr w:rsidR="009E6F54" w14:paraId="4EB7ABA5"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4FF2665"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oMath>
            </m:oMathPara>
          </w:p>
        </w:tc>
        <w:tc>
          <w:tcPr>
            <w:tcW w:w="2640" w:type="dxa"/>
            <w:tcBorders>
              <w:top w:val="nil"/>
              <w:left w:val="nil"/>
              <w:bottom w:val="nil"/>
              <w:right w:val="nil"/>
            </w:tcBorders>
            <w:tcMar>
              <w:top w:w="80" w:type="dxa"/>
              <w:left w:w="100" w:type="dxa"/>
              <w:bottom w:w="80" w:type="dxa"/>
              <w:right w:w="100" w:type="dxa"/>
            </w:tcMar>
            <w:vAlign w:val="center"/>
          </w:tcPr>
          <w:p w14:paraId="2B70D83E" w14:textId="77777777" w:rsidR="009E6F54" w:rsidRDefault="009E6F54">
            <w:pPr>
              <w:spacing w:after="40" w:line="252" w:lineRule="auto"/>
              <w:jc w:val="left"/>
              <w:rPr>
                <w:rFonts w:hint="eastAsia"/>
              </w:rPr>
            </w:pPr>
            <w:r>
              <w:rPr>
                <w:rFonts w:ascii="Times New Roman" w:eastAsia="宋体" w:hAnsi="Times New Roman" w:hint="eastAsia"/>
                <w:color w:val="000000"/>
                <w:sz w:val="17"/>
              </w:rPr>
              <w:t>可选</w:t>
            </w:r>
            <w:r>
              <w:rPr>
                <w:rFonts w:ascii="Times New Roman" w:eastAsia="宋体" w:hAnsi="Times New Roman"/>
                <w:color w:val="000000"/>
                <w:sz w:val="17"/>
              </w:rPr>
              <w:t xml:space="preserve"> MLP </w:t>
            </w:r>
            <w:r>
              <w:rPr>
                <w:rFonts w:ascii="Times New Roman" w:eastAsia="宋体" w:hAnsi="Times New Roman" w:hint="eastAsia"/>
                <w:color w:val="000000"/>
                <w:sz w:val="17"/>
              </w:rPr>
              <w:t>残差模型</w:t>
            </w:r>
          </w:p>
        </w:tc>
        <w:tc>
          <w:tcPr>
            <w:tcW w:w="2640" w:type="dxa"/>
            <w:tcBorders>
              <w:top w:val="nil"/>
              <w:left w:val="nil"/>
              <w:bottom w:val="nil"/>
              <w:right w:val="nil"/>
            </w:tcBorders>
            <w:tcMar>
              <w:top w:w="80" w:type="dxa"/>
              <w:left w:w="100" w:type="dxa"/>
              <w:bottom w:w="80" w:type="dxa"/>
              <w:right w:w="100" w:type="dxa"/>
            </w:tcMar>
            <w:vAlign w:val="center"/>
          </w:tcPr>
          <w:p w14:paraId="23249D6A" w14:textId="77777777" w:rsidR="009E6F54" w:rsidRDefault="009E6F54">
            <w:pPr>
              <w:spacing w:after="40" w:line="252" w:lineRule="auto"/>
              <w:jc w:val="left"/>
              <w:rPr>
                <w:rFonts w:hint="eastAsia"/>
              </w:rPr>
            </w:pPr>
            <m:oMath>
              <m:r>
                <w:rPr>
                  <w:rFonts w:ascii="Cambria Math" w:hAnsi="Cambria Math"/>
                </w:rPr>
                <m:t>ψ</m:t>
              </m:r>
            </m:oMath>
            <w:r>
              <w:rPr>
                <w:rFonts w:ascii="Times New Roman" w:eastAsia="宋体" w:hAnsi="Times New Roman"/>
                <w:color w:val="000000"/>
                <w:sz w:val="17"/>
              </w:rPr>
              <w:t xml:space="preserve"> </w:t>
            </w:r>
            <w:r>
              <w:rPr>
                <w:rFonts w:ascii="Times New Roman" w:eastAsia="宋体" w:hAnsi="Times New Roman" w:hint="eastAsia"/>
                <w:color w:val="000000"/>
                <w:sz w:val="17"/>
              </w:rPr>
              <w:t>在控制器整定期间冻结</w:t>
            </w:r>
          </w:p>
        </w:tc>
      </w:tr>
      <w:tr w:rsidR="009E6F54" w14:paraId="22E86B89"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7740C55C"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cr m:val="script"/>
                    <m:sty m:val="p"/>
                  </m:rPr>
                  <w:rPr>
                    <w:rFonts w:ascii="Cambria Math" w:hAnsi="Cambria Math"/>
                  </w:rPr>
                  <m:t>,T(⋅),</m:t>
                </m:r>
                <m:r>
                  <w:rPr>
                    <w:rFonts w:ascii="Cambria Math" w:hAnsi="Cambria Math"/>
                  </w:rPr>
                  <m:t>α</m:t>
                </m:r>
              </m:oMath>
            </m:oMathPara>
          </w:p>
        </w:tc>
        <w:tc>
          <w:tcPr>
            <w:tcW w:w="2640" w:type="dxa"/>
            <w:tcBorders>
              <w:top w:val="nil"/>
              <w:left w:val="nil"/>
              <w:bottom w:val="nil"/>
              <w:right w:val="nil"/>
            </w:tcBorders>
            <w:tcMar>
              <w:top w:w="80" w:type="dxa"/>
              <w:left w:w="100" w:type="dxa"/>
              <w:bottom w:w="80" w:type="dxa"/>
              <w:right w:w="100" w:type="dxa"/>
            </w:tcMar>
            <w:vAlign w:val="center"/>
          </w:tcPr>
          <w:p w14:paraId="0AE05442" w14:textId="77777777" w:rsidR="009E6F54" w:rsidRDefault="009E6F54">
            <w:pPr>
              <w:spacing w:after="40" w:line="252" w:lineRule="auto"/>
              <w:jc w:val="left"/>
              <w:rPr>
                <w:rFonts w:hint="eastAsia"/>
              </w:rPr>
            </w:pPr>
            <w:r>
              <w:rPr>
                <w:rFonts w:ascii="Times New Roman" w:eastAsia="宋体" w:hAnsi="Times New Roman" w:hint="eastAsia"/>
                <w:color w:val="000000"/>
                <w:sz w:val="17"/>
              </w:rPr>
              <w:t>残差输入、状态转换算子和残差启用标志</w:t>
            </w:r>
          </w:p>
        </w:tc>
        <w:tc>
          <w:tcPr>
            <w:tcW w:w="2640" w:type="dxa"/>
            <w:tcBorders>
              <w:top w:val="nil"/>
              <w:left w:val="nil"/>
              <w:bottom w:val="nil"/>
              <w:right w:val="nil"/>
            </w:tcBorders>
            <w:tcMar>
              <w:top w:w="80" w:type="dxa"/>
              <w:left w:w="100" w:type="dxa"/>
              <w:bottom w:w="80" w:type="dxa"/>
              <w:right w:w="100" w:type="dxa"/>
            </w:tcMar>
            <w:vAlign w:val="center"/>
          </w:tcPr>
          <w:p w14:paraId="5B0D28F0" w14:textId="77777777" w:rsidR="009E6F54" w:rsidRDefault="009E6F54">
            <w:pPr>
              <w:spacing w:after="40" w:line="252" w:lineRule="auto"/>
              <w:jc w:val="left"/>
              <w:rPr>
                <w:rFonts w:hint="eastAsia"/>
              </w:rPr>
            </w:pPr>
            <m:oMath>
              <m:r>
                <w:rPr>
                  <w:rFonts w:ascii="Cambria Math" w:hAnsi="Cambria Math"/>
                </w:rPr>
                <m:t>α</m:t>
              </m:r>
              <m:r>
                <m:rPr>
                  <m:sty m:val="p"/>
                </m:rPr>
                <w:rPr>
                  <w:rFonts w:ascii="Cambria Math" w:hAnsi="Cambria Math"/>
                </w:rPr>
                <m:t>=</m:t>
              </m:r>
              <m:r>
                <w:rPr>
                  <w:rFonts w:ascii="Cambria Math" w:hAnsi="Cambria Math"/>
                </w:rPr>
                <m:t>0</m:t>
              </m:r>
            </m:oMath>
            <w:r>
              <w:rPr>
                <w:rFonts w:ascii="Times New Roman" w:eastAsia="宋体" w:hAnsi="Times New Roman"/>
                <w:color w:val="000000"/>
                <w:sz w:val="17"/>
              </w:rPr>
              <w:t xml:space="preserve"> </w:t>
            </w:r>
            <w:r>
              <w:rPr>
                <w:rFonts w:ascii="Times New Roman" w:eastAsia="宋体" w:hAnsi="Times New Roman" w:hint="eastAsia"/>
                <w:color w:val="000000"/>
                <w:sz w:val="17"/>
              </w:rPr>
              <w:t>为纯机理，</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color w:val="000000"/>
                <w:sz w:val="17"/>
              </w:rPr>
              <w:t xml:space="preserve"> </w:t>
            </w:r>
            <w:r>
              <w:rPr>
                <w:rFonts w:ascii="Times New Roman" w:eastAsia="宋体" w:hAnsi="Times New Roman" w:hint="eastAsia"/>
                <w:color w:val="000000"/>
                <w:sz w:val="17"/>
              </w:rPr>
              <w:t>为混合被控对象</w:t>
            </w:r>
          </w:p>
        </w:tc>
      </w:tr>
      <w:tr w:rsidR="009E6F54" w14:paraId="4D669A8E"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9723345"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,spd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3D25C95D" w14:textId="77777777" w:rsidR="009E6F54" w:rsidRDefault="009E6F54">
            <w:pPr>
              <w:spacing w:after="40" w:line="252" w:lineRule="auto"/>
              <w:jc w:val="left"/>
              <w:rPr>
                <w:rFonts w:hint="eastAsia"/>
              </w:rPr>
            </w:pPr>
            <w:r>
              <w:rPr>
                <w:rFonts w:ascii="Times New Roman" w:eastAsia="宋体" w:hAnsi="Times New Roman" w:hint="eastAsia"/>
                <w:color w:val="000000"/>
                <w:sz w:val="17"/>
              </w:rPr>
              <w:t>横向、航向和速度跟踪误差</w:t>
            </w:r>
          </w:p>
        </w:tc>
        <w:tc>
          <w:tcPr>
            <w:tcW w:w="2640" w:type="dxa"/>
            <w:tcBorders>
              <w:top w:val="nil"/>
              <w:left w:val="nil"/>
              <w:bottom w:val="nil"/>
              <w:right w:val="nil"/>
            </w:tcBorders>
            <w:tcMar>
              <w:top w:w="80" w:type="dxa"/>
              <w:left w:w="100" w:type="dxa"/>
              <w:bottom w:w="80" w:type="dxa"/>
              <w:right w:w="100" w:type="dxa"/>
            </w:tcMar>
            <w:vAlign w:val="center"/>
          </w:tcPr>
          <w:p w14:paraId="6DAAD2D1" w14:textId="77777777" w:rsidR="009E6F54" w:rsidRDefault="009E6F54">
            <w:pPr>
              <w:spacing w:after="40" w:line="252" w:lineRule="auto"/>
              <w:jc w:val="left"/>
              <w:rPr>
                <w:rFonts w:hint="eastAsia"/>
              </w:rPr>
            </w:pPr>
            <w:r>
              <w:rPr>
                <w:rFonts w:ascii="Times New Roman" w:eastAsia="宋体" w:hAnsi="Times New Roman" w:hint="eastAsia"/>
                <w:color w:val="000000"/>
                <w:sz w:val="17"/>
              </w:rPr>
              <w:t>分别为</w:t>
            </w:r>
            <w:r>
              <w:rPr>
                <w:rFonts w:ascii="Times New Roman" w:eastAsia="宋体" w:hAnsi="Times New Roman"/>
                <w:color w:val="000000"/>
                <w:sz w:val="17"/>
              </w:rPr>
              <w:t xml:space="preserve"> m</w:t>
            </w:r>
            <w:r>
              <w:rPr>
                <w:rFonts w:ascii="Times New Roman" w:eastAsia="宋体" w:hAnsi="Times New Roman"/>
                <w:color w:val="000000"/>
                <w:sz w:val="17"/>
              </w:rPr>
              <w:t>、</w:t>
            </w:r>
            <w:r>
              <w:rPr>
                <w:rFonts w:ascii="Times New Roman" w:eastAsia="宋体" w:hAnsi="Times New Roman"/>
                <w:color w:val="000000"/>
                <w:sz w:val="17"/>
              </w:rPr>
              <w:t>rad</w:t>
            </w:r>
            <w:r>
              <w:rPr>
                <w:rFonts w:ascii="Times New Roman" w:eastAsia="宋体" w:hAnsi="Times New Roman"/>
                <w:color w:val="000000"/>
                <w:sz w:val="17"/>
              </w:rPr>
              <w:t>、</w:t>
            </w:r>
            <w:r>
              <w:rPr>
                <w:rFonts w:ascii="Times New Roman" w:eastAsia="宋体" w:hAnsi="Times New Roman"/>
                <w:color w:val="000000"/>
                <w:sz w:val="17"/>
              </w:rPr>
              <w:t xml:space="preserve">m/s </w:t>
            </w:r>
            <w:r>
              <w:rPr>
                <w:rFonts w:ascii="Times New Roman" w:eastAsia="宋体" w:hAnsi="Times New Roman" w:hint="eastAsia"/>
                <w:color w:val="000000"/>
                <w:sz w:val="17"/>
              </w:rPr>
              <w:t>或相应归一化量</w:t>
            </w:r>
          </w:p>
        </w:tc>
      </w:tr>
      <w:tr w:rsidR="009E6F54" w14:paraId="41F7C21D"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74441286" w14:textId="77777777" w:rsidR="009E6F54" w:rsidRDefault="009E6F54">
            <w:pPr>
              <w:spacing w:after="40" w:line="252" w:lineRule="auto"/>
              <w:jc w:val="left"/>
              <w:rPr>
                <w:rFonts w:hint="eastAsia"/>
              </w:rPr>
            </w:pPr>
            <m:oMathPara>
              <m:oMath>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72878FD2" w14:textId="77777777" w:rsidR="009E6F54" w:rsidRDefault="009E6F54">
            <w:pPr>
              <w:spacing w:after="40" w:line="252" w:lineRule="auto"/>
              <w:jc w:val="left"/>
              <w:rPr>
                <w:rFonts w:hint="eastAsia"/>
              </w:rPr>
            </w:pPr>
            <w:r>
              <w:rPr>
                <w:rFonts w:ascii="Times New Roman" w:eastAsia="宋体" w:hAnsi="Times New Roman" w:hint="eastAsia"/>
                <w:color w:val="000000"/>
                <w:sz w:val="17"/>
              </w:rPr>
              <w:t>相邻周期控制增量</w:t>
            </w:r>
          </w:p>
        </w:tc>
        <w:tc>
          <w:tcPr>
            <w:tcW w:w="2640" w:type="dxa"/>
            <w:tcBorders>
              <w:top w:val="nil"/>
              <w:left w:val="nil"/>
              <w:bottom w:val="nil"/>
              <w:right w:val="nil"/>
            </w:tcBorders>
            <w:tcMar>
              <w:top w:w="80" w:type="dxa"/>
              <w:left w:w="100" w:type="dxa"/>
              <w:bottom w:w="80" w:type="dxa"/>
              <w:right w:w="100" w:type="dxa"/>
            </w:tcMar>
            <w:vAlign w:val="center"/>
          </w:tcPr>
          <w:p w14:paraId="55A54FEB" w14:textId="77777777" w:rsidR="009E6F54" w:rsidRDefault="009E6F54">
            <w:pPr>
              <w:spacing w:after="40" w:line="252" w:lineRule="auto"/>
              <w:jc w:val="left"/>
              <w:rPr>
                <w:rFonts w:hint="eastAsia"/>
              </w:rPr>
            </w:pPr>
            <m:oMath>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Pr>
                <w:rFonts w:ascii="Times New Roman" w:eastAsia="宋体" w:hAnsi="Times New Roman"/>
                <w:color w:val="000000"/>
                <w:sz w:val="17"/>
              </w:rPr>
              <w:t>、</w:t>
            </w:r>
            <m:oMath>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Pr>
                <w:rFonts w:ascii="Times New Roman" w:eastAsia="宋体" w:hAnsi="Times New Roman" w:hint="eastAsia"/>
                <w:color w:val="000000"/>
                <w:sz w:val="17"/>
              </w:rPr>
              <w:t>，从</w:t>
            </w:r>
            <w:r>
              <w:rPr>
                <w:rFonts w:ascii="Times New Roman" w:eastAsia="宋体" w:hAnsi="Times New Roman"/>
                <w:color w:val="000000"/>
                <w:sz w:val="17"/>
              </w:rPr>
              <w:t xml:space="preserve"> </w:t>
            </w:r>
            <m:oMath>
              <m:r>
                <w:rPr>
                  <w:rFonts w:ascii="Cambria Math" w:hAnsi="Cambria Math"/>
                </w:rPr>
                <m:t>t</m:t>
              </m:r>
              <m:r>
                <m:rPr>
                  <m:sty m:val="p"/>
                </m:rPr>
                <w:rPr>
                  <w:rFonts w:ascii="Cambria Math" w:hAnsi="Cambria Math"/>
                </w:rPr>
                <m:t>=</m:t>
              </m:r>
              <m:r>
                <w:rPr>
                  <w:rFonts w:ascii="Cambria Math" w:hAnsi="Cambria Math"/>
                </w:rPr>
                <m:t>1</m:t>
              </m:r>
            </m:oMath>
            <w:r>
              <w:rPr>
                <w:rFonts w:ascii="Times New Roman" w:eastAsia="宋体" w:hAnsi="Times New Roman"/>
                <w:color w:val="000000"/>
                <w:sz w:val="17"/>
              </w:rPr>
              <w:t xml:space="preserve"> </w:t>
            </w:r>
            <w:r>
              <w:rPr>
                <w:rFonts w:ascii="Times New Roman" w:eastAsia="宋体" w:hAnsi="Times New Roman" w:hint="eastAsia"/>
                <w:color w:val="000000"/>
                <w:sz w:val="17"/>
              </w:rPr>
              <w:t>起计算</w:t>
            </w:r>
          </w:p>
        </w:tc>
      </w:tr>
      <w:tr w:rsidR="009E6F54" w14:paraId="23B5AA74"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58DEA0E9"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6FCFE455" w14:textId="77777777" w:rsidR="009E6F54" w:rsidRDefault="009E6F54">
            <w:pPr>
              <w:spacing w:after="40" w:line="252" w:lineRule="auto"/>
              <w:jc w:val="left"/>
              <w:rPr>
                <w:rFonts w:hint="eastAsia"/>
              </w:rPr>
            </w:pPr>
            <w:r>
              <w:rPr>
                <w:rFonts w:ascii="Times New Roman" w:eastAsia="宋体" w:hAnsi="Times New Roman" w:hint="eastAsia"/>
                <w:color w:val="000000"/>
                <w:sz w:val="17"/>
              </w:rPr>
              <w:t>三类跟踪误差及两类控制增量的权重</w:t>
            </w:r>
          </w:p>
        </w:tc>
        <w:tc>
          <w:tcPr>
            <w:tcW w:w="2640" w:type="dxa"/>
            <w:tcBorders>
              <w:top w:val="nil"/>
              <w:left w:val="nil"/>
              <w:bottom w:val="nil"/>
              <w:right w:val="nil"/>
            </w:tcBorders>
            <w:tcMar>
              <w:top w:w="80" w:type="dxa"/>
              <w:left w:w="100" w:type="dxa"/>
              <w:bottom w:w="80" w:type="dxa"/>
              <w:right w:w="100" w:type="dxa"/>
            </w:tcMar>
            <w:vAlign w:val="center"/>
          </w:tcPr>
          <w:p w14:paraId="15777AFB" w14:textId="77777777" w:rsidR="009E6F54" w:rsidRDefault="009E6F54">
            <w:pPr>
              <w:spacing w:after="40" w:line="252" w:lineRule="auto"/>
              <w:jc w:val="left"/>
              <w:rPr>
                <w:rFonts w:hint="eastAsia"/>
              </w:rPr>
            </w:pPr>
            <w:r>
              <w:rPr>
                <w:rFonts w:ascii="Times New Roman" w:eastAsia="宋体" w:hAnsi="Times New Roman" w:hint="eastAsia"/>
                <w:color w:val="000000"/>
                <w:sz w:val="17"/>
              </w:rPr>
              <w:t>均为非负预设值，且至少一个跟踪误差权重大于零</w:t>
            </w:r>
          </w:p>
        </w:tc>
      </w:tr>
      <w:tr w:rsidR="009E6F54" w14:paraId="0F07980D"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0B58F19F" w14:textId="77777777" w:rsidR="009E6F54" w:rsidRDefault="009E6F54">
            <w:pPr>
              <w:spacing w:after="40" w:line="252" w:lineRule="auto"/>
              <w:jc w:val="left"/>
              <w:rPr>
                <w:rFonts w:hint="eastAsia"/>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ε</m:t>
                </m:r>
              </m:oMath>
            </m:oMathPara>
          </w:p>
        </w:tc>
        <w:tc>
          <w:tcPr>
            <w:tcW w:w="2640" w:type="dxa"/>
            <w:tcBorders>
              <w:top w:val="nil"/>
              <w:left w:val="nil"/>
              <w:bottom w:val="nil"/>
              <w:right w:val="nil"/>
            </w:tcBorders>
            <w:tcMar>
              <w:top w:w="80" w:type="dxa"/>
              <w:left w:w="100" w:type="dxa"/>
              <w:bottom w:w="80" w:type="dxa"/>
              <w:right w:w="100" w:type="dxa"/>
            </w:tcMar>
            <w:vAlign w:val="center"/>
          </w:tcPr>
          <w:p w14:paraId="6E3A0D31" w14:textId="77777777" w:rsidR="009E6F54" w:rsidRDefault="009E6F54">
            <w:pPr>
              <w:spacing w:after="40" w:line="252" w:lineRule="auto"/>
              <w:jc w:val="left"/>
              <w:rPr>
                <w:rFonts w:hint="eastAsia"/>
              </w:rPr>
            </w:pPr>
            <w:r>
              <w:rPr>
                <w:rFonts w:ascii="Times New Roman" w:eastAsia="宋体" w:hAnsi="Times New Roman" w:hint="eastAsia"/>
                <w:color w:val="000000"/>
                <w:sz w:val="17"/>
              </w:rPr>
              <w:t>场景损失、固定参考基线和防零常数</w:t>
            </w:r>
          </w:p>
        </w:tc>
        <w:tc>
          <w:tcPr>
            <w:tcW w:w="2640" w:type="dxa"/>
            <w:tcBorders>
              <w:top w:val="nil"/>
              <w:left w:val="nil"/>
              <w:bottom w:val="nil"/>
              <w:right w:val="nil"/>
            </w:tcBorders>
            <w:tcMar>
              <w:top w:w="80" w:type="dxa"/>
              <w:left w:w="100" w:type="dxa"/>
              <w:bottom w:w="80" w:type="dxa"/>
              <w:right w:w="100" w:type="dxa"/>
            </w:tcMar>
            <w:vAlign w:val="center"/>
          </w:tcPr>
          <w:p w14:paraId="441905FD" w14:textId="77777777" w:rsidR="009E6F54" w:rsidRDefault="009E6F54">
            <w:pPr>
              <w:spacing w:after="40" w:line="252" w:lineRule="auto"/>
              <w:jc w:val="left"/>
              <w:rPr>
                <w:rFonts w:hint="eastAsia"/>
              </w:rPr>
            </w:pPr>
            <w:r>
              <w:rPr>
                <w:rFonts w:ascii="Times New Roman" w:eastAsia="宋体" w:hAnsi="Times New Roman" w:hint="eastAsia"/>
                <w:color w:val="000000"/>
                <w:sz w:val="17"/>
              </w:rPr>
              <w:t>域随机化时基线先在同一轨迹的</w:t>
            </w:r>
            <w:r>
              <w:rPr>
                <w:rFonts w:ascii="Times New Roman" w:eastAsia="宋体" w:hAnsi="Times New Roman"/>
                <w:color w:val="000000"/>
                <w:sz w:val="17"/>
              </w:rPr>
              <w:t xml:space="preserve"> </w:t>
            </w:r>
            <m:oMath>
              <m:r>
                <w:rPr>
                  <w:rFonts w:ascii="Cambria Math" w:hAnsi="Cambria Math"/>
                </w:rPr>
                <m:t>K</m:t>
              </m:r>
            </m:oMath>
            <w:r>
              <w:rPr>
                <w:rFonts w:ascii="Times New Roman" w:eastAsia="宋体" w:hAnsi="Times New Roman"/>
                <w:color w:val="000000"/>
                <w:sz w:val="17"/>
              </w:rPr>
              <w:t xml:space="preserve"> </w:t>
            </w:r>
            <w:r>
              <w:rPr>
                <w:rFonts w:ascii="Times New Roman" w:eastAsia="宋体" w:hAnsi="Times New Roman" w:hint="eastAsia"/>
                <w:color w:val="000000"/>
                <w:sz w:val="17"/>
              </w:rPr>
              <w:t>个车辆域上取均值并停止梯度</w:t>
            </w:r>
          </w:p>
        </w:tc>
      </w:tr>
      <w:tr w:rsidR="009E6F54" w14:paraId="0E0303B0"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3160D5BC" w14:textId="77777777" w:rsidR="009E6F54" w:rsidRDefault="009E6F54">
            <w:pPr>
              <w:spacing w:after="40" w:line="252" w:lineRule="auto"/>
              <w:jc w:val="left"/>
              <w:rPr>
                <w:rFonts w:hint="eastAsia"/>
              </w:rPr>
            </w:pPr>
            <m:oMathPara>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6AF44AD0" w14:textId="77777777" w:rsidR="009E6F54" w:rsidRDefault="009E6F54">
            <w:pPr>
              <w:spacing w:after="40" w:line="252" w:lineRule="auto"/>
              <w:jc w:val="left"/>
              <w:rPr>
                <w:rFonts w:hint="eastAsia"/>
              </w:rPr>
            </w:pPr>
            <w:r>
              <w:rPr>
                <w:rFonts w:ascii="Times New Roman" w:eastAsia="宋体" w:hAnsi="Times New Roman" w:hint="eastAsia"/>
                <w:color w:val="000000"/>
                <w:sz w:val="17"/>
              </w:rPr>
              <w:t>软归一化指数、场景归一化因子和中位数下限</w:t>
            </w:r>
          </w:p>
        </w:tc>
        <w:tc>
          <w:tcPr>
            <w:tcW w:w="2640" w:type="dxa"/>
            <w:tcBorders>
              <w:top w:val="nil"/>
              <w:left w:val="nil"/>
              <w:bottom w:val="nil"/>
              <w:right w:val="nil"/>
            </w:tcBorders>
            <w:tcMar>
              <w:top w:w="80" w:type="dxa"/>
              <w:left w:w="100" w:type="dxa"/>
              <w:bottom w:w="80" w:type="dxa"/>
              <w:right w:w="100" w:type="dxa"/>
            </w:tcMar>
            <w:vAlign w:val="center"/>
          </w:tcPr>
          <w:p w14:paraId="38E6EC46" w14:textId="77777777" w:rsidR="009E6F54" w:rsidRDefault="009E6F54">
            <w:pPr>
              <w:spacing w:after="40" w:line="252" w:lineRule="auto"/>
              <w:jc w:val="left"/>
              <w:rPr>
                <w:rFonts w:hint="eastAsia"/>
              </w:rPr>
            </w:pPr>
            <w:r>
              <w:rPr>
                <w:rFonts w:ascii="Times New Roman" w:eastAsia="宋体" w:hAnsi="Times New Roman" w:hint="eastAsia"/>
                <w:color w:val="000000"/>
                <w:sz w:val="17"/>
              </w:rPr>
              <w:t>实施例</w:t>
            </w:r>
            <w:r>
              <w:rPr>
                <w:rFonts w:ascii="Times New Roman" w:eastAsia="宋体" w:hAnsi="Times New Roman"/>
                <w:color w:val="000000"/>
                <w:sz w:val="17"/>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sz w:val="17"/>
              </w:rPr>
              <w:t>，</w:t>
            </w:r>
            <m:oMath>
              <m:sSub>
                <m:sSubPr>
                  <m:ctrlPr>
                    <w:rPr>
                      <w:rFonts w:ascii="Cambria Math" w:hAnsi="Cambria Math"/>
                    </w:rPr>
                  </m:ctrlPr>
                </m:sSubPr>
                <m:e>
                  <m:r>
                    <w:rPr>
                      <w:rFonts w:ascii="Cambria Math" w:hAnsi="Cambria Math"/>
                    </w:rPr>
                    <m:t>ν</m:t>
                  </m:r>
                </m:e>
                <m:sub>
                  <m:r>
                    <w:rPr>
                      <w:rFonts w:ascii="Cambria Math" w:hAnsi="Cambria Math"/>
                    </w:rPr>
                    <m:t>b</m:t>
                  </m:r>
                </m:sub>
              </m:sSub>
            </m:oMath>
            <w:r>
              <w:rPr>
                <w:rFonts w:ascii="Times New Roman" w:eastAsia="宋体" w:hAnsi="Times New Roman"/>
                <w:color w:val="000000"/>
                <w:sz w:val="17"/>
              </w:rPr>
              <w:t xml:space="preserve"> </w:t>
            </w:r>
            <w:r>
              <w:rPr>
                <w:rFonts w:ascii="Times New Roman" w:eastAsia="宋体" w:hAnsi="Times New Roman" w:hint="eastAsia"/>
                <w:color w:val="000000"/>
                <w:sz w:val="17"/>
              </w:rPr>
              <w:t>由式（</w:t>
            </w:r>
            <w:r>
              <w:rPr>
                <w:rFonts w:ascii="Times New Roman" w:eastAsia="宋体" w:hAnsi="Times New Roman" w:hint="eastAsia"/>
                <w:color w:val="000000"/>
                <w:sz w:val="17"/>
              </w:rPr>
              <w:t>5</w:t>
            </w:r>
            <w:r>
              <w:rPr>
                <w:rFonts w:ascii="Times New Roman" w:eastAsia="宋体" w:hAnsi="Times New Roman" w:hint="eastAsia"/>
                <w:color w:val="000000"/>
                <w:sz w:val="17"/>
              </w:rPr>
              <w:t>）确定</w:t>
            </w:r>
          </w:p>
        </w:tc>
      </w:tr>
      <w:tr w:rsidR="009E6F54" w14:paraId="6E08D047"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24B12AA4" w14:textId="77777777" w:rsidR="009E6F54" w:rsidRDefault="009E6F54">
            <w:pPr>
              <w:spacing w:after="40" w:line="252" w:lineRule="auto"/>
              <w:jc w:val="left"/>
              <w:rPr>
                <w:rFonts w:hint="eastAsia"/>
              </w:rPr>
            </w:pPr>
            <m:oMathPara>
              <m:oMath>
                <m:r>
                  <w:rPr>
                    <w:rFonts w:ascii="Cambria Math" w:hAnsi="Cambria Math"/>
                  </w:rPr>
                  <m:t>J</m:t>
                </m:r>
                <m:r>
                  <m:rPr>
                    <m:sty m:val="p"/>
                  </m:rPr>
                  <w:rPr>
                    <w:rFonts w:ascii="Cambria Math" w:hAnsi="Cambria Math"/>
                  </w:rPr>
                  <m:t>,</m:t>
                </m:r>
                <m:r>
                  <w:rPr>
                    <w:rFonts w:ascii="Cambria Math" w:hAnsi="Cambria Math"/>
                  </w:rPr>
                  <m:t>λ</m:t>
                </m:r>
              </m:oMath>
            </m:oMathPara>
          </w:p>
        </w:tc>
        <w:tc>
          <w:tcPr>
            <w:tcW w:w="2640" w:type="dxa"/>
            <w:tcBorders>
              <w:top w:val="nil"/>
              <w:left w:val="nil"/>
              <w:bottom w:val="nil"/>
              <w:right w:val="nil"/>
            </w:tcBorders>
            <w:tcMar>
              <w:top w:w="80" w:type="dxa"/>
              <w:left w:w="100" w:type="dxa"/>
              <w:bottom w:w="80" w:type="dxa"/>
              <w:right w:w="100" w:type="dxa"/>
            </w:tcMar>
            <w:vAlign w:val="center"/>
          </w:tcPr>
          <w:p w14:paraId="3BBD95CB" w14:textId="77777777" w:rsidR="009E6F54" w:rsidRDefault="009E6F54">
            <w:pPr>
              <w:spacing w:after="40" w:line="252" w:lineRule="auto"/>
              <w:jc w:val="left"/>
              <w:rPr>
                <w:rFonts w:hint="eastAsia"/>
              </w:rPr>
            </w:pPr>
            <w:r>
              <w:rPr>
                <w:rFonts w:ascii="Times New Roman" w:eastAsia="宋体" w:hAnsi="Times New Roman" w:hint="eastAsia"/>
                <w:color w:val="000000"/>
                <w:sz w:val="17"/>
              </w:rPr>
              <w:t>批量归一化目标和参数偏移正则权重</w:t>
            </w:r>
          </w:p>
        </w:tc>
        <w:tc>
          <w:tcPr>
            <w:tcW w:w="2640" w:type="dxa"/>
            <w:tcBorders>
              <w:top w:val="nil"/>
              <w:left w:val="nil"/>
              <w:bottom w:val="nil"/>
              <w:right w:val="nil"/>
            </w:tcBorders>
            <w:tcMar>
              <w:top w:w="80" w:type="dxa"/>
              <w:left w:w="100" w:type="dxa"/>
              <w:bottom w:w="80" w:type="dxa"/>
              <w:right w:w="100" w:type="dxa"/>
            </w:tcMar>
            <w:vAlign w:val="center"/>
          </w:tcPr>
          <w:p w14:paraId="732859C5" w14:textId="77777777" w:rsidR="009E6F54" w:rsidRDefault="009E6F54">
            <w:pPr>
              <w:spacing w:after="40" w:line="252" w:lineRule="auto"/>
              <w:jc w:val="left"/>
              <w:rPr>
                <w:rFonts w:hint="eastAsia"/>
              </w:rPr>
            </w:pPr>
            <w:r>
              <w:rPr>
                <w:rFonts w:ascii="Times New Roman" w:eastAsia="宋体" w:hAnsi="Times New Roman" w:hint="eastAsia"/>
                <w:color w:val="000000"/>
                <w:sz w:val="17"/>
              </w:rPr>
              <w:t>无量纲或归一化后加权</w:t>
            </w:r>
          </w:p>
        </w:tc>
      </w:tr>
      <w:tr w:rsidR="009E6F54" w14:paraId="0A511EF8"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32B1B6B" w14:textId="77777777" w:rsidR="009E6F54" w:rsidRDefault="009E6F54">
            <w:pPr>
              <w:spacing w:after="40" w:line="252" w:lineRule="auto"/>
              <w:jc w:val="left"/>
              <w:rPr>
                <w:rFonts w:hint="eastAsia"/>
              </w:rPr>
            </w:pPr>
            <m:oMathPara>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,Θ,</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07C7B9CE" w14:textId="77777777" w:rsidR="009E6F54" w:rsidRDefault="009E6F54">
            <w:pPr>
              <w:spacing w:after="40" w:line="252" w:lineRule="auto"/>
              <w:jc w:val="left"/>
              <w:rPr>
                <w:rFonts w:hint="eastAsia"/>
              </w:rPr>
            </w:pPr>
            <w:r>
              <w:rPr>
                <w:rFonts w:ascii="Times New Roman" w:eastAsia="宋体" w:hAnsi="Times New Roman" w:hint="eastAsia"/>
                <w:color w:val="000000"/>
                <w:sz w:val="17"/>
              </w:rPr>
              <w:t>迭代编号、学习率、可行域和投影算子</w:t>
            </w:r>
          </w:p>
        </w:tc>
        <w:tc>
          <w:tcPr>
            <w:tcW w:w="2640" w:type="dxa"/>
            <w:tcBorders>
              <w:top w:val="nil"/>
              <w:left w:val="nil"/>
              <w:bottom w:val="nil"/>
              <w:right w:val="nil"/>
            </w:tcBorders>
            <w:tcMar>
              <w:top w:w="80" w:type="dxa"/>
              <w:left w:w="100" w:type="dxa"/>
              <w:bottom w:w="80" w:type="dxa"/>
              <w:right w:w="100" w:type="dxa"/>
            </w:tcMar>
            <w:vAlign w:val="center"/>
          </w:tcPr>
          <w:p w14:paraId="142FD6D3" w14:textId="77777777" w:rsidR="009E6F54" w:rsidRDefault="009E6F54">
            <w:pPr>
              <w:spacing w:after="40" w:line="252" w:lineRule="auto"/>
              <w:jc w:val="left"/>
              <w:rPr>
                <w:rFonts w:hint="eastAsia"/>
              </w:rPr>
            </w:pPr>
            <w:r>
              <w:rPr>
                <w:rFonts w:ascii="Times New Roman" w:eastAsia="宋体" w:hAnsi="Times New Roman" w:hint="eastAsia"/>
                <w:color w:val="000000"/>
                <w:sz w:val="17"/>
              </w:rPr>
              <w:t>投影后参数位于工程边界内</w:t>
            </w:r>
          </w:p>
        </w:tc>
      </w:tr>
      <w:tr w:rsidR="009E6F54" w14:paraId="770653B3"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651DBA0D" w14:textId="77777777" w:rsidR="009E6F54" w:rsidRDefault="009E6F54">
            <w:pPr>
              <w:spacing w:after="40" w:line="252" w:lineRule="auto"/>
              <w:jc w:val="left"/>
              <w:rPr>
                <w:rFonts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40777A23" w14:textId="77777777" w:rsidR="009E6F54" w:rsidRDefault="009E6F54">
            <w:pPr>
              <w:spacing w:after="40" w:line="252" w:lineRule="auto"/>
              <w:jc w:val="left"/>
              <w:rPr>
                <w:rFonts w:hint="eastAsia"/>
              </w:rPr>
            </w:pPr>
            <w:r>
              <w:rPr>
                <w:rFonts w:ascii="Times New Roman" w:eastAsia="宋体" w:hAnsi="Times New Roman" w:hint="eastAsia"/>
                <w:color w:val="000000"/>
                <w:sz w:val="17"/>
              </w:rPr>
              <w:t>残差模型输入的分布外距离及其诊断阈值</w:t>
            </w:r>
          </w:p>
        </w:tc>
        <w:tc>
          <w:tcPr>
            <w:tcW w:w="2640" w:type="dxa"/>
            <w:tcBorders>
              <w:top w:val="nil"/>
              <w:left w:val="nil"/>
              <w:bottom w:val="nil"/>
              <w:right w:val="nil"/>
            </w:tcBorders>
            <w:tcMar>
              <w:top w:w="80" w:type="dxa"/>
              <w:left w:w="100" w:type="dxa"/>
              <w:bottom w:w="80" w:type="dxa"/>
              <w:right w:w="100" w:type="dxa"/>
            </w:tcMar>
            <w:vAlign w:val="center"/>
          </w:tcPr>
          <w:p w14:paraId="42955C65" w14:textId="77777777" w:rsidR="009E6F54" w:rsidRDefault="009E6F54">
            <w:pPr>
              <w:spacing w:after="40" w:line="252" w:lineRule="auto"/>
              <w:jc w:val="left"/>
              <w:rPr>
                <w:rFonts w:hint="eastAsia"/>
              </w:rPr>
            </w:pPr>
            <w:r>
              <w:rPr>
                <w:rFonts w:ascii="Times New Roman" w:eastAsia="宋体" w:hAnsi="Times New Roman" w:hint="eastAsia"/>
                <w:color w:val="000000"/>
                <w:sz w:val="17"/>
              </w:rPr>
              <w:t>仅在启用残差模型时用于诊断，不作为</w:t>
            </w:r>
            <w:r>
              <w:rPr>
                <w:rFonts w:ascii="Times New Roman" w:eastAsia="宋体" w:hAnsi="Times New Roman"/>
                <w:color w:val="000000"/>
                <w:sz w:val="17"/>
              </w:rPr>
              <w:t xml:space="preserve"> MLP </w:t>
            </w:r>
            <w:r>
              <w:rPr>
                <w:rFonts w:ascii="Times New Roman" w:eastAsia="宋体" w:hAnsi="Times New Roman" w:hint="eastAsia"/>
                <w:color w:val="000000"/>
                <w:sz w:val="17"/>
              </w:rPr>
              <w:t>权重训练目标</w:t>
            </w:r>
          </w:p>
        </w:tc>
      </w:tr>
      <w:tr w:rsidR="009E6F54" w14:paraId="42F47D26" w14:textId="77777777">
        <w:trPr>
          <w:cantSplit/>
          <w:jc w:val="center"/>
        </w:trPr>
        <w:tc>
          <w:tcPr>
            <w:tcW w:w="2640" w:type="dxa"/>
            <w:tcBorders>
              <w:top w:val="nil"/>
              <w:left w:val="nil"/>
              <w:bottom w:val="nil"/>
              <w:right w:val="nil"/>
            </w:tcBorders>
            <w:tcMar>
              <w:top w:w="80" w:type="dxa"/>
              <w:left w:w="100" w:type="dxa"/>
              <w:bottom w:w="80" w:type="dxa"/>
              <w:right w:w="100" w:type="dxa"/>
            </w:tcMar>
            <w:vAlign w:val="center"/>
          </w:tcPr>
          <w:p w14:paraId="48C5DF08"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hard</m:t>
                    </m:r>
                  </m:sub>
                </m:sSub>
              </m:oMath>
            </m:oMathPara>
          </w:p>
        </w:tc>
        <w:tc>
          <w:tcPr>
            <w:tcW w:w="2640" w:type="dxa"/>
            <w:tcBorders>
              <w:top w:val="nil"/>
              <w:left w:val="nil"/>
              <w:bottom w:val="nil"/>
              <w:right w:val="nil"/>
            </w:tcBorders>
            <w:tcMar>
              <w:top w:w="80" w:type="dxa"/>
              <w:left w:w="100" w:type="dxa"/>
              <w:bottom w:w="80" w:type="dxa"/>
              <w:right w:w="100" w:type="dxa"/>
            </w:tcMar>
            <w:vAlign w:val="center"/>
          </w:tcPr>
          <w:p w14:paraId="6A0A0A0C" w14:textId="77777777" w:rsidR="009E6F54" w:rsidRDefault="009E6F54">
            <w:pPr>
              <w:spacing w:after="40" w:line="252" w:lineRule="auto"/>
              <w:jc w:val="left"/>
              <w:rPr>
                <w:rFonts w:hint="eastAsia"/>
              </w:rPr>
            </w:pPr>
            <w:r>
              <w:rPr>
                <w:rFonts w:ascii="Times New Roman" w:eastAsia="宋体" w:hAnsi="Times New Roman" w:hint="eastAsia"/>
                <w:color w:val="000000"/>
                <w:sz w:val="17"/>
              </w:rPr>
              <w:t>原始硬逻辑复验过程</w:t>
            </w:r>
          </w:p>
        </w:tc>
        <w:tc>
          <w:tcPr>
            <w:tcW w:w="2640" w:type="dxa"/>
            <w:tcBorders>
              <w:top w:val="nil"/>
              <w:left w:val="nil"/>
              <w:bottom w:val="nil"/>
              <w:right w:val="nil"/>
            </w:tcBorders>
            <w:tcMar>
              <w:top w:w="80" w:type="dxa"/>
              <w:left w:w="100" w:type="dxa"/>
              <w:bottom w:w="80" w:type="dxa"/>
              <w:right w:w="100" w:type="dxa"/>
            </w:tcMar>
            <w:vAlign w:val="center"/>
          </w:tcPr>
          <w:p w14:paraId="1E306DE4" w14:textId="77777777" w:rsidR="009E6F54" w:rsidRDefault="009E6F54">
            <w:pPr>
              <w:spacing w:after="40" w:line="252" w:lineRule="auto"/>
              <w:jc w:val="left"/>
              <w:rPr>
                <w:rFonts w:hint="eastAsia"/>
              </w:rPr>
            </w:pPr>
            <w:r>
              <w:rPr>
                <w:rFonts w:ascii="Times New Roman" w:eastAsia="宋体" w:hAnsi="Times New Roman" w:hint="eastAsia"/>
                <w:color w:val="000000"/>
                <w:sz w:val="17"/>
              </w:rPr>
              <w:t>保留硬分支、硬限幅和硬速率限制</w:t>
            </w:r>
          </w:p>
        </w:tc>
      </w:tr>
    </w:tbl>
    <w:p w14:paraId="3871F2EC" w14:textId="77777777" w:rsidR="009E6F54" w:rsidRDefault="009E6F54" w:rsidP="009E6F54">
      <w:pPr>
        <w:spacing w:after="120" w:line="276" w:lineRule="auto"/>
        <w:ind w:firstLine="420"/>
        <w:rPr>
          <w:rFonts w:hint="eastAsia"/>
        </w:rPr>
      </w:pPr>
      <w:bookmarkStart w:id="22" w:name="双模式控制器与闭环状态更新"/>
      <w:bookmarkEnd w:id="21"/>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）双模式控制器与闭环状态更新</w:t>
      </w:r>
    </w:p>
    <w:p w14:paraId="06811297"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对于批量中的第</w:t>
      </w:r>
      <w:r>
        <w:rPr>
          <w:rFonts w:ascii="Times New Roman" w:eastAsia="宋体" w:hAnsi="Times New Roman"/>
          <w:color w:val="000000"/>
        </w:rPr>
        <w:t xml:space="preserve"> </w:t>
      </w:r>
      <m:oMath>
        <m:r>
          <w:rPr>
            <w:rFonts w:ascii="Cambria Math" w:hAnsi="Cambria Math"/>
          </w:rPr>
          <m:t>b</m:t>
        </m:r>
      </m:oMath>
      <w:r>
        <w:rPr>
          <w:rFonts w:ascii="Times New Roman" w:eastAsia="宋体" w:hAnsi="Times New Roman"/>
          <w:color w:val="000000"/>
        </w:rPr>
        <w:t xml:space="preserve"> </w:t>
      </w:r>
      <w:r>
        <w:rPr>
          <w:rFonts w:ascii="Times New Roman" w:eastAsia="宋体" w:hAnsi="Times New Roman" w:hint="eastAsia"/>
          <w:color w:val="000000"/>
        </w:rPr>
        <w:t>个场景，控制器映射表示为：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557812EB" w14:textId="77777777">
        <w:trPr>
          <w:jc w:val="center"/>
        </w:trPr>
        <w:tc>
          <w:tcPr>
            <w:tcW w:w="7600" w:type="dxa"/>
            <w:tcMar>
              <w:top w:w="20" w:type="dxa"/>
              <w:left w:w="40" w:type="dxa"/>
              <w:bottom w:w="20" w:type="dxa"/>
              <w:right w:w="40" w:type="dxa"/>
            </w:tcMar>
          </w:tcPr>
          <w:p w14:paraId="20B2EFF1" w14:textId="77777777" w:rsidR="009E6F54" w:rsidRDefault="009E6F54">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m:t>
                </m:r>
                <m:r>
                  <m:rPr>
                    <m:sty m:val="p"/>
                  </m:rPr>
                  <w:rPr>
                    <w:rFonts w:ascii="Cambria Math" w:hAnsi="Cambria Math"/>
                  </w:rPr>
                  <m:t>∈{train,hard}</m:t>
                </m:r>
              </m:oMath>
            </m:oMathPara>
          </w:p>
        </w:tc>
        <w:tc>
          <w:tcPr>
            <w:tcW w:w="1400" w:type="dxa"/>
            <w:tcMar>
              <w:top w:w="20" w:type="dxa"/>
              <w:left w:w="40" w:type="dxa"/>
              <w:bottom w:w="20" w:type="dxa"/>
              <w:right w:w="40" w:type="dxa"/>
            </w:tcMar>
          </w:tcPr>
          <w:p w14:paraId="0BABB62A" w14:textId="77777777" w:rsidR="009E6F54" w:rsidRDefault="009E6F54">
            <w:pPr>
              <w:spacing w:before="40" w:after="80"/>
              <w:jc w:val="right"/>
              <w:rPr>
                <w:rFonts w:hint="eastAsia"/>
              </w:rPr>
            </w:pPr>
            <w:r>
              <w:rPr>
                <w:rFonts w:ascii="Times New Roman" w:eastAsia="宋体" w:hAnsi="Times New Roman"/>
                <w:color w:val="000000"/>
              </w:rPr>
              <w:t>(1)</w:t>
            </w:r>
          </w:p>
        </w:tc>
      </w:tr>
    </w:tbl>
    <w:p w14:paraId="7A7A9AE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其中，训练路径</w:t>
      </w:r>
      <w:r>
        <w:rPr>
          <w:rFonts w:ascii="Times New Roman" w:eastAsia="宋体" w:hAnsi="Times New Roman"/>
          <w:color w:val="000000"/>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train</m:t>
            </m:r>
          </m:sub>
        </m:sSub>
      </m:oMath>
      <w:r>
        <w:rPr>
          <w:rFonts w:ascii="Times New Roman" w:eastAsia="宋体" w:hAnsi="Times New Roman"/>
          <w:color w:val="000000"/>
        </w:rPr>
        <w:t xml:space="preserve"> </w:t>
      </w:r>
      <w:r>
        <w:rPr>
          <w:rFonts w:ascii="Times New Roman" w:eastAsia="宋体" w:hAnsi="Times New Roman" w:hint="eastAsia"/>
          <w:color w:val="000000"/>
        </w:rPr>
        <w:t>对必要的非光滑环节采用可微近似，验证路径</w:t>
      </w:r>
      <w:r>
        <w:rPr>
          <w:rFonts w:ascii="Times New Roman" w:eastAsia="宋体" w:hAnsi="Times New Roman"/>
          <w:color w:val="000000"/>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hard</m:t>
            </m:r>
          </m:sub>
        </m:sSub>
      </m:oMath>
      <w:r>
        <w:rPr>
          <w:rFonts w:ascii="Times New Roman" w:eastAsia="宋体" w:hAnsi="Times New Roman"/>
          <w:color w:val="000000"/>
        </w:rPr>
        <w:t xml:space="preserve"> </w:t>
      </w:r>
      <w:r>
        <w:rPr>
          <w:rFonts w:ascii="Times New Roman" w:eastAsia="宋体" w:hAnsi="Times New Roman" w:hint="eastAsia"/>
          <w:color w:val="000000"/>
        </w:rPr>
        <w:t>保留工程控制器的原始硬逻辑；二者读取同一组参数</w:t>
      </w:r>
      <w:r>
        <w:rPr>
          <w:rFonts w:ascii="Times New Roman" w:eastAsia="宋体" w:hAnsi="Times New Roman"/>
          <w:color w:val="000000"/>
        </w:rPr>
        <w:t xml:space="preserve"> </w:t>
      </w:r>
      <m:oMath>
        <m:r>
          <w:rPr>
            <w:rFonts w:ascii="Cambria Math" w:hAnsi="Cambria Math"/>
          </w:rPr>
          <m:t>θ</m:t>
        </m:r>
      </m:oMath>
      <w:r>
        <w:rPr>
          <w:rFonts w:ascii="Times New Roman" w:eastAsia="宋体" w:hAnsi="Times New Roman"/>
          <w:color w:val="000000"/>
        </w:rPr>
        <w:t>。</w:t>
      </w:r>
    </w:p>
    <w:p w14:paraId="4C95B8CE"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机理动力学模型给出下一周期的主体状态预测：</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46A93617" w14:textId="77777777">
        <w:trPr>
          <w:jc w:val="center"/>
        </w:trPr>
        <w:tc>
          <w:tcPr>
            <w:tcW w:w="7600" w:type="dxa"/>
            <w:tcMar>
              <w:top w:w="20" w:type="dxa"/>
              <w:left w:w="40" w:type="dxa"/>
              <w:bottom w:w="20" w:type="dxa"/>
              <w:right w:w="40" w:type="dxa"/>
            </w:tcMar>
          </w:tcPr>
          <w:p w14:paraId="26DFA0DD" w14:textId="77777777" w:rsidR="009E6F54" w:rsidRDefault="009E6F54">
            <w:pPr>
              <w:spacing w:before="40" w:after="8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mech</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mech</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d>
              </m:oMath>
            </m:oMathPara>
          </w:p>
        </w:tc>
        <w:tc>
          <w:tcPr>
            <w:tcW w:w="1400" w:type="dxa"/>
            <w:tcMar>
              <w:top w:w="20" w:type="dxa"/>
              <w:left w:w="40" w:type="dxa"/>
              <w:bottom w:w="20" w:type="dxa"/>
              <w:right w:w="40" w:type="dxa"/>
            </w:tcMar>
          </w:tcPr>
          <w:p w14:paraId="6C2AF295" w14:textId="77777777" w:rsidR="009E6F54" w:rsidRDefault="009E6F54">
            <w:pPr>
              <w:spacing w:before="40" w:after="80"/>
              <w:jc w:val="right"/>
              <w:rPr>
                <w:rFonts w:hint="eastAsia"/>
              </w:rPr>
            </w:pPr>
            <w:r>
              <w:rPr>
                <w:rFonts w:ascii="Times New Roman" w:eastAsia="宋体" w:hAnsi="Times New Roman"/>
                <w:color w:val="000000"/>
              </w:rPr>
              <w:t>(2)</w:t>
            </w:r>
          </w:p>
        </w:tc>
      </w:tr>
    </w:tbl>
    <w:p w14:paraId="648CE2D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在需要提高车辆响应逼真度时，可在机理模型基础上叠加冻结的</w:t>
      </w:r>
      <w:r>
        <w:rPr>
          <w:rFonts w:ascii="Times New Roman" w:eastAsia="宋体" w:hAnsi="Times New Roman"/>
          <w:color w:val="000000"/>
        </w:rPr>
        <w:t xml:space="preserve"> MLP </w:t>
      </w:r>
      <w:r>
        <w:rPr>
          <w:rFonts w:ascii="Times New Roman" w:eastAsia="宋体" w:hAnsi="Times New Roman" w:hint="eastAsia"/>
          <w:color w:val="000000"/>
        </w:rPr>
        <w:t>残差：</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7FE42AB4" w14:textId="77777777">
        <w:trPr>
          <w:jc w:val="center"/>
        </w:trPr>
        <w:tc>
          <w:tcPr>
            <w:tcW w:w="7600" w:type="dxa"/>
            <w:tcMar>
              <w:top w:w="20" w:type="dxa"/>
              <w:left w:w="40" w:type="dxa"/>
              <w:bottom w:w="20" w:type="dxa"/>
              <w:right w:w="40" w:type="dxa"/>
            </w:tcMar>
          </w:tcPr>
          <w:p w14:paraId="0BE79E83" w14:textId="77777777" w:rsidR="009E6F54" w:rsidRDefault="009E6F54">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mech</m:t>
                    </m:r>
                  </m:sup>
                </m:sSubSup>
                <m:r>
                  <m:rPr>
                    <m:sty m:val="p"/>
                  </m:rPr>
                  <w:rPr>
                    <w:rFonts w:ascii="Cambria Math" w:hAnsi="Cambria Math"/>
                  </w:rPr>
                  <m:t>+</m:t>
                </m:r>
                <m:r>
                  <w:rPr>
                    <w:rFonts w:ascii="Cambria Math" w:hAnsi="Cambria Math"/>
                  </w:rPr>
                  <m:t>α </m:t>
                </m:r>
                <m:r>
                  <m:rPr>
                    <m:scr m:val="script"/>
                    <m:sty m:val="p"/>
                  </m:rPr>
                  <w:rPr>
                    <w:rFonts w:ascii="Cambria Math" w:hAnsi="Cambria Math"/>
                  </w:rPr>
                  <m:t>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e>
                </m:d>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1400" w:type="dxa"/>
            <w:tcMar>
              <w:top w:w="20" w:type="dxa"/>
              <w:left w:w="40" w:type="dxa"/>
              <w:bottom w:w="20" w:type="dxa"/>
              <w:right w:w="40" w:type="dxa"/>
            </w:tcMar>
          </w:tcPr>
          <w:p w14:paraId="4FB8CED9" w14:textId="77777777" w:rsidR="009E6F54" w:rsidRDefault="009E6F54">
            <w:pPr>
              <w:spacing w:before="40" w:after="80"/>
              <w:jc w:val="right"/>
              <w:rPr>
                <w:rFonts w:hint="eastAsia"/>
              </w:rPr>
            </w:pPr>
            <w:r>
              <w:rPr>
                <w:rFonts w:ascii="Times New Roman" w:eastAsia="宋体" w:hAnsi="Times New Roman"/>
                <w:color w:val="000000"/>
              </w:rPr>
              <w:t>(3)</w:t>
            </w:r>
          </w:p>
        </w:tc>
      </w:tr>
    </w:tbl>
    <w:p w14:paraId="6F472D5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式（</w:t>
      </w:r>
      <w:r>
        <w:rPr>
          <w:rFonts w:ascii="Times New Roman" w:eastAsia="宋体" w:hAnsi="Times New Roman" w:hint="eastAsia"/>
          <w:color w:val="000000"/>
        </w:rPr>
        <w:t>3</w:t>
      </w:r>
      <w:r>
        <w:rPr>
          <w:rFonts w:ascii="Times New Roman" w:eastAsia="宋体" w:hAnsi="Times New Roman" w:hint="eastAsia"/>
          <w:color w:val="000000"/>
        </w:rPr>
        <w:t>）用</w:t>
      </w:r>
      <w:r>
        <w:rPr>
          <w:rFonts w:ascii="Times New Roman" w:eastAsia="宋体" w:hAnsi="Times New Roman"/>
          <w:color w:val="000000"/>
        </w:rPr>
        <w:t xml:space="preserve"> </w:t>
      </w:r>
      <m:oMath>
        <m:r>
          <w:rPr>
            <w:rFonts w:ascii="Cambria Math" w:hAnsi="Cambria Math"/>
          </w:rPr>
          <m:t>α</m:t>
        </m:r>
      </m:oMath>
      <w:r>
        <w:rPr>
          <w:rFonts w:ascii="Times New Roman" w:eastAsia="宋体" w:hAnsi="Times New Roman"/>
          <w:color w:val="000000"/>
        </w:rPr>
        <w:t xml:space="preserve"> </w:t>
      </w:r>
      <w:r>
        <w:rPr>
          <w:rFonts w:ascii="Times New Roman" w:eastAsia="宋体" w:hAnsi="Times New Roman" w:hint="eastAsia"/>
          <w:color w:val="000000"/>
        </w:rPr>
        <w:t>明确区分两种实施方式：机理模型是基础且必需的被控对象；</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残差模型是可选增强。启用残差模型时，梯度可以穿过其输入输出映射回到控制器参数，但</w:t>
      </w:r>
      <w:r>
        <w:rPr>
          <w:rFonts w:ascii="Times New Roman" w:eastAsia="宋体" w:hAnsi="Times New Roman"/>
          <w:color w:val="000000"/>
        </w:rPr>
        <w:t xml:space="preserve"> </w:t>
      </w:r>
      <m:oMath>
        <m:r>
          <w:rPr>
            <w:rFonts w:ascii="Cambria Math" w:hAnsi="Cambria Math"/>
          </w:rPr>
          <m:t>ψ</m:t>
        </m:r>
      </m:oMath>
      <w:r>
        <w:rPr>
          <w:rFonts w:ascii="Times New Roman" w:eastAsia="宋体" w:hAnsi="Times New Roman"/>
          <w:color w:val="000000"/>
        </w:rPr>
        <w:t xml:space="preserve"> </w:t>
      </w:r>
      <w:r>
        <w:rPr>
          <w:rFonts w:ascii="Times New Roman" w:eastAsia="宋体" w:hAnsi="Times New Roman" w:hint="eastAsia"/>
          <w:color w:val="000000"/>
        </w:rPr>
        <w:t>不更新。</w:t>
      </w:r>
    </w:p>
    <w:p w14:paraId="18A3E08A" w14:textId="77777777" w:rsidR="009E6F54" w:rsidRDefault="009E6F54" w:rsidP="009E6F54">
      <w:pPr>
        <w:spacing w:after="120" w:line="276" w:lineRule="auto"/>
        <w:ind w:firstLine="420"/>
        <w:rPr>
          <w:rFonts w:hint="eastAsia"/>
        </w:rPr>
      </w:pPr>
      <w:bookmarkStart w:id="23" w:name="场景损失与批量软基线归一化"/>
      <w:bookmarkEnd w:id="22"/>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）场景损失与批量软基线归一化</w:t>
      </w:r>
    </w:p>
    <w:p w14:paraId="61E9D7EF"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第</w:t>
      </w:r>
      <w:r>
        <w:rPr>
          <w:rFonts w:ascii="Times New Roman" w:eastAsia="宋体" w:hAnsi="Times New Roman"/>
          <w:color w:val="000000"/>
        </w:rPr>
        <w:t xml:space="preserve"> </w:t>
      </w:r>
      <m:oMath>
        <m:r>
          <w:rPr>
            <w:rFonts w:ascii="Cambria Math" w:hAnsi="Cambria Math"/>
          </w:rPr>
          <m:t>b</m:t>
        </m:r>
      </m:oMath>
      <w:r>
        <w:rPr>
          <w:rFonts w:ascii="Times New Roman" w:eastAsia="宋体" w:hAnsi="Times New Roman"/>
          <w:color w:val="000000"/>
        </w:rPr>
        <w:t xml:space="preserve"> </w:t>
      </w:r>
      <w:r>
        <w:rPr>
          <w:rFonts w:ascii="Times New Roman" w:eastAsia="宋体" w:hAnsi="Times New Roman" w:hint="eastAsia"/>
          <w:color w:val="000000"/>
        </w:rPr>
        <w:t>个场景的损失为：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19694013" w14:textId="77777777">
        <w:trPr>
          <w:jc w:val="center"/>
        </w:trPr>
        <w:tc>
          <w:tcPr>
            <w:tcW w:w="7600" w:type="dxa"/>
            <w:tcMar>
              <w:top w:w="20" w:type="dxa"/>
              <w:left w:w="40" w:type="dxa"/>
              <w:bottom w:w="20" w:type="dxa"/>
              <w:right w:w="40" w:type="dxa"/>
            </w:tcMar>
          </w:tcPr>
          <w:p w14:paraId="630DE8CE" w14:textId="77777777" w:rsidR="009E6F54" w:rsidRDefault="009E6F54">
            <w:pPr>
              <w:spacing w:before="40" w:after="80"/>
              <w:jc w:val="center"/>
              <w:rPr>
                <w:rFonts w:hint="eastAsia"/>
              </w:rPr>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b</m:t>
                            </m:r>
                          </m:sub>
                        </m:sSub>
                      </m:sup>
                      <m:e>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lat</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,lat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,head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sSubSup>
                          <m:sSubSupPr>
                            <m:ctrlPr>
                              <w:rPr>
                                <w:rFonts w:ascii="Cambria Math" w:hAnsi="Cambria Math"/>
                              </w:rPr>
                            </m:ctrlPr>
                          </m:sSubSup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,spd</m:t>
                            </m:r>
                          </m:sub>
                          <m:sup>
                            <m:r>
                              <w:rPr>
                                <w:rFonts w:ascii="Cambria Math" w:hAnsi="Cambria Math"/>
                              </w:rPr>
                              <m:t>2</m:t>
                            </m:r>
                          </m:sup>
                        </m:sSubSup>
                      </m:e>
                    </m:d>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b</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b</m:t>
                            </m:r>
                          </m:sub>
                        </m:sSub>
                      </m:sup>
                      <m:e>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δ</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t</m:t>
                                    </m:r>
                                  </m:sub>
                                </m:sSub>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t</m:t>
                                    </m:r>
                                  </m:sub>
                                </m:sSub>
                              </m:e>
                            </m:d>
                          </m:e>
                          <m:sup>
                            <m:r>
                              <w:rPr>
                                <w:rFonts w:ascii="Cambria Math" w:hAnsi="Cambria Math"/>
                              </w:rPr>
                              <m:t>2</m:t>
                            </m:r>
                          </m:sup>
                        </m:sSup>
                      </m:e>
                    </m:d>
                  </m:e>
                </m:eqArr>
              </m:oMath>
            </m:oMathPara>
          </w:p>
        </w:tc>
        <w:tc>
          <w:tcPr>
            <w:tcW w:w="1400" w:type="dxa"/>
            <w:tcMar>
              <w:top w:w="20" w:type="dxa"/>
              <w:left w:w="40" w:type="dxa"/>
              <w:bottom w:w="20" w:type="dxa"/>
              <w:right w:w="40" w:type="dxa"/>
            </w:tcMar>
          </w:tcPr>
          <w:p w14:paraId="27A8FFC7" w14:textId="77777777" w:rsidR="009E6F54" w:rsidRDefault="009E6F54">
            <w:pPr>
              <w:spacing w:before="40" w:after="80"/>
              <w:jc w:val="right"/>
              <w:rPr>
                <w:rFonts w:hint="eastAsia"/>
              </w:rPr>
            </w:pPr>
            <w:r>
              <w:rPr>
                <w:rFonts w:ascii="Times New Roman" w:eastAsia="宋体" w:hAnsi="Times New Roman"/>
                <w:color w:val="000000"/>
              </w:rPr>
              <w:t>(4)</w:t>
            </w:r>
          </w:p>
        </w:tc>
      </w:tr>
    </w:tbl>
    <w:p w14:paraId="75CBD704"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控制增量从</w:t>
      </w:r>
      <w:r>
        <w:rPr>
          <w:rFonts w:ascii="Times New Roman" w:eastAsia="宋体" w:hAnsi="Times New Roman"/>
          <w:color w:val="000000"/>
        </w:rPr>
        <w:t xml:space="preserve"> </w:t>
      </w:r>
      <m:oMath>
        <m:r>
          <w:rPr>
            <w:rFonts w:ascii="Cambria Math" w:hAnsi="Cambria Math"/>
          </w:rPr>
          <m:t>t</m:t>
        </m:r>
        <m:r>
          <m:rPr>
            <m:sty m:val="p"/>
          </m:rPr>
          <w:rPr>
            <w:rFonts w:ascii="Cambria Math" w:hAnsi="Cambria Math"/>
          </w:rPr>
          <m:t>=</m:t>
        </m:r>
        <m:r>
          <w:rPr>
            <w:rFonts w:ascii="Cambria Math" w:hAnsi="Cambria Math"/>
          </w:rPr>
          <m:t>1</m:t>
        </m:r>
      </m:oMath>
      <w:r>
        <w:rPr>
          <w:rFonts w:ascii="Times New Roman" w:eastAsia="宋体" w:hAnsi="Times New Roman"/>
          <w:color w:val="000000"/>
        </w:rPr>
        <w:t xml:space="preserve"> </w:t>
      </w:r>
      <w:r>
        <w:rPr>
          <w:rFonts w:ascii="Times New Roman" w:eastAsia="宋体" w:hAnsi="Times New Roman" w:hint="eastAsia"/>
          <w:color w:val="000000"/>
        </w:rPr>
        <w:t>起求和，因此不需要定义不存在的前一周期指令。为避免长轨迹或初始误差较大的场景支配梯度，将场景损失按固定软基线进行带指数和中位数下限的软归一化，再取批量平均：</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2F1B7E4A" w14:textId="77777777">
        <w:trPr>
          <w:jc w:val="center"/>
        </w:trPr>
        <w:tc>
          <w:tcPr>
            <w:tcW w:w="7600" w:type="dxa"/>
            <w:tcMar>
              <w:top w:w="20" w:type="dxa"/>
              <w:left w:w="40" w:type="dxa"/>
              <w:bottom w:w="20" w:type="dxa"/>
              <w:right w:w="40" w:type="dxa"/>
            </w:tcMar>
          </w:tcPr>
          <w:p w14:paraId="2804A48C" w14:textId="77777777" w:rsidR="009E6F54" w:rsidRDefault="009E6F54">
            <w:pPr>
              <w:spacing w:before="40" w:after="80"/>
              <w:jc w:val="center"/>
              <w:rPr>
                <w:rFonts w:hint="eastAsia"/>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w:rPr>
                        <w:rFonts w:ascii="Cambria Math" w:hAnsi="Cambria Math"/>
                      </w:rPr>
                      <m:t>&amp;</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median</m:t>
                                </m:r>
                              </m:e>
                              <m:sub>
                                <m:r>
                                  <w:rPr>
                                    <w:rFonts w:ascii="Cambria Math" w:hAnsi="Cambria Math"/>
                                  </w:rPr>
                                  <m:t>j</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j</m:t>
                                    </m:r>
                                    <m:r>
                                      <m:rPr>
                                        <m:sty m:val="p"/>
                                      </m:rPr>
                                      <w:rPr>
                                        <w:rFonts w:ascii="Cambria Math" w:hAnsi="Cambria Math"/>
                                      </w:rPr>
                                      <m:t>,ref</m:t>
                                    </m:r>
                                  </m:sub>
                                </m:sSub>
                                <m:r>
                                  <m:rPr>
                                    <m:sty m:val="p"/>
                                  </m:rPr>
                                  <w:rPr>
                                    <w:rFonts w:ascii="Cambria Math" w:hAnsi="Cambria Math"/>
                                  </w:rPr>
                                  <m:t>+</m:t>
                                </m:r>
                                <m:r>
                                  <w:rPr>
                                    <w:rFonts w:ascii="Cambria Math" w:hAnsi="Cambria Math"/>
                                  </w:rPr>
                                  <m:t>ε</m:t>
                                </m:r>
                              </m:e>
                            </m:d>
                          </m:e>
                        </m:d>
                      </m:e>
                      <m:sup>
                        <m:r>
                          <w:rPr>
                            <w:rFonts w:ascii="Cambria Math" w:hAnsi="Cambria Math"/>
                          </w:rPr>
                          <m:t>γ</m:t>
                        </m:r>
                      </m:sup>
                    </m:sSup>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b</m:t>
                        </m:r>
                      </m:sub>
                    </m:sSub>
                    <m:r>
                      <w:rPr>
                        <w:rFonts w:ascii="Cambria Math" w:hAnsi="Cambria Math"/>
                      </w:rPr>
                      <m:t>&amp;</m:t>
                    </m:r>
                    <m:r>
                      <m:rPr>
                        <m:sty m:val="p"/>
                      </m:rPr>
                      <w:rPr>
                        <w:rFonts w:ascii="Cambria Math" w:hAnsi="Cambria Math"/>
                      </w:rPr>
                      <m:t>=max</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ε</m:t>
                                </m:r>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e>
                    </m:d>
                    <m:r>
                      <m:rPr>
                        <m:sty m:val="p"/>
                      </m:rPr>
                      <w:rPr>
                        <w:rFonts w:ascii="Cambria Math" w:hAnsi="Cambria Math"/>
                      </w:rPr>
                      <m:t>,</m:t>
                    </m:r>
                  </m:e>
                  <m:e>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θ</m:t>
                            </m:r>
                            <m:r>
                              <m:rPr>
                                <m:sty m:val="p"/>
                              </m:rPr>
                              <w:rPr>
                                <w:rFonts w:ascii="Cambria Math" w:hAnsi="Cambria Math"/>
                              </w:rPr>
                              <m:t>)</m:t>
                            </m:r>
                          </m:num>
                          <m:den>
                            <m:sSub>
                              <m:sSubPr>
                                <m:ctrlPr>
                                  <w:rPr>
                                    <w:rFonts w:ascii="Cambria Math" w:hAnsi="Cambria Math"/>
                                  </w:rPr>
                                </m:ctrlPr>
                              </m:sSubPr>
                              <m:e>
                                <m:r>
                                  <w:rPr>
                                    <w:rFonts w:ascii="Cambria Math" w:hAnsi="Cambria Math"/>
                                  </w:rPr>
                                  <m:t>ν</m:t>
                                </m:r>
                              </m:e>
                              <m:sub>
                                <m:r>
                                  <w:rPr>
                                    <w:rFonts w:ascii="Cambria Math" w:hAnsi="Cambria Math"/>
                                  </w:rPr>
                                  <m:t>b</m:t>
                                </m:r>
                              </m:sub>
                            </m:sSub>
                          </m:den>
                        </m:f>
                      </m:e>
                    </m:nary>
                    <m:r>
                      <m:rPr>
                        <m:sty m:val="p"/>
                      </m:rPr>
                      <w:rPr>
                        <w:rFonts w:ascii="Cambria Math" w:hAnsi="Cambria Math"/>
                      </w:rPr>
                      <m:t>+</m:t>
                    </m:r>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e>
                        </m:d>
                      </m:e>
                      <m:sup>
                        <m:r>
                          <w:rPr>
                            <w:rFonts w:ascii="Cambria Math" w:hAnsi="Cambria Math"/>
                          </w:rPr>
                          <m:t>2</m:t>
                        </m:r>
                      </m:sup>
                    </m:sSup>
                  </m:e>
                </m:eqArr>
              </m:oMath>
            </m:oMathPara>
          </w:p>
        </w:tc>
        <w:tc>
          <w:tcPr>
            <w:tcW w:w="1400" w:type="dxa"/>
            <w:tcMar>
              <w:top w:w="20" w:type="dxa"/>
              <w:left w:w="40" w:type="dxa"/>
              <w:bottom w:w="20" w:type="dxa"/>
              <w:right w:w="40" w:type="dxa"/>
            </w:tcMar>
          </w:tcPr>
          <w:p w14:paraId="55295E82" w14:textId="77777777" w:rsidR="009E6F54" w:rsidRDefault="009E6F54">
            <w:pPr>
              <w:spacing w:before="40" w:after="80"/>
              <w:jc w:val="right"/>
              <w:rPr>
                <w:rFonts w:hint="eastAsia"/>
              </w:rPr>
            </w:pPr>
            <w:r>
              <w:rPr>
                <w:rFonts w:ascii="Times New Roman" w:eastAsia="宋体" w:hAnsi="Times New Roman"/>
                <w:color w:val="000000"/>
              </w:rPr>
              <w:t>(5)</w:t>
            </w:r>
          </w:p>
        </w:tc>
      </w:tr>
    </w:tbl>
    <w:p w14:paraId="4CC8A749"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其中，</w:t>
      </w:r>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oMath>
      <w:r>
        <w:rPr>
          <w:rFonts w:ascii="Times New Roman" w:eastAsia="宋体" w:hAnsi="Times New Roman"/>
          <w:color w:val="000000"/>
        </w:rPr>
        <w:t xml:space="preserve"> </w:t>
      </w:r>
      <w:r>
        <w:rPr>
          <w:rFonts w:ascii="Times New Roman" w:eastAsia="宋体" w:hAnsi="Times New Roman" w:hint="eastAsia"/>
          <w:color w:val="000000"/>
        </w:rPr>
        <w:t>由首轮或初始参数结果取得并在后续训练中停止梯度；启用车辆域随机化时，同一原始轨迹在</w:t>
      </w:r>
      <w:r>
        <w:rPr>
          <w:rFonts w:ascii="Times New Roman" w:eastAsia="宋体" w:hAnsi="Times New Roman"/>
          <w:color w:val="000000"/>
        </w:rPr>
        <w:t xml:space="preserve"> </w:t>
      </w:r>
      <m:oMath>
        <m:r>
          <w:rPr>
            <w:rFonts w:ascii="Cambria Math" w:hAnsi="Cambria Math"/>
          </w:rPr>
          <m:t>K</m:t>
        </m:r>
      </m:oMath>
      <w:r>
        <w:rPr>
          <w:rFonts w:ascii="Times New Roman" w:eastAsia="宋体" w:hAnsi="Times New Roman"/>
          <w:color w:val="000000"/>
        </w:rPr>
        <w:t xml:space="preserve"> </w:t>
      </w:r>
      <w:r>
        <w:rPr>
          <w:rFonts w:ascii="Times New Roman" w:eastAsia="宋体" w:hAnsi="Times New Roman" w:hint="eastAsia"/>
          <w:color w:val="000000"/>
        </w:rPr>
        <w:t>个车辆域副本上的首轮损失先取均值，再复制为这些副本共享的参考基线。实施例取</w:t>
      </w:r>
      <w:r>
        <w:rPr>
          <w:rFonts w:ascii="Times New Roman" w:eastAsia="宋体" w:hAnsi="Times New Roman"/>
          <w:color w:val="000000"/>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rPr>
        <w:t>，</w:t>
      </w:r>
      <m:oMath>
        <m:sSub>
          <m:sSubPr>
            <m:ctrlPr>
              <w:rPr>
                <w:rFonts w:ascii="Cambria Math" w:hAnsi="Cambria Math"/>
              </w:rPr>
            </m:ctrlPr>
          </m:sSubPr>
          <m:e>
            <m:r>
              <w:rPr>
                <w:rFonts w:ascii="Cambria Math" w:hAnsi="Cambria Math"/>
              </w:rPr>
              <m:t>ν</m:t>
            </m:r>
          </m:e>
          <m:sub>
            <m:r>
              <m:rPr>
                <m:sty m:val="p"/>
              </m:rPr>
              <w:rPr>
                <w:rFonts w:ascii="Cambria Math" w:hAnsi="Cambria Math"/>
              </w:rPr>
              <m:t>min</m:t>
            </m:r>
          </m:sub>
        </m:sSub>
      </m:oMath>
      <w:r>
        <w:rPr>
          <w:rFonts w:ascii="Times New Roman" w:eastAsia="宋体" w:hAnsi="Times New Roman"/>
          <w:color w:val="000000"/>
        </w:rPr>
        <w:t xml:space="preserve"> </w:t>
      </w:r>
      <w:r>
        <w:rPr>
          <w:rFonts w:ascii="Times New Roman" w:eastAsia="宋体" w:hAnsi="Times New Roman" w:hint="eastAsia"/>
          <w:color w:val="000000"/>
        </w:rPr>
        <w:t>为全部参考基线经同次幂变换后的中位数下限。图中分项曲线记录未归一化原始损失，总目标曲线记录式（</w:t>
      </w:r>
      <w:r>
        <w:rPr>
          <w:rFonts w:ascii="Times New Roman" w:eastAsia="宋体" w:hAnsi="Times New Roman" w:hint="eastAsia"/>
          <w:color w:val="000000"/>
        </w:rPr>
        <w:t>5</w:t>
      </w:r>
      <w:r>
        <w:rPr>
          <w:rFonts w:ascii="Times New Roman" w:eastAsia="宋体" w:hAnsi="Times New Roman" w:hint="eastAsia"/>
          <w:color w:val="000000"/>
        </w:rPr>
        <w:t>）的软归一化批量目标；二者数值尺度不同，不应直接相加比较。</w:t>
      </w:r>
    </w:p>
    <w:p w14:paraId="48C68385" w14:textId="77777777" w:rsidR="009E6F54" w:rsidRDefault="009E6F54" w:rsidP="009E6F54">
      <w:pPr>
        <w:spacing w:after="120" w:line="276" w:lineRule="auto"/>
        <w:ind w:firstLine="420"/>
        <w:rPr>
          <w:rFonts w:hint="eastAsia"/>
        </w:rPr>
      </w:pPr>
      <w:bookmarkStart w:id="24" w:name="参数更新硬逻辑复验与诊断"/>
      <w:bookmarkEnd w:id="23"/>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）参数更新、硬逻辑复验与诊断</w:t>
      </w:r>
    </w:p>
    <w:p w14:paraId="02B063A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参数更新和物理边界投影表示为：</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41D13A8D" w14:textId="77777777">
        <w:trPr>
          <w:jc w:val="center"/>
        </w:trPr>
        <w:tc>
          <w:tcPr>
            <w:tcW w:w="7600" w:type="dxa"/>
            <w:tcMar>
              <w:top w:w="20" w:type="dxa"/>
              <w:left w:w="40" w:type="dxa"/>
              <w:bottom w:w="20" w:type="dxa"/>
              <w:right w:w="40" w:type="dxa"/>
            </w:tcMar>
          </w:tcPr>
          <w:p w14:paraId="43EBCB72" w14:textId="77777777" w:rsidR="009E6F54" w:rsidRDefault="009E6F54">
            <w:pPr>
              <w:spacing w:before="40" w:after="80"/>
              <w:jc w:val="center"/>
              <w:rPr>
                <w:rFonts w:hint="eastAsia"/>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m:t>
                    </m:r>
                  </m:e>
                </m:d>
              </m:oMath>
            </m:oMathPara>
          </w:p>
        </w:tc>
        <w:tc>
          <w:tcPr>
            <w:tcW w:w="1400" w:type="dxa"/>
            <w:tcMar>
              <w:top w:w="20" w:type="dxa"/>
              <w:left w:w="40" w:type="dxa"/>
              <w:bottom w:w="20" w:type="dxa"/>
              <w:right w:w="40" w:type="dxa"/>
            </w:tcMar>
          </w:tcPr>
          <w:p w14:paraId="47E89CB9" w14:textId="77777777" w:rsidR="009E6F54" w:rsidRDefault="009E6F54">
            <w:pPr>
              <w:spacing w:before="40" w:after="80"/>
              <w:jc w:val="right"/>
              <w:rPr>
                <w:rFonts w:hint="eastAsia"/>
              </w:rPr>
            </w:pPr>
            <w:r>
              <w:rPr>
                <w:rFonts w:ascii="Times New Roman" w:eastAsia="宋体" w:hAnsi="Times New Roman"/>
                <w:color w:val="000000"/>
              </w:rPr>
              <w:t>(6)</w:t>
            </w:r>
          </w:p>
        </w:tc>
      </w:tr>
    </w:tbl>
    <w:p w14:paraId="12C008C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可采用截断时间反向传播控制单次反传长度，并在更新前执行梯度范数裁剪。训练结束得到</w:t>
      </w:r>
      <w:r>
        <w:rPr>
          <w:rFonts w:ascii="Times New Roman" w:eastAsia="宋体" w:hAnsi="Times New Roman"/>
          <w:color w:val="000000"/>
        </w:rP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rPr>
          <w:rFonts w:ascii="Times New Roman" w:eastAsia="宋体" w:hAnsi="Times New Roman"/>
          <w:color w:val="000000"/>
        </w:rPr>
        <w:t xml:space="preserve"> </w:t>
      </w:r>
      <w:r>
        <w:rPr>
          <w:rFonts w:ascii="Times New Roman" w:eastAsia="宋体" w:hAnsi="Times New Roman" w:hint="eastAsia"/>
          <w:color w:val="000000"/>
        </w:rPr>
        <w:t>后，在原始硬逻辑路径中运行全场景复验：</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7600"/>
        <w:gridCol w:w="1400"/>
      </w:tblGrid>
      <w:tr w:rsidR="009E6F54" w14:paraId="0654215C" w14:textId="77777777">
        <w:trPr>
          <w:jc w:val="center"/>
        </w:trPr>
        <w:tc>
          <w:tcPr>
            <w:tcW w:w="7600" w:type="dxa"/>
            <w:tcMar>
              <w:top w:w="20" w:type="dxa"/>
              <w:left w:w="40" w:type="dxa"/>
              <w:bottom w:w="20" w:type="dxa"/>
              <w:right w:w="40" w:type="dxa"/>
            </w:tcMar>
          </w:tcPr>
          <w:p w14:paraId="6C1E17DB" w14:textId="77777777" w:rsidR="009E6F54" w:rsidRDefault="009E6F54">
            <w:pPr>
              <w:spacing w:before="40" w:after="8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hard</m:t>
                    </m:r>
                  </m:sub>
                </m:sSub>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)→{trajectory,error,command,log}</m:t>
                </m:r>
              </m:oMath>
            </m:oMathPara>
          </w:p>
        </w:tc>
        <w:tc>
          <w:tcPr>
            <w:tcW w:w="1400" w:type="dxa"/>
            <w:tcMar>
              <w:top w:w="20" w:type="dxa"/>
              <w:left w:w="40" w:type="dxa"/>
              <w:bottom w:w="20" w:type="dxa"/>
              <w:right w:w="40" w:type="dxa"/>
            </w:tcMar>
          </w:tcPr>
          <w:p w14:paraId="59860AAB" w14:textId="77777777" w:rsidR="009E6F54" w:rsidRDefault="009E6F54">
            <w:pPr>
              <w:spacing w:before="40" w:after="80"/>
              <w:jc w:val="right"/>
              <w:rPr>
                <w:rFonts w:hint="eastAsia"/>
              </w:rPr>
            </w:pPr>
            <w:r>
              <w:rPr>
                <w:rFonts w:ascii="Times New Roman" w:eastAsia="宋体" w:hAnsi="Times New Roman"/>
                <w:color w:val="000000"/>
              </w:rPr>
              <w:t>(7)</w:t>
            </w:r>
          </w:p>
        </w:tc>
      </w:tr>
    </w:tbl>
    <w:p w14:paraId="649074B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只有当轨迹误差、速度误差、控制指令连续性和安全边界均满足预设门槛时，才输出可部署参数。在启用残差增强且触发或选择执行残差模型诊断时，诊断结果还应确认未出现持续偏置、</w:t>
      </w:r>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&gt;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w:r>
        <w:rPr>
          <w:rFonts w:ascii="Times New Roman" w:eastAsia="宋体" w:hAnsi="Times New Roman"/>
          <w:color w:val="000000"/>
        </w:rPr>
        <w:t xml:space="preserve"> </w:t>
      </w:r>
      <w:r>
        <w:rPr>
          <w:rFonts w:ascii="Times New Roman" w:eastAsia="宋体" w:hAnsi="Times New Roman" w:hint="eastAsia"/>
          <w:color w:val="000000"/>
        </w:rPr>
        <w:t>的持续超阈或输出长期饱和。否则继续整定、扩充场景，或返回检查被控对象。</w:t>
      </w:r>
    </w:p>
    <w:p w14:paraId="14DAE727" w14:textId="77777777" w:rsidR="009E6F54" w:rsidRDefault="009E6F54" w:rsidP="009E6F54">
      <w:pPr>
        <w:spacing w:after="120" w:line="276" w:lineRule="auto"/>
        <w:ind w:firstLine="420"/>
        <w:rPr>
          <w:rFonts w:hint="eastAsia"/>
        </w:rPr>
      </w:pPr>
      <w:bookmarkStart w:id="25" w:name="关键技术参数"/>
      <w:bookmarkEnd w:id="20"/>
      <w:bookmarkEnd w:id="24"/>
      <w:r>
        <w:rPr>
          <w:rFonts w:ascii="Times New Roman" w:eastAsia="宋体" w:hAnsi="Times New Roman"/>
          <w:color w:val="000000"/>
        </w:rPr>
        <w:t xml:space="preserve">3.5 </w:t>
      </w:r>
      <w:r>
        <w:rPr>
          <w:rFonts w:ascii="Times New Roman" w:eastAsia="宋体" w:hAnsi="Times New Roman" w:hint="eastAsia"/>
          <w:color w:val="000000"/>
        </w:rPr>
        <w:t>关键技术参数</w:t>
      </w:r>
    </w:p>
    <w:tbl>
      <w:tblPr>
        <w:tblW w:w="9000" w:type="dxa"/>
        <w:jc w:val="center"/>
        <w:tblBorders>
          <w:top w:val="single" w:sz="10" w:space="0" w:color="000000"/>
          <w:left w:val="nil"/>
          <w:bottom w:val="single" w:sz="10" w:space="0" w:color="000000"/>
          <w:right w:val="nil"/>
          <w:insideH w:val="nil"/>
          <w:insideV w:val="nil"/>
        </w:tblBorders>
        <w:tblLayout w:type="fixed"/>
        <w:tblLook w:val="0020" w:firstRow="1" w:lastRow="0" w:firstColumn="0" w:lastColumn="0" w:noHBand="0" w:noVBand="0"/>
      </w:tblPr>
      <w:tblGrid>
        <w:gridCol w:w="1800"/>
        <w:gridCol w:w="1800"/>
        <w:gridCol w:w="1800"/>
        <w:gridCol w:w="1800"/>
        <w:gridCol w:w="1800"/>
      </w:tblGrid>
      <w:tr w:rsidR="009E6F54" w14:paraId="3D2E8B94" w14:textId="77777777">
        <w:trPr>
          <w:cantSplit/>
          <w:tblHeader/>
          <w:jc w:val="center"/>
        </w:trPr>
        <w:tc>
          <w:tcPr>
            <w:tcW w:w="1584" w:type="dxa"/>
            <w:tcBorders>
              <w:top w:val="nil"/>
              <w:left w:val="nil"/>
              <w:bottom w:val="single" w:sz="8" w:space="0" w:color="000000"/>
              <w:right w:val="nil"/>
            </w:tcBorders>
            <w:tcMar>
              <w:top w:w="80" w:type="dxa"/>
              <w:left w:w="100" w:type="dxa"/>
              <w:bottom w:w="80" w:type="dxa"/>
              <w:right w:w="100" w:type="dxa"/>
            </w:tcMar>
            <w:vAlign w:val="center"/>
          </w:tcPr>
          <w:p w14:paraId="2CE28601" w14:textId="77777777" w:rsidR="009E6F54" w:rsidRDefault="009E6F54">
            <w:pPr>
              <w:spacing w:after="40" w:line="252" w:lineRule="auto"/>
              <w:jc w:val="center"/>
              <w:rPr>
                <w:rFonts w:hint="eastAsia"/>
              </w:rPr>
            </w:pPr>
            <w:r>
              <w:rPr>
                <w:rFonts w:ascii="Times New Roman" w:eastAsia="黑体" w:hAnsi="Times New Roman" w:hint="eastAsia"/>
                <w:b/>
                <w:color w:val="000000"/>
                <w:sz w:val="16"/>
              </w:rPr>
              <w:t>符号或参数</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093BAF1B" w14:textId="77777777" w:rsidR="009E6F54" w:rsidRDefault="009E6F54">
            <w:pPr>
              <w:spacing w:after="40" w:line="252" w:lineRule="auto"/>
              <w:jc w:val="center"/>
              <w:rPr>
                <w:rFonts w:hint="eastAsia"/>
              </w:rPr>
            </w:pPr>
            <w:r>
              <w:rPr>
                <w:rFonts w:ascii="Times New Roman" w:eastAsia="黑体" w:hAnsi="Times New Roman" w:hint="eastAsia"/>
                <w:b/>
                <w:color w:val="000000"/>
                <w:sz w:val="16"/>
              </w:rPr>
              <w:t>参数内容</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51B95103" w14:textId="77777777" w:rsidR="009E6F54" w:rsidRDefault="009E6F54">
            <w:pPr>
              <w:spacing w:after="40" w:line="252" w:lineRule="auto"/>
              <w:jc w:val="center"/>
              <w:rPr>
                <w:rFonts w:hint="eastAsia"/>
              </w:rPr>
            </w:pPr>
            <w:r>
              <w:rPr>
                <w:rFonts w:ascii="Times New Roman" w:eastAsia="黑体" w:hAnsi="Times New Roman" w:hint="eastAsia"/>
                <w:b/>
                <w:color w:val="000000"/>
                <w:sz w:val="16"/>
              </w:rPr>
              <w:t>约束或范围</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4D65AE64" w14:textId="77777777" w:rsidR="009E6F54" w:rsidRDefault="009E6F54">
            <w:pPr>
              <w:spacing w:after="40" w:line="252" w:lineRule="auto"/>
              <w:jc w:val="center"/>
              <w:rPr>
                <w:rFonts w:hint="eastAsia"/>
              </w:rPr>
            </w:pPr>
            <w:r>
              <w:rPr>
                <w:rFonts w:ascii="Times New Roman" w:eastAsia="黑体" w:hAnsi="Times New Roman" w:hint="eastAsia"/>
                <w:b/>
                <w:color w:val="000000"/>
                <w:sz w:val="16"/>
              </w:rPr>
              <w:t>整定属性</w:t>
            </w:r>
          </w:p>
        </w:tc>
        <w:tc>
          <w:tcPr>
            <w:tcW w:w="1584" w:type="dxa"/>
            <w:tcBorders>
              <w:top w:val="nil"/>
              <w:left w:val="nil"/>
              <w:bottom w:val="single" w:sz="8" w:space="0" w:color="000000"/>
              <w:right w:val="nil"/>
            </w:tcBorders>
            <w:tcMar>
              <w:top w:w="80" w:type="dxa"/>
              <w:left w:w="100" w:type="dxa"/>
              <w:bottom w:w="80" w:type="dxa"/>
              <w:right w:w="100" w:type="dxa"/>
            </w:tcMar>
            <w:vAlign w:val="center"/>
          </w:tcPr>
          <w:p w14:paraId="50E0050C" w14:textId="77777777" w:rsidR="009E6F54" w:rsidRDefault="009E6F54">
            <w:pPr>
              <w:spacing w:after="40" w:line="252" w:lineRule="auto"/>
              <w:jc w:val="center"/>
              <w:rPr>
                <w:rFonts w:hint="eastAsia"/>
              </w:rPr>
            </w:pPr>
            <w:r>
              <w:rPr>
                <w:rFonts w:ascii="Times New Roman" w:eastAsia="黑体" w:hAnsi="Times New Roman" w:hint="eastAsia"/>
                <w:b/>
                <w:color w:val="000000"/>
                <w:sz w:val="16"/>
              </w:rPr>
              <w:t>作用</w:t>
            </w:r>
          </w:p>
        </w:tc>
      </w:tr>
      <w:tr w:rsidR="009E6F54" w14:paraId="3DC4261C"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3DAD8E06"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lat</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462E4D2D" w14:textId="77777777" w:rsidR="009E6F54" w:rsidRDefault="009E6F54">
            <w:pPr>
              <w:spacing w:after="40" w:line="252" w:lineRule="auto"/>
              <w:jc w:val="left"/>
              <w:rPr>
                <w:rFonts w:hint="eastAsia"/>
              </w:rPr>
            </w:pPr>
            <w:r>
              <w:rPr>
                <w:rFonts w:ascii="Times New Roman" w:eastAsia="宋体" w:hAnsi="Times New Roman" w:hint="eastAsia"/>
                <w:color w:val="000000"/>
                <w:sz w:val="16"/>
              </w:rPr>
              <w:t>横向预瞄、收敛、角速度误差预瞄及远预瞄查表节点</w:t>
            </w:r>
          </w:p>
        </w:tc>
        <w:tc>
          <w:tcPr>
            <w:tcW w:w="1584" w:type="dxa"/>
            <w:tcBorders>
              <w:top w:val="nil"/>
              <w:left w:val="nil"/>
              <w:bottom w:val="nil"/>
              <w:right w:val="nil"/>
            </w:tcBorders>
            <w:tcMar>
              <w:top w:w="80" w:type="dxa"/>
              <w:left w:w="100" w:type="dxa"/>
              <w:bottom w:w="80" w:type="dxa"/>
              <w:right w:w="100" w:type="dxa"/>
            </w:tcMar>
            <w:vAlign w:val="center"/>
          </w:tcPr>
          <w:p w14:paraId="79539EBF" w14:textId="77777777" w:rsidR="009E6F54" w:rsidRDefault="009E6F54">
            <w:pPr>
              <w:spacing w:after="40" w:line="252" w:lineRule="auto"/>
              <w:jc w:val="left"/>
              <w:rPr>
                <w:rFonts w:hint="eastAsia"/>
              </w:rPr>
            </w:pPr>
            <w:r>
              <w:rPr>
                <w:rFonts w:ascii="Times New Roman" w:eastAsia="宋体" w:hAnsi="Times New Roman" w:hint="eastAsia"/>
                <w:color w:val="000000"/>
                <w:sz w:val="16"/>
              </w:rPr>
              <w:t>受速度段与转向稳定性约束</w:t>
            </w:r>
          </w:p>
        </w:tc>
        <w:tc>
          <w:tcPr>
            <w:tcW w:w="1584" w:type="dxa"/>
            <w:tcBorders>
              <w:top w:val="nil"/>
              <w:left w:val="nil"/>
              <w:bottom w:val="nil"/>
              <w:right w:val="nil"/>
            </w:tcBorders>
            <w:tcMar>
              <w:top w:w="80" w:type="dxa"/>
              <w:left w:w="100" w:type="dxa"/>
              <w:bottom w:w="80" w:type="dxa"/>
              <w:right w:w="100" w:type="dxa"/>
            </w:tcMar>
            <w:vAlign w:val="center"/>
          </w:tcPr>
          <w:p w14:paraId="17FDF8B4" w14:textId="77777777" w:rsidR="009E6F54" w:rsidRDefault="009E6F54">
            <w:pPr>
              <w:spacing w:after="40" w:line="252" w:lineRule="auto"/>
              <w:jc w:val="left"/>
              <w:rPr>
                <w:rFonts w:hint="eastAsia"/>
              </w:rPr>
            </w:pPr>
            <w:r>
              <w:rPr>
                <w:rFonts w:ascii="Times New Roman" w:eastAsia="宋体" w:hAnsi="Times New Roman" w:hint="eastAsia"/>
                <w:color w:val="000000"/>
                <w:sz w:val="16"/>
              </w:rPr>
              <w:t>可调</w:t>
            </w:r>
          </w:p>
        </w:tc>
        <w:tc>
          <w:tcPr>
            <w:tcW w:w="1584" w:type="dxa"/>
            <w:tcBorders>
              <w:top w:val="nil"/>
              <w:left w:val="nil"/>
              <w:bottom w:val="nil"/>
              <w:right w:val="nil"/>
            </w:tcBorders>
            <w:tcMar>
              <w:top w:w="80" w:type="dxa"/>
              <w:left w:w="100" w:type="dxa"/>
              <w:bottom w:w="80" w:type="dxa"/>
              <w:right w:w="100" w:type="dxa"/>
            </w:tcMar>
            <w:vAlign w:val="center"/>
          </w:tcPr>
          <w:p w14:paraId="053AD9DA" w14:textId="77777777" w:rsidR="009E6F54" w:rsidRDefault="009E6F54">
            <w:pPr>
              <w:spacing w:after="40" w:line="252" w:lineRule="auto"/>
              <w:jc w:val="left"/>
              <w:rPr>
                <w:rFonts w:hint="eastAsia"/>
              </w:rPr>
            </w:pPr>
            <w:r>
              <w:rPr>
                <w:rFonts w:ascii="Times New Roman" w:eastAsia="宋体" w:hAnsi="Times New Roman" w:hint="eastAsia"/>
                <w:color w:val="000000"/>
                <w:sz w:val="16"/>
              </w:rPr>
              <w:t>决定横向跟踪精度和转向平滑性</w:t>
            </w:r>
          </w:p>
        </w:tc>
      </w:tr>
      <w:tr w:rsidR="009E6F54" w14:paraId="00A7F817"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28F6D691"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lon</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20923CB7" w14:textId="77777777" w:rsidR="009E6F54" w:rsidRDefault="009E6F54">
            <w:pPr>
              <w:spacing w:after="40" w:line="252" w:lineRule="auto"/>
              <w:jc w:val="left"/>
              <w:rPr>
                <w:rFonts w:hint="eastAsia"/>
              </w:rPr>
            </w:pPr>
            <w:r>
              <w:rPr>
                <w:rFonts w:ascii="Times New Roman" w:eastAsia="宋体" w:hAnsi="Times New Roman" w:hint="eastAsia"/>
                <w:color w:val="000000"/>
                <w:sz w:val="16"/>
              </w:rPr>
              <w:t>站位环（位置误差环）、低速</w:t>
            </w:r>
            <w:r>
              <w:rPr>
                <w:rFonts w:ascii="Times New Roman" w:eastAsia="宋体" w:hAnsi="Times New Roman" w:hint="eastAsia"/>
                <w:color w:val="000000"/>
                <w:sz w:val="16"/>
              </w:rPr>
              <w:t>/</w:t>
            </w:r>
            <w:r>
              <w:rPr>
                <w:rFonts w:ascii="Times New Roman" w:eastAsia="宋体" w:hAnsi="Times New Roman" w:hint="eastAsia"/>
                <w:color w:val="000000"/>
                <w:sz w:val="16"/>
              </w:rPr>
              <w:t>高速速度环增益及切换速度</w:t>
            </w:r>
          </w:p>
        </w:tc>
        <w:tc>
          <w:tcPr>
            <w:tcW w:w="1584" w:type="dxa"/>
            <w:tcBorders>
              <w:top w:val="nil"/>
              <w:left w:val="nil"/>
              <w:bottom w:val="nil"/>
              <w:right w:val="nil"/>
            </w:tcBorders>
            <w:tcMar>
              <w:top w:w="80" w:type="dxa"/>
              <w:left w:w="100" w:type="dxa"/>
              <w:bottom w:w="80" w:type="dxa"/>
              <w:right w:w="100" w:type="dxa"/>
            </w:tcMar>
            <w:vAlign w:val="center"/>
          </w:tcPr>
          <w:p w14:paraId="252FE94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增益非负，切换速度位于工程范围</w:t>
            </w:r>
          </w:p>
        </w:tc>
        <w:tc>
          <w:tcPr>
            <w:tcW w:w="1584" w:type="dxa"/>
            <w:tcBorders>
              <w:top w:val="nil"/>
              <w:left w:val="nil"/>
              <w:bottom w:val="nil"/>
              <w:right w:val="nil"/>
            </w:tcBorders>
            <w:tcMar>
              <w:top w:w="80" w:type="dxa"/>
              <w:left w:w="100" w:type="dxa"/>
              <w:bottom w:w="80" w:type="dxa"/>
              <w:right w:w="100" w:type="dxa"/>
            </w:tcMar>
            <w:vAlign w:val="center"/>
          </w:tcPr>
          <w:p w14:paraId="3A146C55" w14:textId="77777777" w:rsidR="009E6F54" w:rsidRDefault="009E6F54">
            <w:pPr>
              <w:spacing w:after="40" w:line="252" w:lineRule="auto"/>
              <w:jc w:val="left"/>
              <w:rPr>
                <w:rFonts w:hint="eastAsia"/>
              </w:rPr>
            </w:pPr>
            <w:r>
              <w:rPr>
                <w:rFonts w:ascii="Times New Roman" w:eastAsia="宋体" w:hAnsi="Times New Roman" w:hint="eastAsia"/>
                <w:color w:val="000000"/>
                <w:sz w:val="16"/>
              </w:rPr>
              <w:t>可调</w:t>
            </w:r>
          </w:p>
        </w:tc>
        <w:tc>
          <w:tcPr>
            <w:tcW w:w="1584" w:type="dxa"/>
            <w:tcBorders>
              <w:top w:val="nil"/>
              <w:left w:val="nil"/>
              <w:bottom w:val="nil"/>
              <w:right w:val="nil"/>
            </w:tcBorders>
            <w:tcMar>
              <w:top w:w="80" w:type="dxa"/>
              <w:left w:w="100" w:type="dxa"/>
              <w:bottom w:w="80" w:type="dxa"/>
              <w:right w:w="100" w:type="dxa"/>
            </w:tcMar>
            <w:vAlign w:val="center"/>
          </w:tcPr>
          <w:p w14:paraId="3C8CCD2C" w14:textId="77777777" w:rsidR="009E6F54" w:rsidRDefault="009E6F54">
            <w:pPr>
              <w:spacing w:after="40" w:line="252" w:lineRule="auto"/>
              <w:jc w:val="left"/>
              <w:rPr>
                <w:rFonts w:hint="eastAsia"/>
              </w:rPr>
            </w:pPr>
            <w:r>
              <w:rPr>
                <w:rFonts w:ascii="Times New Roman" w:eastAsia="宋体" w:hAnsi="Times New Roman" w:hint="eastAsia"/>
                <w:color w:val="000000"/>
                <w:sz w:val="16"/>
              </w:rPr>
              <w:t>决定速度跟踪和加减速响应</w:t>
            </w:r>
          </w:p>
        </w:tc>
      </w:tr>
      <w:tr w:rsidR="009E6F54" w14:paraId="60983136"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6E53B6F"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,Θ</m:t>
                </m:r>
              </m:oMath>
            </m:oMathPara>
          </w:p>
        </w:tc>
        <w:tc>
          <w:tcPr>
            <w:tcW w:w="1584" w:type="dxa"/>
            <w:tcBorders>
              <w:top w:val="nil"/>
              <w:left w:val="nil"/>
              <w:bottom w:val="nil"/>
              <w:right w:val="nil"/>
            </w:tcBorders>
            <w:tcMar>
              <w:top w:w="80" w:type="dxa"/>
              <w:left w:w="100" w:type="dxa"/>
              <w:bottom w:w="80" w:type="dxa"/>
              <w:right w:w="100" w:type="dxa"/>
            </w:tcMar>
            <w:vAlign w:val="center"/>
          </w:tcPr>
          <w:p w14:paraId="6325EA30" w14:textId="77777777" w:rsidR="009E6F54" w:rsidRDefault="009E6F54">
            <w:pPr>
              <w:spacing w:after="40" w:line="252" w:lineRule="auto"/>
              <w:jc w:val="left"/>
              <w:rPr>
                <w:rFonts w:hint="eastAsia"/>
              </w:rPr>
            </w:pPr>
            <w:r>
              <w:rPr>
                <w:rFonts w:ascii="Times New Roman" w:eastAsia="宋体" w:hAnsi="Times New Roman" w:hint="eastAsia"/>
                <w:color w:val="000000"/>
                <w:sz w:val="16"/>
              </w:rPr>
              <w:t>初始工程参数与参数可行域</w:t>
            </w:r>
          </w:p>
        </w:tc>
        <w:tc>
          <w:tcPr>
            <w:tcW w:w="1584" w:type="dxa"/>
            <w:tcBorders>
              <w:top w:val="nil"/>
              <w:left w:val="nil"/>
              <w:bottom w:val="nil"/>
              <w:right w:val="nil"/>
            </w:tcBorders>
            <w:tcMar>
              <w:top w:w="80" w:type="dxa"/>
              <w:left w:w="100" w:type="dxa"/>
              <w:bottom w:w="80" w:type="dxa"/>
              <w:right w:w="100" w:type="dxa"/>
            </w:tcMar>
            <w:vAlign w:val="center"/>
          </w:tcPr>
          <w:p w14:paraId="40962913" w14:textId="77777777" w:rsidR="009E6F54" w:rsidRDefault="009E6F54">
            <w:pPr>
              <w:spacing w:after="40" w:line="252" w:lineRule="auto"/>
              <w:jc w:val="left"/>
              <w:rPr>
                <w:rFonts w:hint="eastAsia"/>
              </w:rPr>
            </w:pPr>
            <w:r>
              <w:rPr>
                <w:rFonts w:ascii="Times New Roman" w:eastAsia="宋体" w:hAnsi="Times New Roman" w:hint="eastAsia"/>
                <w:color w:val="000000"/>
                <w:sz w:val="16"/>
              </w:rPr>
              <w:t>由原始标定和物理安全边界给定</w:t>
            </w:r>
          </w:p>
        </w:tc>
        <w:tc>
          <w:tcPr>
            <w:tcW w:w="1584" w:type="dxa"/>
            <w:tcBorders>
              <w:top w:val="nil"/>
              <w:left w:val="nil"/>
              <w:bottom w:val="nil"/>
              <w:right w:val="nil"/>
            </w:tcBorders>
            <w:tcMar>
              <w:top w:w="80" w:type="dxa"/>
              <w:left w:w="100" w:type="dxa"/>
              <w:bottom w:w="80" w:type="dxa"/>
              <w:right w:w="100" w:type="dxa"/>
            </w:tcMar>
            <w:vAlign w:val="center"/>
          </w:tcPr>
          <w:p w14:paraId="5BB29E7C" w14:textId="77777777" w:rsidR="009E6F54" w:rsidRDefault="009E6F54">
            <w:pPr>
              <w:spacing w:after="40" w:line="252" w:lineRule="auto"/>
              <w:jc w:val="left"/>
              <w:rPr>
                <w:rFonts w:hint="eastAsia"/>
              </w:rPr>
            </w:pPr>
            <w:r>
              <w:rPr>
                <w:rFonts w:ascii="Times New Roman" w:eastAsia="宋体" w:hAnsi="Times New Roman" w:hint="eastAsia"/>
                <w:color w:val="000000"/>
                <w:sz w:val="16"/>
              </w:rPr>
              <w:t>固定基准</w:t>
            </w:r>
          </w:p>
        </w:tc>
        <w:tc>
          <w:tcPr>
            <w:tcW w:w="1584" w:type="dxa"/>
            <w:tcBorders>
              <w:top w:val="nil"/>
              <w:left w:val="nil"/>
              <w:bottom w:val="nil"/>
              <w:right w:val="nil"/>
            </w:tcBorders>
            <w:tcMar>
              <w:top w:w="80" w:type="dxa"/>
              <w:left w:w="100" w:type="dxa"/>
              <w:bottom w:w="80" w:type="dxa"/>
              <w:right w:w="100" w:type="dxa"/>
            </w:tcMar>
            <w:vAlign w:val="center"/>
          </w:tcPr>
          <w:p w14:paraId="6E76DA0E" w14:textId="77777777" w:rsidR="009E6F54" w:rsidRDefault="009E6F54">
            <w:pPr>
              <w:spacing w:after="40" w:line="252" w:lineRule="auto"/>
              <w:jc w:val="left"/>
              <w:rPr>
                <w:rFonts w:hint="eastAsia"/>
              </w:rPr>
            </w:pPr>
            <w:r>
              <w:rPr>
                <w:rFonts w:ascii="Times New Roman" w:eastAsia="宋体" w:hAnsi="Times New Roman" w:hint="eastAsia"/>
                <w:color w:val="000000"/>
                <w:sz w:val="16"/>
              </w:rPr>
              <w:t>约束参数偏移和部署范围</w:t>
            </w:r>
          </w:p>
        </w:tc>
      </w:tr>
      <w:tr w:rsidR="009E6F54" w14:paraId="65818FA0"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9A4D4A2"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ϕ</m:t>
                    </m:r>
                  </m:e>
                  <m:sub>
                    <m:r>
                      <w:rPr>
                        <w:rFonts w:ascii="Cambria Math" w:hAnsi="Cambria Math"/>
                      </w:rPr>
                      <m:t>b</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537E39E5" w14:textId="77777777" w:rsidR="009E6F54" w:rsidRDefault="009E6F54">
            <w:pPr>
              <w:spacing w:after="40" w:line="252" w:lineRule="auto"/>
              <w:jc w:val="left"/>
              <w:rPr>
                <w:rFonts w:hint="eastAsia"/>
              </w:rPr>
            </w:pPr>
            <w:r>
              <w:rPr>
                <w:rFonts w:ascii="Times New Roman" w:eastAsia="宋体" w:hAnsi="Times New Roman" w:hint="eastAsia"/>
                <w:color w:val="000000"/>
                <w:sz w:val="16"/>
              </w:rPr>
              <w:t>质量、侧偏刚度、轮胎、传动及铰接参数</w:t>
            </w:r>
          </w:p>
        </w:tc>
        <w:tc>
          <w:tcPr>
            <w:tcW w:w="1584" w:type="dxa"/>
            <w:tcBorders>
              <w:top w:val="nil"/>
              <w:left w:val="nil"/>
              <w:bottom w:val="nil"/>
              <w:right w:val="nil"/>
            </w:tcBorders>
            <w:tcMar>
              <w:top w:w="80" w:type="dxa"/>
              <w:left w:w="100" w:type="dxa"/>
              <w:bottom w:w="80" w:type="dxa"/>
              <w:right w:w="100" w:type="dxa"/>
            </w:tcMar>
            <w:vAlign w:val="center"/>
          </w:tcPr>
          <w:p w14:paraId="2C7FE760" w14:textId="77777777" w:rsidR="009E6F54" w:rsidRDefault="009E6F54">
            <w:pPr>
              <w:spacing w:after="40" w:line="252" w:lineRule="auto"/>
              <w:jc w:val="left"/>
              <w:rPr>
                <w:rFonts w:hint="eastAsia"/>
              </w:rPr>
            </w:pPr>
            <w:r>
              <w:rPr>
                <w:rFonts w:ascii="Times New Roman" w:eastAsia="宋体" w:hAnsi="Times New Roman" w:hint="eastAsia"/>
                <w:color w:val="000000"/>
                <w:sz w:val="16"/>
              </w:rPr>
              <w:t>名义值或预设采样范围</w:t>
            </w:r>
          </w:p>
        </w:tc>
        <w:tc>
          <w:tcPr>
            <w:tcW w:w="1584" w:type="dxa"/>
            <w:tcBorders>
              <w:top w:val="nil"/>
              <w:left w:val="nil"/>
              <w:bottom w:val="nil"/>
              <w:right w:val="nil"/>
            </w:tcBorders>
            <w:tcMar>
              <w:top w:w="80" w:type="dxa"/>
              <w:left w:w="100" w:type="dxa"/>
              <w:bottom w:w="80" w:type="dxa"/>
              <w:right w:w="100" w:type="dxa"/>
            </w:tcMar>
            <w:vAlign w:val="center"/>
          </w:tcPr>
          <w:p w14:paraId="41DC17E8" w14:textId="77777777" w:rsidR="009E6F54" w:rsidRDefault="009E6F54">
            <w:pPr>
              <w:spacing w:after="40" w:line="252" w:lineRule="auto"/>
              <w:jc w:val="left"/>
              <w:rPr>
                <w:rFonts w:hint="eastAsia"/>
              </w:rPr>
            </w:pPr>
            <w:r>
              <w:rPr>
                <w:rFonts w:ascii="Times New Roman" w:eastAsia="宋体" w:hAnsi="Times New Roman" w:hint="eastAsia"/>
                <w:color w:val="000000"/>
                <w:sz w:val="16"/>
              </w:rPr>
              <w:t>固定或采样</w:t>
            </w:r>
          </w:p>
        </w:tc>
        <w:tc>
          <w:tcPr>
            <w:tcW w:w="1584" w:type="dxa"/>
            <w:tcBorders>
              <w:top w:val="nil"/>
              <w:left w:val="nil"/>
              <w:bottom w:val="nil"/>
              <w:right w:val="nil"/>
            </w:tcBorders>
            <w:tcMar>
              <w:top w:w="80" w:type="dxa"/>
              <w:left w:w="100" w:type="dxa"/>
              <w:bottom w:w="80" w:type="dxa"/>
              <w:right w:w="100" w:type="dxa"/>
            </w:tcMar>
            <w:vAlign w:val="center"/>
          </w:tcPr>
          <w:p w14:paraId="338DE471" w14:textId="77777777" w:rsidR="009E6F54" w:rsidRDefault="009E6F54">
            <w:pPr>
              <w:spacing w:after="40" w:line="252" w:lineRule="auto"/>
              <w:jc w:val="left"/>
              <w:rPr>
                <w:rFonts w:hint="eastAsia"/>
              </w:rPr>
            </w:pPr>
            <w:r>
              <w:rPr>
                <w:rFonts w:ascii="Times New Roman" w:eastAsia="宋体" w:hAnsi="Times New Roman" w:hint="eastAsia"/>
                <w:color w:val="000000"/>
                <w:sz w:val="16"/>
              </w:rPr>
              <w:t>用于机理模型和车辆域随机化</w:t>
            </w:r>
          </w:p>
        </w:tc>
      </w:tr>
      <w:tr w:rsidR="009E6F54" w14:paraId="6C562936"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366FDF64" w14:textId="77777777" w:rsidR="009E6F54" w:rsidRDefault="009E6F54">
            <w:pPr>
              <w:spacing w:after="40" w:line="252" w:lineRule="auto"/>
              <w:jc w:val="left"/>
              <w:rPr>
                <w:rFonts w:hint="eastAsia"/>
              </w:rPr>
            </w:pPr>
            <m:oMathPara>
              <m:oMath>
                <m:r>
                  <w:rPr>
                    <w:rFonts w:ascii="Cambria Math" w:hAnsi="Cambria Math"/>
                  </w:rPr>
                  <m:t>ψ</m:t>
                </m:r>
              </m:oMath>
            </m:oMathPara>
          </w:p>
        </w:tc>
        <w:tc>
          <w:tcPr>
            <w:tcW w:w="1584" w:type="dxa"/>
            <w:tcBorders>
              <w:top w:val="nil"/>
              <w:left w:val="nil"/>
              <w:bottom w:val="nil"/>
              <w:right w:val="nil"/>
            </w:tcBorders>
            <w:tcMar>
              <w:top w:w="80" w:type="dxa"/>
              <w:left w:w="100" w:type="dxa"/>
              <w:bottom w:w="80" w:type="dxa"/>
              <w:right w:w="100" w:type="dxa"/>
            </w:tcMar>
            <w:vAlign w:val="center"/>
          </w:tcPr>
          <w:p w14:paraId="7CD9D93D" w14:textId="77777777" w:rsidR="009E6F54" w:rsidRDefault="009E6F54">
            <w:pPr>
              <w:spacing w:after="40" w:line="252" w:lineRule="auto"/>
              <w:jc w:val="left"/>
              <w:rPr>
                <w:rFonts w:hint="eastAsia"/>
              </w:rPr>
            </w:pPr>
            <w:r>
              <w:rPr>
                <w:rFonts w:ascii="Times New Roman" w:eastAsia="宋体" w:hAnsi="Times New Roman"/>
                <w:color w:val="000000"/>
                <w:sz w:val="16"/>
              </w:rPr>
              <w:t xml:space="preserve">MLP </w:t>
            </w:r>
            <w:r>
              <w:rPr>
                <w:rFonts w:ascii="Times New Roman" w:eastAsia="宋体" w:hAnsi="Times New Roman" w:hint="eastAsia"/>
                <w:color w:val="000000"/>
                <w:sz w:val="16"/>
              </w:rPr>
              <w:t>残差模型权重</w:t>
            </w:r>
          </w:p>
        </w:tc>
        <w:tc>
          <w:tcPr>
            <w:tcW w:w="1584" w:type="dxa"/>
            <w:tcBorders>
              <w:top w:val="nil"/>
              <w:left w:val="nil"/>
              <w:bottom w:val="nil"/>
              <w:right w:val="nil"/>
            </w:tcBorders>
            <w:tcMar>
              <w:top w:w="80" w:type="dxa"/>
              <w:left w:w="100" w:type="dxa"/>
              <w:bottom w:w="80" w:type="dxa"/>
              <w:right w:w="100" w:type="dxa"/>
            </w:tcMar>
            <w:vAlign w:val="center"/>
          </w:tcPr>
          <w:p w14:paraId="4C6FF82A" w14:textId="77777777" w:rsidR="009E6F54" w:rsidRDefault="009E6F54">
            <w:pPr>
              <w:spacing w:after="40" w:line="252" w:lineRule="auto"/>
              <w:jc w:val="left"/>
              <w:rPr>
                <w:rFonts w:hint="eastAsia"/>
              </w:rPr>
            </w:pPr>
            <w:r>
              <w:rPr>
                <w:rFonts w:ascii="Times New Roman" w:eastAsia="宋体" w:hAnsi="Times New Roman" w:hint="eastAsia"/>
                <w:color w:val="000000"/>
                <w:sz w:val="16"/>
              </w:rPr>
              <w:t>由离线数据预训练得到</w:t>
            </w:r>
          </w:p>
        </w:tc>
        <w:tc>
          <w:tcPr>
            <w:tcW w:w="1584" w:type="dxa"/>
            <w:tcBorders>
              <w:top w:val="nil"/>
              <w:left w:val="nil"/>
              <w:bottom w:val="nil"/>
              <w:right w:val="nil"/>
            </w:tcBorders>
            <w:tcMar>
              <w:top w:w="80" w:type="dxa"/>
              <w:left w:w="100" w:type="dxa"/>
              <w:bottom w:w="80" w:type="dxa"/>
              <w:right w:w="100" w:type="dxa"/>
            </w:tcMar>
            <w:vAlign w:val="center"/>
          </w:tcPr>
          <w:p w14:paraId="7E903899" w14:textId="77777777" w:rsidR="009E6F54" w:rsidRDefault="009E6F54">
            <w:pPr>
              <w:spacing w:after="40" w:line="252" w:lineRule="auto"/>
              <w:jc w:val="left"/>
              <w:rPr>
                <w:rFonts w:hint="eastAsia"/>
              </w:rPr>
            </w:pPr>
            <w:r>
              <w:rPr>
                <w:rFonts w:ascii="Times New Roman" w:eastAsia="宋体" w:hAnsi="Times New Roman" w:hint="eastAsia"/>
                <w:color w:val="000000"/>
                <w:sz w:val="16"/>
              </w:rPr>
              <w:t>冻结</w:t>
            </w:r>
          </w:p>
        </w:tc>
        <w:tc>
          <w:tcPr>
            <w:tcW w:w="1584" w:type="dxa"/>
            <w:tcBorders>
              <w:top w:val="nil"/>
              <w:left w:val="nil"/>
              <w:bottom w:val="nil"/>
              <w:right w:val="nil"/>
            </w:tcBorders>
            <w:tcMar>
              <w:top w:w="80" w:type="dxa"/>
              <w:left w:w="100" w:type="dxa"/>
              <w:bottom w:w="80" w:type="dxa"/>
              <w:right w:w="100" w:type="dxa"/>
            </w:tcMar>
            <w:vAlign w:val="center"/>
          </w:tcPr>
          <w:p w14:paraId="7DD8418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可选补偿机理模型的剩余误差</w:t>
            </w:r>
          </w:p>
        </w:tc>
      </w:tr>
      <w:tr w:rsidR="009E6F54" w14:paraId="0E6A07DD"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077E8BD" w14:textId="77777777" w:rsidR="009E6F54" w:rsidRDefault="009E6F54">
            <w:pPr>
              <w:spacing w:after="40" w:line="252" w:lineRule="auto"/>
              <w:jc w:val="left"/>
              <w:rPr>
                <w:rFonts w:hint="eastAsia"/>
              </w:rPr>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t</m:t>
                    </m:r>
                  </m:sub>
                </m:sSub>
                <m:r>
                  <m:rPr>
                    <m:scr m:val="script"/>
                    <m:sty m:val="p"/>
                  </m:rPr>
                  <w:rPr>
                    <w:rFonts w:ascii="Cambria Math" w:hAnsi="Cambria Math"/>
                  </w:rPr>
                  <m:t>,T</m:t>
                </m:r>
              </m:oMath>
            </m:oMathPara>
          </w:p>
        </w:tc>
        <w:tc>
          <w:tcPr>
            <w:tcW w:w="1584" w:type="dxa"/>
            <w:tcBorders>
              <w:top w:val="nil"/>
              <w:left w:val="nil"/>
              <w:bottom w:val="nil"/>
              <w:right w:val="nil"/>
            </w:tcBorders>
            <w:tcMar>
              <w:top w:w="80" w:type="dxa"/>
              <w:left w:w="100" w:type="dxa"/>
              <w:bottom w:w="80" w:type="dxa"/>
              <w:right w:w="100" w:type="dxa"/>
            </w:tcMar>
            <w:vAlign w:val="center"/>
          </w:tcPr>
          <w:p w14:paraId="532878B2" w14:textId="77777777" w:rsidR="009E6F54" w:rsidRDefault="009E6F54">
            <w:pPr>
              <w:spacing w:after="40" w:line="252" w:lineRule="auto"/>
              <w:jc w:val="left"/>
              <w:rPr>
                <w:rFonts w:hint="eastAsia"/>
              </w:rPr>
            </w:pPr>
            <w:r>
              <w:rPr>
                <w:rFonts w:ascii="Times New Roman" w:eastAsia="宋体" w:hAnsi="Times New Roman" w:hint="eastAsia"/>
                <w:color w:val="000000"/>
                <w:sz w:val="16"/>
              </w:rPr>
              <w:t>残差启用、输入特征与转换规则</w:t>
            </w:r>
          </w:p>
        </w:tc>
        <w:tc>
          <w:tcPr>
            <w:tcW w:w="1584" w:type="dxa"/>
            <w:tcBorders>
              <w:top w:val="nil"/>
              <w:left w:val="nil"/>
              <w:bottom w:val="nil"/>
              <w:right w:val="nil"/>
            </w:tcBorders>
            <w:tcMar>
              <w:top w:w="80" w:type="dxa"/>
              <w:left w:w="100" w:type="dxa"/>
              <w:bottom w:w="80" w:type="dxa"/>
              <w:right w:w="100" w:type="dxa"/>
            </w:tcMar>
            <w:vAlign w:val="center"/>
          </w:tcPr>
          <w:p w14:paraId="52AB1CEE" w14:textId="77777777" w:rsidR="009E6F54" w:rsidRDefault="009E6F54">
            <w:pPr>
              <w:spacing w:after="40" w:line="252" w:lineRule="auto"/>
              <w:jc w:val="left"/>
              <w:rPr>
                <w:rFonts w:hint="eastAsia"/>
              </w:rPr>
            </w:pPr>
            <w:r>
              <w:rPr>
                <w:rFonts w:ascii="Times New Roman" w:eastAsia="宋体" w:hAnsi="Times New Roman" w:hint="eastAsia"/>
                <w:color w:val="000000"/>
                <w:sz w:val="16"/>
              </w:rPr>
              <w:t>与预训练特征、归一化及限幅一致</w:t>
            </w:r>
          </w:p>
        </w:tc>
        <w:tc>
          <w:tcPr>
            <w:tcW w:w="1584" w:type="dxa"/>
            <w:tcBorders>
              <w:top w:val="nil"/>
              <w:left w:val="nil"/>
              <w:bottom w:val="nil"/>
              <w:right w:val="nil"/>
            </w:tcBorders>
            <w:tcMar>
              <w:top w:w="80" w:type="dxa"/>
              <w:left w:w="100" w:type="dxa"/>
              <w:bottom w:w="80" w:type="dxa"/>
              <w:right w:w="100" w:type="dxa"/>
            </w:tcMar>
            <w:vAlign w:val="center"/>
          </w:tcPr>
          <w:p w14:paraId="0981AF41" w14:textId="77777777" w:rsidR="009E6F54" w:rsidRDefault="009E6F54">
            <w:pPr>
              <w:spacing w:after="40" w:line="252" w:lineRule="auto"/>
              <w:jc w:val="left"/>
              <w:rPr>
                <w:rFonts w:hint="eastAsia"/>
              </w:rPr>
            </w:pPr>
            <w:r>
              <w:rPr>
                <w:rFonts w:ascii="Times New Roman" w:eastAsia="宋体" w:hAnsi="Times New Roman" w:hint="eastAsia"/>
                <w:color w:val="000000"/>
                <w:sz w:val="16"/>
              </w:rPr>
              <w:t>固定规则</w:t>
            </w:r>
          </w:p>
        </w:tc>
        <w:tc>
          <w:tcPr>
            <w:tcW w:w="1584" w:type="dxa"/>
            <w:tcBorders>
              <w:top w:val="nil"/>
              <w:left w:val="nil"/>
              <w:bottom w:val="nil"/>
              <w:right w:val="nil"/>
            </w:tcBorders>
            <w:tcMar>
              <w:top w:w="80" w:type="dxa"/>
              <w:left w:w="100" w:type="dxa"/>
              <w:bottom w:w="80" w:type="dxa"/>
              <w:right w:w="100" w:type="dxa"/>
            </w:tcMar>
            <w:vAlign w:val="center"/>
          </w:tcPr>
          <w:p w14:paraId="4F2D0D74" w14:textId="77777777" w:rsidR="009E6F54" w:rsidRDefault="009E6F54">
            <w:pPr>
              <w:spacing w:after="40" w:line="252" w:lineRule="auto"/>
              <w:jc w:val="left"/>
              <w:rPr>
                <w:rFonts w:hint="eastAsia"/>
              </w:rPr>
            </w:pPr>
            <w:r>
              <w:rPr>
                <w:rFonts w:ascii="Times New Roman" w:eastAsia="宋体" w:hAnsi="Times New Roman" w:hint="eastAsia"/>
                <w:color w:val="000000"/>
                <w:sz w:val="16"/>
              </w:rPr>
              <w:t>保证纯机理与混合路径可切换、可诊断</w:t>
            </w:r>
          </w:p>
        </w:tc>
      </w:tr>
      <w:tr w:rsidR="009E6F54" w14:paraId="1E0C0BAF"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14BC7245" w14:textId="77777777" w:rsidR="009E6F54" w:rsidRDefault="009E6F54">
            <w:pPr>
              <w:spacing w:after="40" w:line="252" w:lineRule="auto"/>
              <w:jc w:val="left"/>
              <w:rPr>
                <w:rFonts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t</m:t>
                    </m:r>
                  </m:sub>
                  <m:sup>
                    <m:r>
                      <m:rPr>
                        <m:sty m:val="p"/>
                      </m:rPr>
                      <w:rPr>
                        <w:rFonts w:ascii="Cambria Math" w:hAnsi="Cambria Math"/>
                      </w:rPr>
                      <m:t>ood</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ood</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1C787166" w14:textId="77777777" w:rsidR="009E6F54" w:rsidRDefault="009E6F54">
            <w:pPr>
              <w:spacing w:after="40" w:line="252" w:lineRule="auto"/>
              <w:jc w:val="left"/>
              <w:rPr>
                <w:rFonts w:hint="eastAsia"/>
              </w:rPr>
            </w:pPr>
            <w:r>
              <w:rPr>
                <w:rFonts w:ascii="Times New Roman" w:eastAsia="宋体" w:hAnsi="Times New Roman" w:hint="eastAsia"/>
                <w:color w:val="000000"/>
                <w:sz w:val="16"/>
              </w:rPr>
              <w:t>输入分布外距离及其阈值</w:t>
            </w:r>
          </w:p>
        </w:tc>
        <w:tc>
          <w:tcPr>
            <w:tcW w:w="1584" w:type="dxa"/>
            <w:tcBorders>
              <w:top w:val="nil"/>
              <w:left w:val="nil"/>
              <w:bottom w:val="nil"/>
              <w:right w:val="nil"/>
            </w:tcBorders>
            <w:tcMar>
              <w:top w:w="80" w:type="dxa"/>
              <w:left w:w="100" w:type="dxa"/>
              <w:bottom w:w="80" w:type="dxa"/>
              <w:right w:w="100" w:type="dxa"/>
            </w:tcMar>
            <w:vAlign w:val="center"/>
          </w:tcPr>
          <w:p w14:paraId="53A30F99" w14:textId="77777777" w:rsidR="009E6F54" w:rsidRDefault="009E6F54">
            <w:pPr>
              <w:spacing w:after="40" w:line="252" w:lineRule="auto"/>
              <w:jc w:val="left"/>
              <w:rPr>
                <w:rFonts w:hint="eastAsia"/>
              </w:rPr>
            </w:pPr>
            <w:r>
              <w:rPr>
                <w:rFonts w:ascii="Times New Roman" w:eastAsia="宋体" w:hAnsi="Times New Roman" w:hint="eastAsia"/>
                <w:color w:val="000000"/>
                <w:sz w:val="16"/>
              </w:rPr>
              <w:t>阈值按归一化特征或训练分位数确定</w:t>
            </w:r>
          </w:p>
        </w:tc>
        <w:tc>
          <w:tcPr>
            <w:tcW w:w="1584" w:type="dxa"/>
            <w:tcBorders>
              <w:top w:val="nil"/>
              <w:left w:val="nil"/>
              <w:bottom w:val="nil"/>
              <w:right w:val="nil"/>
            </w:tcBorders>
            <w:tcMar>
              <w:top w:w="80" w:type="dxa"/>
              <w:left w:w="100" w:type="dxa"/>
              <w:bottom w:w="80" w:type="dxa"/>
              <w:right w:w="100" w:type="dxa"/>
            </w:tcMar>
            <w:vAlign w:val="center"/>
          </w:tcPr>
          <w:p w14:paraId="319A4D9B"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079FF1CD" w14:textId="77777777" w:rsidR="009E6F54" w:rsidRDefault="009E6F54">
            <w:pPr>
              <w:spacing w:after="40" w:line="252" w:lineRule="auto"/>
              <w:jc w:val="left"/>
              <w:rPr>
                <w:rFonts w:hint="eastAsia"/>
              </w:rPr>
            </w:pPr>
            <w:r>
              <w:rPr>
                <w:rFonts w:ascii="Times New Roman" w:eastAsia="宋体" w:hAnsi="Times New Roman" w:hint="eastAsia"/>
                <w:color w:val="000000"/>
                <w:sz w:val="16"/>
              </w:rPr>
              <w:t>判断残差模型是否离开训练分布</w:t>
            </w:r>
          </w:p>
        </w:tc>
      </w:tr>
      <w:tr w:rsidR="009E6F54" w14:paraId="5E53425F"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F28F39E"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lat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spd</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7116D354" w14:textId="77777777" w:rsidR="009E6F54" w:rsidRDefault="009E6F54">
            <w:pPr>
              <w:spacing w:after="40" w:line="252" w:lineRule="auto"/>
              <w:jc w:val="left"/>
              <w:rPr>
                <w:rFonts w:hint="eastAsia"/>
              </w:rPr>
            </w:pPr>
            <w:r>
              <w:rPr>
                <w:rFonts w:ascii="Times New Roman" w:eastAsia="宋体" w:hAnsi="Times New Roman" w:hint="eastAsia"/>
                <w:color w:val="000000"/>
                <w:sz w:val="16"/>
              </w:rPr>
              <w:t>跟踪误差权重</w:t>
            </w:r>
          </w:p>
        </w:tc>
        <w:tc>
          <w:tcPr>
            <w:tcW w:w="1584" w:type="dxa"/>
            <w:tcBorders>
              <w:top w:val="nil"/>
              <w:left w:val="nil"/>
              <w:bottom w:val="nil"/>
              <w:right w:val="nil"/>
            </w:tcBorders>
            <w:tcMar>
              <w:top w:w="80" w:type="dxa"/>
              <w:left w:w="100" w:type="dxa"/>
              <w:bottom w:w="80" w:type="dxa"/>
              <w:right w:w="100" w:type="dxa"/>
            </w:tcMar>
            <w:vAlign w:val="center"/>
          </w:tcPr>
          <w:p w14:paraId="13B6430A" w14:textId="77777777" w:rsidR="009E6F54" w:rsidRDefault="009E6F54">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10</w:t>
            </w:r>
            <w:r>
              <w:rPr>
                <w:rFonts w:ascii="Times New Roman" w:eastAsia="宋体" w:hAnsi="Times New Roman"/>
                <w:color w:val="000000"/>
                <w:sz w:val="16"/>
              </w:rPr>
              <w:t>、</w:t>
            </w:r>
            <w:r>
              <w:rPr>
                <w:rFonts w:ascii="Times New Roman" w:eastAsia="宋体" w:hAnsi="Times New Roman"/>
                <w:color w:val="000000"/>
                <w:sz w:val="16"/>
              </w:rPr>
              <w:t>8</w:t>
            </w:r>
            <w:r>
              <w:rPr>
                <w:rFonts w:ascii="Times New Roman" w:eastAsia="宋体" w:hAnsi="Times New Roman"/>
                <w:color w:val="000000"/>
                <w:sz w:val="16"/>
              </w:rPr>
              <w:t>、</w:t>
            </w:r>
            <w:r>
              <w:rPr>
                <w:rFonts w:ascii="Times New Roman" w:eastAsia="宋体" w:hAnsi="Times New Roman"/>
                <w:color w:val="000000"/>
                <w:sz w:val="16"/>
              </w:rPr>
              <w:t>3</w:t>
            </w:r>
          </w:p>
        </w:tc>
        <w:tc>
          <w:tcPr>
            <w:tcW w:w="1584" w:type="dxa"/>
            <w:tcBorders>
              <w:top w:val="nil"/>
              <w:left w:val="nil"/>
              <w:bottom w:val="nil"/>
              <w:right w:val="nil"/>
            </w:tcBorders>
            <w:tcMar>
              <w:top w:w="80" w:type="dxa"/>
              <w:left w:w="100" w:type="dxa"/>
              <w:bottom w:w="80" w:type="dxa"/>
              <w:right w:w="100" w:type="dxa"/>
            </w:tcMar>
            <w:vAlign w:val="center"/>
          </w:tcPr>
          <w:p w14:paraId="5236A47C"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1550F85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平衡横向、航向和速度目标</w:t>
            </w:r>
          </w:p>
        </w:tc>
      </w:tr>
      <w:tr w:rsidR="009E6F54" w14:paraId="0E5738DF"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3B261585"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3F147572" w14:textId="77777777" w:rsidR="009E6F54" w:rsidRDefault="009E6F54">
            <w:pPr>
              <w:spacing w:after="40" w:line="252" w:lineRule="auto"/>
              <w:jc w:val="left"/>
              <w:rPr>
                <w:rFonts w:hint="eastAsia"/>
              </w:rPr>
            </w:pPr>
            <w:r>
              <w:rPr>
                <w:rFonts w:ascii="Times New Roman" w:eastAsia="宋体" w:hAnsi="Times New Roman" w:hint="eastAsia"/>
                <w:color w:val="000000"/>
                <w:sz w:val="16"/>
              </w:rPr>
              <w:t>转向及纵向指令增量权重</w:t>
            </w:r>
          </w:p>
        </w:tc>
        <w:tc>
          <w:tcPr>
            <w:tcW w:w="1584" w:type="dxa"/>
            <w:tcBorders>
              <w:top w:val="nil"/>
              <w:left w:val="nil"/>
              <w:bottom w:val="nil"/>
              <w:right w:val="nil"/>
            </w:tcBorders>
            <w:tcMar>
              <w:top w:w="80" w:type="dxa"/>
              <w:left w:w="100" w:type="dxa"/>
              <w:bottom w:w="80" w:type="dxa"/>
              <w:right w:w="100" w:type="dxa"/>
            </w:tcMar>
            <w:vAlign w:val="center"/>
          </w:tcPr>
          <w:p w14:paraId="0EEA5FFF" w14:textId="77777777" w:rsidR="009E6F54" w:rsidRDefault="009E6F54">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0.05</w:t>
            </w:r>
            <w:r>
              <w:rPr>
                <w:rFonts w:ascii="Times New Roman" w:eastAsia="宋体" w:hAnsi="Times New Roman"/>
                <w:color w:val="000000"/>
                <w:sz w:val="16"/>
              </w:rPr>
              <w:t>、</w:t>
            </w:r>
            <w:r>
              <w:rPr>
                <w:rFonts w:ascii="Times New Roman" w:eastAsia="宋体" w:hAnsi="Times New Roman"/>
                <w:color w:val="000000"/>
                <w:sz w:val="16"/>
              </w:rPr>
              <w:t>0.01</w:t>
            </w:r>
          </w:p>
        </w:tc>
        <w:tc>
          <w:tcPr>
            <w:tcW w:w="1584" w:type="dxa"/>
            <w:tcBorders>
              <w:top w:val="nil"/>
              <w:left w:val="nil"/>
              <w:bottom w:val="nil"/>
              <w:right w:val="nil"/>
            </w:tcBorders>
            <w:tcMar>
              <w:top w:w="80" w:type="dxa"/>
              <w:left w:w="100" w:type="dxa"/>
              <w:bottom w:w="80" w:type="dxa"/>
              <w:right w:w="100" w:type="dxa"/>
            </w:tcMar>
            <w:vAlign w:val="center"/>
          </w:tcPr>
          <w:p w14:paraId="50717B59"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2C95EAA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分别抑制转向突变和纵向指令突变</w:t>
            </w:r>
          </w:p>
        </w:tc>
      </w:tr>
      <w:tr w:rsidR="009E6F54" w14:paraId="40786940"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432D8BB1" w14:textId="77777777" w:rsidR="009E6F54" w:rsidRDefault="009E6F54">
            <w:pPr>
              <w:spacing w:after="40" w:line="252" w:lineRule="auto"/>
              <w:jc w:val="left"/>
              <w:rPr>
                <w:rFonts w:hint="eastAsia"/>
              </w:rPr>
            </w:pPr>
            <m:oMathPara>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b</m:t>
                    </m:r>
                    <m:r>
                      <m:rPr>
                        <m:sty m:val="p"/>
                      </m:rPr>
                      <w:rPr>
                        <w:rFonts w:ascii="Cambria Math" w:hAnsi="Cambria Math"/>
                      </w:rPr>
                      <m:t>,ref</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m:rPr>
                    <m:sty m:val="p"/>
                  </m:rPr>
                  <w:rPr>
                    <w:rFonts w:ascii="Cambria Math" w:hAnsi="Cambria Math"/>
                  </w:rPr>
                  <m:t>,</m:t>
                </m:r>
                <m:r>
                  <w:rPr>
                    <w:rFonts w:ascii="Cambria Math" w:hAnsi="Cambria Math"/>
                  </w:rPr>
                  <m:t>ε</m:t>
                </m:r>
              </m:oMath>
            </m:oMathPara>
          </w:p>
        </w:tc>
        <w:tc>
          <w:tcPr>
            <w:tcW w:w="1584" w:type="dxa"/>
            <w:tcBorders>
              <w:top w:val="nil"/>
              <w:left w:val="nil"/>
              <w:bottom w:val="nil"/>
              <w:right w:val="nil"/>
            </w:tcBorders>
            <w:tcMar>
              <w:top w:w="80" w:type="dxa"/>
              <w:left w:w="100" w:type="dxa"/>
              <w:bottom w:w="80" w:type="dxa"/>
              <w:right w:w="100" w:type="dxa"/>
            </w:tcMar>
            <w:vAlign w:val="center"/>
          </w:tcPr>
          <w:p w14:paraId="4554E67C" w14:textId="77777777" w:rsidR="009E6F54" w:rsidRDefault="009E6F54">
            <w:pPr>
              <w:spacing w:after="40" w:line="252" w:lineRule="auto"/>
              <w:jc w:val="left"/>
              <w:rPr>
                <w:rFonts w:hint="eastAsia"/>
              </w:rPr>
            </w:pPr>
            <w:r>
              <w:rPr>
                <w:rFonts w:ascii="Times New Roman" w:eastAsia="宋体" w:hAnsi="Times New Roman" w:hint="eastAsia"/>
                <w:color w:val="000000"/>
                <w:sz w:val="16"/>
              </w:rPr>
              <w:t>固定参考基线、软归一化指数、中位数下限和防零常数</w:t>
            </w:r>
          </w:p>
        </w:tc>
        <w:tc>
          <w:tcPr>
            <w:tcW w:w="1584" w:type="dxa"/>
            <w:tcBorders>
              <w:top w:val="nil"/>
              <w:left w:val="nil"/>
              <w:bottom w:val="nil"/>
              <w:right w:val="nil"/>
            </w:tcBorders>
            <w:tcMar>
              <w:top w:w="80" w:type="dxa"/>
              <w:left w:w="100" w:type="dxa"/>
              <w:bottom w:w="80" w:type="dxa"/>
              <w:right w:w="100" w:type="dxa"/>
            </w:tcMar>
            <w:vAlign w:val="center"/>
          </w:tcPr>
          <w:p w14:paraId="651AED1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基线固定并停止梯度；实施例</w:t>
            </w:r>
            <w:r>
              <w:rPr>
                <w:rFonts w:ascii="Times New Roman" w:eastAsia="宋体" w:hAnsi="Times New Roman"/>
                <w:color w:val="000000"/>
                <w:sz w:val="16"/>
              </w:rPr>
              <w:t xml:space="preserve"> </w:t>
            </w:r>
            <m:oMath>
              <m:r>
                <w:rPr>
                  <w:rFonts w:ascii="Cambria Math" w:hAnsi="Cambria Math"/>
                </w:rPr>
                <m:t>γ</m:t>
              </m:r>
              <m:r>
                <m:rPr>
                  <m:sty m:val="p"/>
                </m:rPr>
                <w:rPr>
                  <w:rFonts w:ascii="Cambria Math" w:hAnsi="Cambria Math"/>
                </w:rPr>
                <m:t>=</m:t>
              </m:r>
              <m:r>
                <w:rPr>
                  <w:rFonts w:ascii="Cambria Math" w:hAnsi="Cambria Math"/>
                </w:rPr>
                <m:t>0.5</m:t>
              </m:r>
            </m:oMath>
            <w:r>
              <w:rPr>
                <w:rFonts w:ascii="Times New Roman" w:eastAsia="宋体" w:hAnsi="Times New Roman" w:hint="eastAsia"/>
                <w:color w:val="000000"/>
                <w:sz w:val="16"/>
              </w:rPr>
              <w:t>，</w:t>
            </w:r>
            <m:oMath>
              <m:r>
                <w:rPr>
                  <w:rFonts w:ascii="Cambria Math" w:hAnsi="Cambria Math"/>
                </w:rPr>
                <m:t>ε</m:t>
              </m:r>
              <m:r>
                <m:rPr>
                  <m:sty m:val="p"/>
                </m:rPr>
                <w:rPr>
                  <w:rFonts w:ascii="Cambria Math" w:hAnsi="Cambria Math"/>
                </w:rPr>
                <m:t>&gt;</m:t>
              </m:r>
              <m:r>
                <w:rPr>
                  <w:rFonts w:ascii="Cambria Math" w:hAnsi="Cambria Math"/>
                </w:rPr>
                <m:t>0</m:t>
              </m:r>
            </m:oMath>
          </w:p>
        </w:tc>
        <w:tc>
          <w:tcPr>
            <w:tcW w:w="1584" w:type="dxa"/>
            <w:tcBorders>
              <w:top w:val="nil"/>
              <w:left w:val="nil"/>
              <w:bottom w:val="nil"/>
              <w:right w:val="nil"/>
            </w:tcBorders>
            <w:tcMar>
              <w:top w:w="80" w:type="dxa"/>
              <w:left w:w="100" w:type="dxa"/>
              <w:bottom w:w="80" w:type="dxa"/>
              <w:right w:w="100" w:type="dxa"/>
            </w:tcMar>
            <w:vAlign w:val="center"/>
          </w:tcPr>
          <w:p w14:paraId="5505DD6C"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5D0C6B2C" w14:textId="77777777" w:rsidR="009E6F54" w:rsidRDefault="009E6F54">
            <w:pPr>
              <w:spacing w:after="40" w:line="252" w:lineRule="auto"/>
              <w:jc w:val="left"/>
              <w:rPr>
                <w:rFonts w:hint="eastAsia"/>
              </w:rPr>
            </w:pPr>
            <w:r>
              <w:rPr>
                <w:rFonts w:ascii="Times New Roman" w:eastAsia="宋体" w:hAnsi="Times New Roman" w:hint="eastAsia"/>
                <w:color w:val="000000"/>
                <w:sz w:val="16"/>
              </w:rPr>
              <w:t>平衡不同轨迹、速度和车辆域的尺度</w:t>
            </w:r>
          </w:p>
        </w:tc>
      </w:tr>
      <w:tr w:rsidR="009E6F54" w14:paraId="174A0F35"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666A9629" w14:textId="77777777" w:rsidR="009E6F54" w:rsidRDefault="009E6F54">
            <w:pPr>
              <w:spacing w:after="40" w:line="252" w:lineRule="auto"/>
              <w:jc w:val="left"/>
              <w:rPr>
                <w:rFonts w:hint="eastAsia"/>
              </w:rPr>
            </w:pPr>
            <m:oMathPara>
              <m:oMath>
                <m:r>
                  <w:rPr>
                    <w:rFonts w:ascii="Cambria Math" w:hAnsi="Cambria Math"/>
                  </w:rPr>
                  <m:t>λ</m:t>
                </m:r>
              </m:oMath>
            </m:oMathPara>
          </w:p>
        </w:tc>
        <w:tc>
          <w:tcPr>
            <w:tcW w:w="1584" w:type="dxa"/>
            <w:tcBorders>
              <w:top w:val="nil"/>
              <w:left w:val="nil"/>
              <w:bottom w:val="nil"/>
              <w:right w:val="nil"/>
            </w:tcBorders>
            <w:tcMar>
              <w:top w:w="80" w:type="dxa"/>
              <w:left w:w="100" w:type="dxa"/>
              <w:bottom w:w="80" w:type="dxa"/>
              <w:right w:w="100" w:type="dxa"/>
            </w:tcMar>
            <w:vAlign w:val="center"/>
          </w:tcPr>
          <w:p w14:paraId="220FA1E6" w14:textId="77777777" w:rsidR="009E6F54" w:rsidRDefault="009E6F54">
            <w:pPr>
              <w:spacing w:after="40" w:line="252" w:lineRule="auto"/>
              <w:jc w:val="left"/>
              <w:rPr>
                <w:rFonts w:hint="eastAsia"/>
              </w:rPr>
            </w:pPr>
            <w:r>
              <w:rPr>
                <w:rFonts w:ascii="Times New Roman" w:eastAsia="宋体" w:hAnsi="Times New Roman" w:hint="eastAsia"/>
                <w:color w:val="000000"/>
                <w:sz w:val="16"/>
              </w:rPr>
              <w:t>参数偏移正则权重</w:t>
            </w:r>
          </w:p>
        </w:tc>
        <w:tc>
          <w:tcPr>
            <w:tcW w:w="1584" w:type="dxa"/>
            <w:tcBorders>
              <w:top w:val="nil"/>
              <w:left w:val="nil"/>
              <w:bottom w:val="nil"/>
              <w:right w:val="nil"/>
            </w:tcBorders>
            <w:tcMar>
              <w:top w:w="80" w:type="dxa"/>
              <w:left w:w="100" w:type="dxa"/>
              <w:bottom w:w="80" w:type="dxa"/>
              <w:right w:w="100" w:type="dxa"/>
            </w:tcMar>
            <w:vAlign w:val="center"/>
          </w:tcPr>
          <w:p w14:paraId="4CC2C9D3" w14:textId="77777777" w:rsidR="009E6F54" w:rsidRDefault="009E6F54">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0.01</w:t>
            </w:r>
          </w:p>
        </w:tc>
        <w:tc>
          <w:tcPr>
            <w:tcW w:w="1584" w:type="dxa"/>
            <w:tcBorders>
              <w:top w:val="nil"/>
              <w:left w:val="nil"/>
              <w:bottom w:val="nil"/>
              <w:right w:val="nil"/>
            </w:tcBorders>
            <w:tcMar>
              <w:top w:w="80" w:type="dxa"/>
              <w:left w:w="100" w:type="dxa"/>
              <w:bottom w:w="80" w:type="dxa"/>
              <w:right w:w="100" w:type="dxa"/>
            </w:tcMar>
            <w:vAlign w:val="center"/>
          </w:tcPr>
          <w:p w14:paraId="67C57240"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1CBCEFD9" w14:textId="77777777" w:rsidR="009E6F54" w:rsidRDefault="009E6F54">
            <w:pPr>
              <w:spacing w:after="40" w:line="252" w:lineRule="auto"/>
              <w:jc w:val="left"/>
              <w:rPr>
                <w:rFonts w:hint="eastAsia"/>
              </w:rPr>
            </w:pPr>
            <w:r>
              <w:rPr>
                <w:rFonts w:ascii="Times New Roman" w:eastAsia="宋体" w:hAnsi="Times New Roman" w:hint="eastAsia"/>
                <w:color w:val="000000"/>
                <w:sz w:val="16"/>
              </w:rPr>
              <w:t>防止参数无约束偏离工程初值</w:t>
            </w:r>
          </w:p>
        </w:tc>
      </w:tr>
      <w:tr w:rsidR="009E6F54" w14:paraId="6F805AFD"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0F3620A6" w14:textId="77777777" w:rsidR="009E6F54" w:rsidRDefault="009E6F54">
            <w:pPr>
              <w:spacing w:after="40" w:line="252" w:lineRule="auto"/>
              <w:jc w:val="left"/>
              <w:rPr>
                <w:rFonts w:hint="eastAsia"/>
              </w:rPr>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m:oMathPara>
          </w:p>
        </w:tc>
        <w:tc>
          <w:tcPr>
            <w:tcW w:w="1584" w:type="dxa"/>
            <w:tcBorders>
              <w:top w:val="nil"/>
              <w:left w:val="nil"/>
              <w:bottom w:val="nil"/>
              <w:right w:val="nil"/>
            </w:tcBorders>
            <w:tcMar>
              <w:top w:w="80" w:type="dxa"/>
              <w:left w:w="100" w:type="dxa"/>
              <w:bottom w:w="80" w:type="dxa"/>
              <w:right w:w="100" w:type="dxa"/>
            </w:tcMar>
            <w:vAlign w:val="center"/>
          </w:tcPr>
          <w:p w14:paraId="2A8F4338" w14:textId="77777777" w:rsidR="009E6F54" w:rsidRDefault="009E6F54">
            <w:pPr>
              <w:spacing w:after="40" w:line="252" w:lineRule="auto"/>
              <w:jc w:val="left"/>
              <w:rPr>
                <w:rFonts w:hint="eastAsia"/>
              </w:rPr>
            </w:pPr>
            <w:r>
              <w:rPr>
                <w:rFonts w:ascii="Times New Roman" w:eastAsia="宋体" w:hAnsi="Times New Roman" w:hint="eastAsia"/>
                <w:color w:val="000000"/>
                <w:sz w:val="16"/>
              </w:rPr>
              <w:t>学习率和投影算子</w:t>
            </w:r>
          </w:p>
        </w:tc>
        <w:tc>
          <w:tcPr>
            <w:tcW w:w="1584" w:type="dxa"/>
            <w:tcBorders>
              <w:top w:val="nil"/>
              <w:left w:val="nil"/>
              <w:bottom w:val="nil"/>
              <w:right w:val="nil"/>
            </w:tcBorders>
            <w:tcMar>
              <w:top w:w="80" w:type="dxa"/>
              <w:left w:w="100" w:type="dxa"/>
              <w:bottom w:w="80" w:type="dxa"/>
              <w:right w:w="100" w:type="dxa"/>
            </w:tcMar>
            <w:vAlign w:val="center"/>
          </w:tcPr>
          <w:p w14:paraId="551276B0" w14:textId="77777777" w:rsidR="009E6F54" w:rsidRDefault="009E6F54">
            <w:pPr>
              <w:spacing w:after="40" w:line="252" w:lineRule="auto"/>
              <w:jc w:val="left"/>
              <w:rPr>
                <w:rFonts w:hint="eastAsia"/>
              </w:rPr>
            </w:pPr>
            <w:r>
              <w:rPr>
                <w:rFonts w:ascii="Times New Roman" w:eastAsia="宋体" w:hAnsi="Times New Roman" w:hint="eastAsia"/>
                <w:color w:val="000000"/>
                <w:sz w:val="16"/>
              </w:rPr>
              <w:t>结合梯度裁剪及上下界</w:t>
            </w:r>
          </w:p>
        </w:tc>
        <w:tc>
          <w:tcPr>
            <w:tcW w:w="1584" w:type="dxa"/>
            <w:tcBorders>
              <w:top w:val="nil"/>
              <w:left w:val="nil"/>
              <w:bottom w:val="nil"/>
              <w:right w:val="nil"/>
            </w:tcBorders>
            <w:tcMar>
              <w:top w:w="80" w:type="dxa"/>
              <w:left w:w="100" w:type="dxa"/>
              <w:bottom w:w="80" w:type="dxa"/>
              <w:right w:w="100" w:type="dxa"/>
            </w:tcMar>
            <w:vAlign w:val="center"/>
          </w:tcPr>
          <w:p w14:paraId="40601262"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40AE0847" w14:textId="77777777" w:rsidR="009E6F54" w:rsidRDefault="009E6F54">
            <w:pPr>
              <w:spacing w:after="40" w:line="252" w:lineRule="auto"/>
              <w:jc w:val="left"/>
              <w:rPr>
                <w:rFonts w:hint="eastAsia"/>
              </w:rPr>
            </w:pPr>
            <w:r>
              <w:rPr>
                <w:rFonts w:ascii="Times New Roman" w:eastAsia="宋体" w:hAnsi="Times New Roman" w:hint="eastAsia"/>
                <w:color w:val="000000"/>
                <w:sz w:val="16"/>
              </w:rPr>
              <w:t>稳定更新并维持可部署性</w:t>
            </w:r>
          </w:p>
        </w:tc>
      </w:tr>
      <w:tr w:rsidR="009E6F54" w14:paraId="5E24D2EA" w14:textId="77777777">
        <w:trPr>
          <w:cantSplit/>
          <w:jc w:val="center"/>
        </w:trPr>
        <w:tc>
          <w:tcPr>
            <w:tcW w:w="1584" w:type="dxa"/>
            <w:tcBorders>
              <w:top w:val="nil"/>
              <w:left w:val="nil"/>
              <w:bottom w:val="nil"/>
              <w:right w:val="nil"/>
            </w:tcBorders>
            <w:tcMar>
              <w:top w:w="80" w:type="dxa"/>
              <w:left w:w="100" w:type="dxa"/>
              <w:bottom w:w="80" w:type="dxa"/>
              <w:right w:w="100" w:type="dxa"/>
            </w:tcMar>
            <w:vAlign w:val="center"/>
          </w:tcPr>
          <w:p w14:paraId="2A2F9BE4" w14:textId="77777777" w:rsidR="009E6F54" w:rsidRDefault="009E6F54">
            <w:pPr>
              <w:spacing w:after="40" w:line="252" w:lineRule="auto"/>
              <w:jc w:val="left"/>
              <w:rPr>
                <w:rFonts w:hint="eastAsia"/>
              </w:rPr>
            </w:pPr>
            <w:r>
              <w:rPr>
                <w:rFonts w:ascii="Times New Roman" w:eastAsia="宋体" w:hAnsi="Times New Roman" w:hint="eastAsia"/>
                <w:color w:val="000000"/>
                <w:sz w:val="16"/>
              </w:rPr>
              <w:t>截断长度与梯度裁剪</w:t>
            </w:r>
          </w:p>
        </w:tc>
        <w:tc>
          <w:tcPr>
            <w:tcW w:w="1584" w:type="dxa"/>
            <w:tcBorders>
              <w:top w:val="nil"/>
              <w:left w:val="nil"/>
              <w:bottom w:val="nil"/>
              <w:right w:val="nil"/>
            </w:tcBorders>
            <w:tcMar>
              <w:top w:w="80" w:type="dxa"/>
              <w:left w:w="100" w:type="dxa"/>
              <w:bottom w:w="80" w:type="dxa"/>
              <w:right w:w="100" w:type="dxa"/>
            </w:tcMar>
            <w:vAlign w:val="center"/>
          </w:tcPr>
          <w:p w14:paraId="7F7C3697" w14:textId="77777777" w:rsidR="009E6F54" w:rsidRDefault="009E6F54">
            <w:pPr>
              <w:spacing w:after="40" w:line="252" w:lineRule="auto"/>
              <w:jc w:val="left"/>
              <w:rPr>
                <w:rFonts w:hint="eastAsia"/>
              </w:rPr>
            </w:pPr>
            <w:r>
              <w:rPr>
                <w:rFonts w:ascii="Times New Roman" w:eastAsia="宋体" w:hAnsi="Times New Roman" w:hint="eastAsia"/>
                <w:color w:val="000000"/>
                <w:sz w:val="16"/>
              </w:rPr>
              <w:t>单次反传周期数及梯度范数上限</w:t>
            </w:r>
          </w:p>
        </w:tc>
        <w:tc>
          <w:tcPr>
            <w:tcW w:w="1584" w:type="dxa"/>
            <w:tcBorders>
              <w:top w:val="nil"/>
              <w:left w:val="nil"/>
              <w:bottom w:val="nil"/>
              <w:right w:val="nil"/>
            </w:tcBorders>
            <w:tcMar>
              <w:top w:w="80" w:type="dxa"/>
              <w:left w:w="100" w:type="dxa"/>
              <w:bottom w:w="80" w:type="dxa"/>
              <w:right w:w="100" w:type="dxa"/>
            </w:tcMar>
            <w:vAlign w:val="center"/>
          </w:tcPr>
          <w:p w14:paraId="5B474AF8" w14:textId="77777777" w:rsidR="009E6F54" w:rsidRDefault="009E6F54">
            <w:pPr>
              <w:spacing w:after="40" w:line="252" w:lineRule="auto"/>
              <w:jc w:val="left"/>
              <w:rPr>
                <w:rFonts w:hint="eastAsia"/>
              </w:rPr>
            </w:pPr>
            <w:r>
              <w:rPr>
                <w:rFonts w:ascii="Times New Roman" w:eastAsia="宋体" w:hAnsi="Times New Roman" w:hint="eastAsia"/>
                <w:color w:val="000000"/>
                <w:sz w:val="16"/>
              </w:rPr>
              <w:t>实施例为</w:t>
            </w:r>
            <w:r>
              <w:rPr>
                <w:rFonts w:ascii="Times New Roman" w:eastAsia="宋体" w:hAnsi="Times New Roman"/>
                <w:color w:val="000000"/>
                <w:sz w:val="16"/>
              </w:rPr>
              <w:t xml:space="preserve"> 150 </w:t>
            </w:r>
            <w:r>
              <w:rPr>
                <w:rFonts w:ascii="Times New Roman" w:eastAsia="宋体" w:hAnsi="Times New Roman" w:hint="eastAsia"/>
                <w:color w:val="000000"/>
                <w:sz w:val="16"/>
              </w:rPr>
              <w:t>周期（约</w:t>
            </w:r>
            <w:r>
              <w:rPr>
                <w:rFonts w:ascii="Times New Roman" w:eastAsia="宋体" w:hAnsi="Times New Roman"/>
                <w:color w:val="000000"/>
                <w:sz w:val="16"/>
              </w:rPr>
              <w:t xml:space="preserve"> 3 </w:t>
            </w:r>
            <w:r>
              <w:rPr>
                <w:rFonts w:ascii="Times New Roman" w:eastAsia="宋体" w:hAnsi="Times New Roman" w:hint="eastAsia"/>
                <w:color w:val="000000"/>
                <w:sz w:val="16"/>
              </w:rPr>
              <w:t>s</w:t>
            </w:r>
            <w:r>
              <w:rPr>
                <w:rFonts w:ascii="Times New Roman" w:eastAsia="宋体" w:hAnsi="Times New Roman" w:hint="eastAsia"/>
                <w:color w:val="000000"/>
                <w:sz w:val="16"/>
              </w:rPr>
              <w:t>）和</w:t>
            </w:r>
            <w:r>
              <w:rPr>
                <w:rFonts w:ascii="Times New Roman" w:eastAsia="宋体" w:hAnsi="Times New Roman"/>
                <w:color w:val="000000"/>
                <w:sz w:val="16"/>
              </w:rPr>
              <w:t xml:space="preserve"> 10</w:t>
            </w:r>
          </w:p>
        </w:tc>
        <w:tc>
          <w:tcPr>
            <w:tcW w:w="1584" w:type="dxa"/>
            <w:tcBorders>
              <w:top w:val="nil"/>
              <w:left w:val="nil"/>
              <w:bottom w:val="nil"/>
              <w:right w:val="nil"/>
            </w:tcBorders>
            <w:tcMar>
              <w:top w:w="80" w:type="dxa"/>
              <w:left w:w="100" w:type="dxa"/>
              <w:bottom w:w="80" w:type="dxa"/>
              <w:right w:w="100" w:type="dxa"/>
            </w:tcMar>
            <w:vAlign w:val="center"/>
          </w:tcPr>
          <w:p w14:paraId="5913FFB5" w14:textId="77777777" w:rsidR="009E6F54" w:rsidRDefault="009E6F54">
            <w:pPr>
              <w:spacing w:after="40" w:line="252" w:lineRule="auto"/>
              <w:jc w:val="left"/>
              <w:rPr>
                <w:rFonts w:hint="eastAsia"/>
              </w:rPr>
            </w:pPr>
            <w:r>
              <w:rPr>
                <w:rFonts w:ascii="Times New Roman" w:eastAsia="宋体" w:hAnsi="Times New Roman" w:hint="eastAsia"/>
                <w:color w:val="000000"/>
                <w:sz w:val="16"/>
              </w:rPr>
              <w:t>预设</w:t>
            </w:r>
          </w:p>
        </w:tc>
        <w:tc>
          <w:tcPr>
            <w:tcW w:w="1584" w:type="dxa"/>
            <w:tcBorders>
              <w:top w:val="nil"/>
              <w:left w:val="nil"/>
              <w:bottom w:val="nil"/>
              <w:right w:val="nil"/>
            </w:tcBorders>
            <w:tcMar>
              <w:top w:w="80" w:type="dxa"/>
              <w:left w:w="100" w:type="dxa"/>
              <w:bottom w:w="80" w:type="dxa"/>
              <w:right w:w="100" w:type="dxa"/>
            </w:tcMar>
            <w:vAlign w:val="center"/>
          </w:tcPr>
          <w:p w14:paraId="6F45A701" w14:textId="77777777" w:rsidR="009E6F54" w:rsidRDefault="009E6F54">
            <w:pPr>
              <w:spacing w:after="40" w:line="252" w:lineRule="auto"/>
              <w:jc w:val="left"/>
              <w:rPr>
                <w:rFonts w:hint="eastAsia"/>
              </w:rPr>
            </w:pPr>
            <w:r>
              <w:rPr>
                <w:rFonts w:ascii="Times New Roman" w:eastAsia="宋体" w:hAnsi="Times New Roman" w:hint="eastAsia"/>
                <w:color w:val="000000"/>
                <w:sz w:val="16"/>
              </w:rPr>
              <w:t>控制长时闭环反传的数值稳定性</w:t>
            </w:r>
          </w:p>
        </w:tc>
      </w:tr>
    </w:tbl>
    <w:p w14:paraId="45BC3718" w14:textId="77777777" w:rsidR="009E6F54" w:rsidRDefault="009E6F54" w:rsidP="009E6F54">
      <w:pPr>
        <w:spacing w:after="120" w:line="276" w:lineRule="auto"/>
        <w:ind w:firstLine="420"/>
        <w:rPr>
          <w:rFonts w:hint="eastAsia"/>
        </w:rPr>
      </w:pPr>
      <w:bookmarkStart w:id="26" w:name="四与现有技术相比的有益效果"/>
      <w:bookmarkEnd w:id="15"/>
      <w:bookmarkEnd w:id="25"/>
      <w:r>
        <w:rPr>
          <w:rFonts w:ascii="Times New Roman" w:eastAsia="宋体" w:hAnsi="Times New Roman" w:hint="eastAsia"/>
          <w:color w:val="000000"/>
        </w:rPr>
        <w:t>四、与现有技术相比的有益效果</w:t>
      </w:r>
    </w:p>
    <w:p w14:paraId="609A769F"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本发明相较于现有技术至少具有以下有益效果。</w:t>
      </w:r>
    </w:p>
    <w:p w14:paraId="20C5A8F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）本发明不是单纯在线查表调节横向参数，也不是单独优化纵向油门或制动控制量，而是将横向和纵向工程控制器放入同一个车辆动力学闭环中进行联合整定。</w:t>
      </w:r>
    </w:p>
    <w:p w14:paraId="59F031E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）本发明通过双模式控制器解决可微训练与工程验证之间的矛盾。训练模式可对非光滑环节做平滑近似以获得梯度，验证模式仍保留原始硬限幅、硬分支和硬速率限制。</w:t>
      </w:r>
    </w:p>
    <w:p w14:paraId="6EB7FFE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）本发明能够把多轨迹、多速度和车辆物理参数不确定性纳入同一批量训练过程，降低参数只适配单一车辆或单一场景的风险。</w:t>
      </w:r>
    </w:p>
    <w:p w14:paraId="23E2151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）本发明以机理动力学模型构成基础被控对象，并可选叠加</w:t>
      </w:r>
      <w:r>
        <w:rPr>
          <w:rFonts w:ascii="Times New Roman" w:eastAsia="宋体" w:hAnsi="Times New Roman"/>
          <w:color w:val="000000"/>
        </w:rPr>
        <w:t xml:space="preserve"> MLP </w:t>
      </w:r>
      <w:r>
        <w:rPr>
          <w:rFonts w:ascii="Times New Roman" w:eastAsia="宋体" w:hAnsi="Times New Roman" w:hint="eastAsia"/>
          <w:color w:val="000000"/>
        </w:rPr>
        <w:t>残差模型，以提高闭环仿真对真实车辆响应或高保真仿真的贴近程度，同时保留机理模型的可解释性和物理边界。</w:t>
      </w:r>
    </w:p>
    <w:p w14:paraId="3350061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）在启用</w:t>
      </w:r>
      <w:r>
        <w:rPr>
          <w:rFonts w:ascii="Times New Roman" w:eastAsia="宋体" w:hAnsi="Times New Roman"/>
          <w:color w:val="000000"/>
        </w:rPr>
        <w:t xml:space="preserve"> MLP </w:t>
      </w:r>
      <w:r>
        <w:rPr>
          <w:rFonts w:ascii="Times New Roman" w:eastAsia="宋体" w:hAnsi="Times New Roman" w:hint="eastAsia"/>
          <w:color w:val="000000"/>
        </w:rPr>
        <w:t>残差增强时，本发明在控制器整定阶段冻结</w:t>
      </w:r>
      <w:r>
        <w:rPr>
          <w:rFonts w:ascii="Times New Roman" w:eastAsia="宋体" w:hAnsi="Times New Roman"/>
          <w:color w:val="000000"/>
        </w:rPr>
        <w:t xml:space="preserve"> MLP </w:t>
      </w:r>
      <w:r>
        <w:rPr>
          <w:rFonts w:ascii="Times New Roman" w:eastAsia="宋体" w:hAnsi="Times New Roman" w:hint="eastAsia"/>
          <w:color w:val="000000"/>
        </w:rPr>
        <w:t>残差模型权重，只把</w:t>
      </w:r>
      <w:r>
        <w:rPr>
          <w:rFonts w:ascii="Times New Roman" w:eastAsia="宋体" w:hAnsi="Times New Roman"/>
          <w:color w:val="000000"/>
        </w:rPr>
        <w:t xml:space="preserve"> MLP </w:t>
      </w:r>
      <w:r>
        <w:rPr>
          <w:rFonts w:ascii="Times New Roman" w:eastAsia="宋体" w:hAnsi="Times New Roman" w:hint="eastAsia"/>
          <w:color w:val="000000"/>
        </w:rPr>
        <w:t>作为被控对象状态更新的一部分使用，避免将车辆模型训练与控制器参数整定混为一个不可追溯的联合优化问题。</w:t>
      </w:r>
    </w:p>
    <w:p w14:paraId="2005BDE7"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）本发明通过综合损失同时约束横向误差、航向误差、速度误差、控制平滑性和参数偏移，避免只追求单一误差而牺牲控制稳定性。</w:t>
      </w:r>
    </w:p>
    <w:p w14:paraId="175306D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）本发明通过参数投影模块把自动更新后的参数限制在工程可部署范围内，使输出参数更容易进入原控制模块配置文件。</w:t>
      </w:r>
    </w:p>
    <w:p w14:paraId="6739F0E5"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）本发明能够输出训练曲线、参数变化图、硬逻辑验证统计、代表场景对比图和</w:t>
      </w:r>
      <w:r>
        <w:rPr>
          <w:rFonts w:ascii="Times New Roman" w:eastAsia="宋体" w:hAnsi="Times New Roman"/>
          <w:color w:val="000000"/>
        </w:rPr>
        <w:t xml:space="preserve"> MLP </w:t>
      </w:r>
      <w:r>
        <w:rPr>
          <w:rFonts w:ascii="Times New Roman" w:eastAsia="宋体" w:hAnsi="Times New Roman" w:hint="eastAsia"/>
          <w:color w:val="000000"/>
        </w:rPr>
        <w:t>可视化诊断图，既便于追溯参数整定过程，也便于判断异常来自控制器还是来自车辆模型残差。</w:t>
      </w:r>
    </w:p>
    <w:p w14:paraId="34DB6107" w14:textId="77777777" w:rsidR="009E6F54" w:rsidRDefault="009E6F54" w:rsidP="009E6F54">
      <w:pPr>
        <w:spacing w:after="120" w:line="276" w:lineRule="auto"/>
        <w:ind w:firstLine="420"/>
        <w:rPr>
          <w:rFonts w:hint="eastAsia"/>
        </w:rPr>
      </w:pPr>
      <w:bookmarkStart w:id="27" w:name="五本发明的技术关键点和保护点"/>
      <w:bookmarkEnd w:id="26"/>
      <w:r>
        <w:rPr>
          <w:rFonts w:ascii="Times New Roman" w:eastAsia="宋体" w:hAnsi="Times New Roman" w:hint="eastAsia"/>
          <w:color w:val="000000"/>
        </w:rPr>
        <w:t>五、本发明的技术关键点和保护点</w:t>
      </w:r>
    </w:p>
    <w:p w14:paraId="5F26093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本发明建议按照“方法独立保护、可选残差增强从属保护、系统及介质并列保护”的思路布置权利要求，重点保护以下技术方案和技术特征。</w:t>
      </w:r>
    </w:p>
    <w:p w14:paraId="513D0568"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保护一种基于车辆动力学可微闭环仿真的车辆横纵向控制器参数自动整定方法，其核心步骤包括：读取既有工程控制器逻辑及参数配置；构建共享同一参数集合的可微训练路径和硬逻辑验证路径；以机理动力学模型作为必需的被控对象；对多轨迹、多速度场景进行控制周期级闭环展开；根据至少一类跟踪误差构建目标函数；通过自动微分更新控制器参数并执行物理边界投影；最后在原始硬逻辑路径中复验并导出参数配置。</w:t>
      </w:r>
    </w:p>
    <w:p w14:paraId="2D0552F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2</w:t>
      </w:r>
      <w:r>
        <w:rPr>
          <w:rFonts w:ascii="Times New Roman" w:eastAsia="宋体" w:hAnsi="Times New Roman" w:hint="eastAsia"/>
          <w:color w:val="000000"/>
        </w:rPr>
        <w:t>）保护双模式控制器结构。训练路径对必要的非光滑环节采用可微近似，验证路径保留原始硬分支、硬限幅和硬速率限制，两条路径读取同一组待整定参数。</w:t>
      </w:r>
    </w:p>
    <w:p w14:paraId="404D25C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3</w:t>
      </w:r>
      <w:r>
        <w:rPr>
          <w:rFonts w:ascii="Times New Roman" w:eastAsia="宋体" w:hAnsi="Times New Roman" w:hint="eastAsia"/>
          <w:color w:val="000000"/>
        </w:rPr>
        <w:t>）保护横向控制、纵向控制和机理动力学预测按控制周期串行展开的闭环链路，使多个周期后的轨迹跟踪结果能够反向影响横向和纵向控制器参数。</w:t>
      </w:r>
    </w:p>
    <w:p w14:paraId="6AAE03E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4</w:t>
      </w:r>
      <w:r>
        <w:rPr>
          <w:rFonts w:ascii="Times New Roman" w:eastAsia="宋体" w:hAnsi="Times New Roman" w:hint="eastAsia"/>
          <w:color w:val="000000"/>
        </w:rPr>
        <w:t>）保护待整定参数的识别、分组和联合整定方式。参数组至少可包括横向预瞄类、收敛类、角速度误差预瞄类、远预瞄查表节点、纵向站位环（位置误差环）、低速</w:t>
      </w:r>
      <w:r>
        <w:rPr>
          <w:rFonts w:ascii="Times New Roman" w:eastAsia="宋体" w:hAnsi="Times New Roman" w:hint="eastAsia"/>
          <w:color w:val="000000"/>
        </w:rPr>
        <w:t>/</w:t>
      </w:r>
      <w:r>
        <w:rPr>
          <w:rFonts w:ascii="Times New Roman" w:eastAsia="宋体" w:hAnsi="Times New Roman" w:hint="eastAsia"/>
          <w:color w:val="000000"/>
        </w:rPr>
        <w:t>高速速度环和速度段切换参数。</w:t>
      </w:r>
    </w:p>
    <w:p w14:paraId="30D9786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5</w:t>
      </w:r>
      <w:r>
        <w:rPr>
          <w:rFonts w:ascii="Times New Roman" w:eastAsia="宋体" w:hAnsi="Times New Roman" w:hint="eastAsia"/>
          <w:color w:val="000000"/>
        </w:rPr>
        <w:t>）保护按场景固定参考基线进行软归一化的目标函数构造方式：参考基线停止梯度，按照预设指数进行幂变换，并采用全场景参考基线的中位数形成归一化下限；启用车辆域随机化时，同一原始轨迹的多个车辆域副本共享经域平均得到的参考基线。</w:t>
      </w:r>
    </w:p>
    <w:p w14:paraId="21EC26E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6</w:t>
      </w:r>
      <w:r>
        <w:rPr>
          <w:rFonts w:ascii="Times New Roman" w:eastAsia="宋体" w:hAnsi="Times New Roman" w:hint="eastAsia"/>
          <w:color w:val="000000"/>
        </w:rPr>
        <w:t>）保护综合目标函数的构造方式。该目标函数至少包括横向误差、航向误差或速度误差中的一项跟踪误差，并可进一步包括转向指令增量、纵向指令增量和参数偏移正则项中的一项或多项。</w:t>
      </w:r>
    </w:p>
    <w:p w14:paraId="7B9D9447"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7</w:t>
      </w:r>
      <w:r>
        <w:rPr>
          <w:rFonts w:ascii="Times New Roman" w:eastAsia="宋体" w:hAnsi="Times New Roman" w:hint="eastAsia"/>
          <w:color w:val="000000"/>
        </w:rPr>
        <w:t>）保护参数物理投影和可部署配置生成方式：每次参数更新后将其限制在预设物理与安全边界内，并按照原工程控制器所需的数据结构或可转换格式输出参数文件。</w:t>
      </w:r>
    </w:p>
    <w:p w14:paraId="674E6D9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8</w:t>
      </w:r>
      <w:r>
        <w:rPr>
          <w:rFonts w:ascii="Times New Roman" w:eastAsia="宋体" w:hAnsi="Times New Roman" w:hint="eastAsia"/>
          <w:color w:val="000000"/>
        </w:rPr>
        <w:t>）保护面向车辆物理参数不确定性的域随机化整定方式，包括对车辆质量、侧偏刚度、轮胎、传动或铰接相关参数进行采样，并在同一批量闭环中共享控制器参数。</w:t>
      </w:r>
    </w:p>
    <w:p w14:paraId="46D009C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9</w:t>
      </w:r>
      <w:r>
        <w:rPr>
          <w:rFonts w:ascii="Times New Roman" w:eastAsia="宋体" w:hAnsi="Times New Roman" w:hint="eastAsia"/>
          <w:color w:val="000000"/>
        </w:rPr>
        <w:t>）保护反馈噪声和指令抖动参与训练的鲁棒整定方式，包括对位置、航向、速度或横摆角速度反馈加入扰动，以及对转向、扭矩或加速度指令加入扰动；验证阶段关闭上述扰动并回到硬逻辑路径。</w:t>
      </w:r>
    </w:p>
    <w:p w14:paraId="36133CA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10</w:t>
      </w:r>
      <w:r>
        <w:rPr>
          <w:rFonts w:ascii="Times New Roman" w:eastAsia="宋体" w:hAnsi="Times New Roman" w:hint="eastAsia"/>
          <w:color w:val="000000"/>
        </w:rPr>
        <w:t>）保护可选的冻结残差模型增强方式：在机理动力学预测基础上叠加预训练</w:t>
      </w:r>
      <w:r>
        <w:rPr>
          <w:rFonts w:ascii="Times New Roman" w:eastAsia="宋体" w:hAnsi="Times New Roman"/>
          <w:color w:val="000000"/>
        </w:rPr>
        <w:t xml:space="preserve"> MLP </w:t>
      </w:r>
      <w:r>
        <w:rPr>
          <w:rFonts w:ascii="Times New Roman" w:eastAsia="宋体" w:hAnsi="Times New Roman" w:hint="eastAsia"/>
          <w:color w:val="000000"/>
        </w:rPr>
        <w:t>的状态残差，允许梯度穿过残差模型的输入输出映射回到控制器参数，但控制器整定期间不更新</w:t>
      </w:r>
      <w:r>
        <w:rPr>
          <w:rFonts w:ascii="Times New Roman" w:eastAsia="宋体" w:hAnsi="Times New Roman"/>
          <w:color w:val="000000"/>
        </w:rPr>
        <w:t xml:space="preserve"> MLP </w:t>
      </w:r>
      <w:r>
        <w:rPr>
          <w:rFonts w:ascii="Times New Roman" w:eastAsia="宋体" w:hAnsi="Times New Roman" w:hint="eastAsia"/>
          <w:color w:val="000000"/>
        </w:rPr>
        <w:t>权重。</w:t>
      </w:r>
    </w:p>
    <w:p w14:paraId="1B09CE9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11</w:t>
      </w:r>
      <w:r>
        <w:rPr>
          <w:rFonts w:ascii="Times New Roman" w:eastAsia="宋体" w:hAnsi="Times New Roman" w:hint="eastAsia"/>
          <w:color w:val="000000"/>
        </w:rPr>
        <w:t>）保护可选残差模型的异常归因诊断方式，包括捕获残差模型输入、归一化输入距离、原始及限幅后输出、车辆状态和控制指令，并通过静态扫描、闭环时序、分布外判断及残差分量消融区分控制器不足与残差模型失效。</w:t>
      </w:r>
    </w:p>
    <w:p w14:paraId="624687F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12</w:t>
      </w:r>
      <w:r>
        <w:rPr>
          <w:rFonts w:ascii="Times New Roman" w:eastAsia="宋体" w:hAnsi="Times New Roman" w:hint="eastAsia"/>
          <w:color w:val="000000"/>
        </w:rPr>
        <w:t>）保护硬逻辑复验门槛：整定完成后，在保留原工程硬逻辑的验证路径中运行全场景闭环，依据跟踪误差、速度误差、控制连续性和安全边界决定是否接受并导出参数；在启用残差增强且触发或选择执行残差模型诊断时，再附加残差模型诊断门槛，判断是否出现持续偏置、输入分布外距离持续超阈或输出长期饱和。</w:t>
      </w:r>
    </w:p>
    <w:p w14:paraId="46DAC8C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13</w:t>
      </w:r>
      <w:r>
        <w:rPr>
          <w:rFonts w:ascii="Times New Roman" w:eastAsia="宋体" w:hAnsi="Times New Roman" w:hint="eastAsia"/>
          <w:color w:val="000000"/>
        </w:rPr>
        <w:t>）保护实现上述方法的控制器参数自动整定系统，其功能模块至少包括控制器双模式复现、机理动力学闭环展开、场景管理、损失计算、自动微分、参数投影、硬逻辑复验和配置导出模块，并可选包括残差增强与诊断模块。</w:t>
      </w:r>
    </w:p>
    <w:p w14:paraId="5256318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14</w:t>
      </w:r>
      <w:r>
        <w:rPr>
          <w:rFonts w:ascii="Times New Roman" w:eastAsia="宋体" w:hAnsi="Times New Roman" w:hint="eastAsia"/>
          <w:color w:val="000000"/>
        </w:rPr>
        <w:t>）保护一种电子设备，包括处理器和存储器，所述存储器中存储的程序由处理器执行时实现上述车辆横纵向控制器参数自动整定方法。</w:t>
      </w:r>
    </w:p>
    <w:p w14:paraId="4FB78FD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w:t>
      </w:r>
      <w:r>
        <w:rPr>
          <w:rFonts w:ascii="Times New Roman" w:eastAsia="宋体" w:hAnsi="Times New Roman" w:hint="eastAsia"/>
          <w:color w:val="000000"/>
        </w:rPr>
        <w:t>15</w:t>
      </w:r>
      <w:r>
        <w:rPr>
          <w:rFonts w:ascii="Times New Roman" w:eastAsia="宋体" w:hAnsi="Times New Roman" w:hint="eastAsia"/>
          <w:color w:val="000000"/>
        </w:rPr>
        <w:t>）保护一种计算机可读存储介质，其上存储有程序，所述程序被处理器执行时实现上述车辆横纵向控制器参数自动整定方法。</w:t>
      </w:r>
    </w:p>
    <w:bookmarkEnd w:id="27"/>
    <w:p w14:paraId="5017007A"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六、实施例、技术效果和参数示例</w:t>
      </w:r>
    </w:p>
    <w:p w14:paraId="1D7A3771" w14:textId="77777777" w:rsidR="009E6F54" w:rsidRDefault="009E6F54" w:rsidP="009E6F54">
      <w:pPr>
        <w:spacing w:after="120" w:line="276" w:lineRule="auto"/>
        <w:ind w:firstLine="420"/>
        <w:rPr>
          <w:rFonts w:hint="eastAsia"/>
        </w:rPr>
      </w:pPr>
      <w:bookmarkStart w:id="28" w:name="实施例一基于牵引车-挂车模型的横纵向联合整定"/>
      <w:r>
        <w:rPr>
          <w:rFonts w:ascii="Times New Roman" w:eastAsia="宋体" w:hAnsi="Times New Roman"/>
          <w:color w:val="000000"/>
        </w:rPr>
        <w:t xml:space="preserve">6.1 </w:t>
      </w:r>
      <w:r>
        <w:rPr>
          <w:rFonts w:ascii="Times New Roman" w:eastAsia="宋体" w:hAnsi="Times New Roman" w:hint="eastAsia"/>
          <w:color w:val="000000"/>
        </w:rPr>
        <w:t>实施例一：基于牵引车</w:t>
      </w:r>
      <w:r>
        <w:rPr>
          <w:rFonts w:ascii="Times New Roman" w:eastAsia="宋体" w:hAnsi="Times New Roman" w:hint="eastAsia"/>
          <w:color w:val="000000"/>
        </w:rPr>
        <w:t>-</w:t>
      </w:r>
      <w:r>
        <w:rPr>
          <w:rFonts w:ascii="Times New Roman" w:eastAsia="宋体" w:hAnsi="Times New Roman" w:hint="eastAsia"/>
          <w:color w:val="000000"/>
        </w:rPr>
        <w:t>挂车模型的横纵向联合整定</w:t>
      </w:r>
    </w:p>
    <w:p w14:paraId="74ADABD6"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在一个实施例中，横向控制器采用重卡横向控制逻辑，纵向控制器包含站位环（位置误差环）、速度环和扭矩输出层。被控对象采用牵引车</w:t>
      </w:r>
      <w:r>
        <w:rPr>
          <w:rFonts w:ascii="Times New Roman" w:eastAsia="宋体" w:hAnsi="Times New Roman" w:hint="eastAsia"/>
          <w:color w:val="000000"/>
        </w:rPr>
        <w:t>-</w:t>
      </w:r>
      <w:r>
        <w:rPr>
          <w:rFonts w:ascii="Times New Roman" w:eastAsia="宋体" w:hAnsi="Times New Roman" w:hint="eastAsia"/>
          <w:color w:val="000000"/>
        </w:rPr>
        <w:t>挂车机理动力学模型，并启用预训练且权重冻结的</w:t>
      </w:r>
      <w:r>
        <w:rPr>
          <w:rFonts w:ascii="Times New Roman" w:eastAsia="宋体" w:hAnsi="Times New Roman"/>
          <w:color w:val="000000"/>
        </w:rPr>
        <w:t xml:space="preserve"> MLP </w:t>
      </w:r>
      <w:r>
        <w:rPr>
          <w:rFonts w:ascii="Times New Roman" w:eastAsia="宋体" w:hAnsi="Times New Roman" w:hint="eastAsia"/>
          <w:color w:val="000000"/>
        </w:rPr>
        <w:t>残差增强，即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；训练共</w:t>
      </w:r>
      <w:r>
        <w:rPr>
          <w:rFonts w:ascii="Times New Roman" w:eastAsia="宋体" w:hAnsi="Times New Roman"/>
          <w:color w:val="000000"/>
        </w:rPr>
        <w:t xml:space="preserve"> 6 </w:t>
      </w:r>
      <w:r>
        <w:rPr>
          <w:rFonts w:ascii="Times New Roman" w:eastAsia="宋体" w:hAnsi="Times New Roman" w:hint="eastAsia"/>
          <w:color w:val="000000"/>
        </w:rPr>
        <w:t>轮，普通参数与查表参数的初始学习率均为</w:t>
      </w:r>
      <w:r>
        <w:rPr>
          <w:rFonts w:ascii="Times New Roman" w:eastAsia="宋体" w:hAnsi="Times New Roman"/>
          <w:color w:val="000000"/>
        </w:rPr>
        <w:t xml:space="preserve"> </w:t>
      </w:r>
      <w:r>
        <w:rPr>
          <w:rFonts w:ascii="Times New Roman" w:eastAsia="宋体" w:hAnsi="Times New Roman" w:hint="eastAsia"/>
          <w:color w:val="000000"/>
        </w:rPr>
        <w:t>0.05</w:t>
      </w:r>
      <w:r>
        <w:rPr>
          <w:rFonts w:ascii="Times New Roman" w:eastAsia="宋体" w:hAnsi="Times New Roman" w:hint="eastAsia"/>
          <w:color w:val="000000"/>
        </w:rPr>
        <w:t>，并采用余弦退火逐轮降低学习率。训练集由</w:t>
      </w:r>
      <w:r>
        <w:rPr>
          <w:rFonts w:ascii="Times New Roman" w:eastAsia="宋体" w:hAnsi="Times New Roman"/>
          <w:color w:val="000000"/>
        </w:rPr>
        <w:t xml:space="preserve"> 8 </w:t>
      </w:r>
      <w:r>
        <w:rPr>
          <w:rFonts w:ascii="Times New Roman" w:eastAsia="宋体" w:hAnsi="Times New Roman" w:hint="eastAsia"/>
          <w:color w:val="000000"/>
        </w:rPr>
        <w:t>类轨迹模板与</w:t>
      </w:r>
      <w:r>
        <w:rPr>
          <w:rFonts w:ascii="Times New Roman" w:eastAsia="宋体" w:hAnsi="Times New Roman"/>
          <w:color w:val="000000"/>
        </w:rPr>
        <w:t xml:space="preserve"> 6 </w:t>
      </w:r>
      <w:r>
        <w:rPr>
          <w:rFonts w:ascii="Times New Roman" w:eastAsia="宋体" w:hAnsi="Times New Roman" w:hint="eastAsia"/>
          <w:color w:val="000000"/>
        </w:rPr>
        <w:t>个速度段组合形成</w:t>
      </w:r>
      <w:r>
        <w:rPr>
          <w:rFonts w:ascii="Times New Roman" w:eastAsia="宋体" w:hAnsi="Times New Roman"/>
          <w:color w:val="000000"/>
        </w:rPr>
        <w:t xml:space="preserve"> 48 </w:t>
      </w:r>
      <w:r>
        <w:rPr>
          <w:rFonts w:ascii="Times New Roman" w:eastAsia="宋体" w:hAnsi="Times New Roman" w:hint="eastAsia"/>
          <w:color w:val="000000"/>
        </w:rPr>
        <w:t>个场景；轨迹模板包括换道、双换道、渐变曲率弯道、</w:t>
      </w:r>
      <w:r>
        <w:rPr>
          <w:rFonts w:ascii="Times New Roman" w:eastAsia="宋体" w:hAnsi="Times New Roman" w:hint="eastAsia"/>
          <w:color w:val="000000"/>
        </w:rPr>
        <w:t>S</w:t>
      </w:r>
      <w:r>
        <w:rPr>
          <w:rFonts w:ascii="Times New Roman" w:eastAsia="宋体" w:hAnsi="Times New Roman"/>
          <w:color w:val="000000"/>
        </w:rPr>
        <w:t xml:space="preserve"> </w:t>
      </w:r>
      <w:r>
        <w:rPr>
          <w:rFonts w:ascii="Times New Roman" w:eastAsia="宋体" w:hAnsi="Times New Roman" w:hint="eastAsia"/>
          <w:color w:val="000000"/>
        </w:rPr>
        <w:t>弯、弯前减速、换道加减速及其左右方向或速度变化组合，速度段为</w:t>
      </w:r>
      <w:r>
        <w:rPr>
          <w:rFonts w:ascii="Times New Roman" w:eastAsia="宋体" w:hAnsi="Times New Roman"/>
          <w:color w:val="000000"/>
        </w:rPr>
        <w:t xml:space="preserve"> 5</w:t>
      </w:r>
      <w:r>
        <w:rPr>
          <w:rFonts w:ascii="Times New Roman" w:eastAsia="宋体" w:hAnsi="Times New Roman"/>
          <w:color w:val="000000"/>
        </w:rPr>
        <w:t>、</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25</w:t>
      </w:r>
      <w:r>
        <w:rPr>
          <w:rFonts w:ascii="Times New Roman" w:eastAsia="宋体" w:hAnsi="Times New Roman"/>
          <w:color w:val="000000"/>
        </w:rPr>
        <w:t>、</w:t>
      </w:r>
      <w:r>
        <w:rPr>
          <w:rFonts w:ascii="Times New Roman" w:eastAsia="宋体" w:hAnsi="Times New Roman"/>
          <w:color w:val="000000"/>
        </w:rPr>
        <w:t>35</w:t>
      </w:r>
      <w:r>
        <w:rPr>
          <w:rFonts w:ascii="Times New Roman" w:eastAsia="宋体" w:hAnsi="Times New Roman"/>
          <w:color w:val="000000"/>
        </w:rPr>
        <w:t>、</w:t>
      </w:r>
      <w:r>
        <w:rPr>
          <w:rFonts w:ascii="Times New Roman" w:eastAsia="宋体" w:hAnsi="Times New Roman"/>
          <w:color w:val="000000"/>
        </w:rPr>
        <w:t xml:space="preserve">45 </w:t>
      </w:r>
      <w:r>
        <w:rPr>
          <w:rFonts w:ascii="Times New Roman" w:eastAsia="宋体" w:hAnsi="Times New Roman" w:hint="eastAsia"/>
          <w:color w:val="000000"/>
        </w:rPr>
        <w:t>和</w:t>
      </w:r>
      <w:r>
        <w:rPr>
          <w:rFonts w:ascii="Times New Roman" w:eastAsia="宋体" w:hAnsi="Times New Roman"/>
          <w:color w:val="000000"/>
        </w:rPr>
        <w:t xml:space="preserve"> 55 </w:t>
      </w:r>
      <w:r>
        <w:rPr>
          <w:rFonts w:ascii="Times New Roman" w:eastAsia="宋体" w:hAnsi="Times New Roman" w:hint="eastAsia"/>
          <w:color w:val="000000"/>
        </w:rPr>
        <w:t>km/h</w:t>
      </w:r>
      <w:r>
        <w:rPr>
          <w:rFonts w:ascii="Times New Roman" w:eastAsia="宋体" w:hAnsi="Times New Roman" w:hint="eastAsia"/>
          <w:color w:val="000000"/>
        </w:rPr>
        <w:t>。验证集在上述</w:t>
      </w:r>
      <w:r>
        <w:rPr>
          <w:rFonts w:ascii="Times New Roman" w:eastAsia="宋体" w:hAnsi="Times New Roman"/>
          <w:color w:val="000000"/>
        </w:rPr>
        <w:t xml:space="preserve"> 48 </w:t>
      </w:r>
      <w:r>
        <w:rPr>
          <w:rFonts w:ascii="Times New Roman" w:eastAsia="宋体" w:hAnsi="Times New Roman" w:hint="eastAsia"/>
          <w:color w:val="000000"/>
        </w:rPr>
        <w:t>个场景基础上增加一条园区综合路线，共</w:t>
      </w:r>
      <w:r>
        <w:rPr>
          <w:rFonts w:ascii="Times New Roman" w:eastAsia="宋体" w:hAnsi="Times New Roman"/>
          <w:color w:val="000000"/>
        </w:rPr>
        <w:t xml:space="preserve"> 49 </w:t>
      </w:r>
      <w:r>
        <w:rPr>
          <w:rFonts w:ascii="Times New Roman" w:eastAsia="宋体" w:hAnsi="Times New Roman" w:hint="eastAsia"/>
          <w:color w:val="000000"/>
        </w:rPr>
        <w:t>个场景。</w:t>
      </w:r>
    </w:p>
    <w:p w14:paraId="45A61D03"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实验中，式（</w:t>
      </w:r>
      <w:r>
        <w:rPr>
          <w:rFonts w:ascii="Times New Roman" w:eastAsia="宋体" w:hAnsi="Times New Roman" w:hint="eastAsia"/>
          <w:color w:val="000000"/>
        </w:rPr>
        <w:t>5</w:t>
      </w:r>
      <w:r>
        <w:rPr>
          <w:rFonts w:ascii="Times New Roman" w:eastAsia="宋体" w:hAnsi="Times New Roman" w:hint="eastAsia"/>
          <w:color w:val="000000"/>
        </w:rPr>
        <w:t>）所示的软基线归一化批量目标从</w:t>
      </w:r>
      <w:r>
        <w:rPr>
          <w:rFonts w:ascii="Times New Roman" w:eastAsia="宋体" w:hAnsi="Times New Roman"/>
          <w:color w:val="000000"/>
        </w:rPr>
        <w:t xml:space="preserve"> 3.9303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3.0535</w:t>
      </w:r>
      <w:r>
        <w:rPr>
          <w:rFonts w:ascii="Times New Roman" w:eastAsia="宋体" w:hAnsi="Times New Roman" w:hint="eastAsia"/>
          <w:color w:val="000000"/>
        </w:rPr>
        <w:t>，下降</w:t>
      </w:r>
      <w:r>
        <w:rPr>
          <w:rFonts w:ascii="Times New Roman" w:eastAsia="宋体" w:hAnsi="Times New Roman"/>
          <w:color w:val="000000"/>
        </w:rPr>
        <w:t xml:space="preserve"> </w:t>
      </w:r>
      <w:r>
        <w:rPr>
          <w:rFonts w:ascii="Times New Roman" w:eastAsia="宋体" w:hAnsi="Times New Roman" w:hint="eastAsia"/>
          <w:color w:val="000000"/>
        </w:rPr>
        <w:t>22.31%</w:t>
      </w:r>
      <w:r>
        <w:rPr>
          <w:rFonts w:ascii="Times New Roman" w:eastAsia="宋体" w:hAnsi="Times New Roman" w:hint="eastAsia"/>
          <w:color w:val="000000"/>
        </w:rPr>
        <w:t>。各分项图记录的是未归一化原始损失，因而其数值不与归一化总目标直接相加。硬逻辑验证路径中，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38 </w:t>
      </w:r>
      <w:r>
        <w:rPr>
          <w:rFonts w:ascii="Times New Roman" w:eastAsia="宋体" w:hAnsi="Times New Roman" w:hint="eastAsia"/>
          <w:color w:val="000000"/>
        </w:rPr>
        <w:t>个场景横向误差下降，</w:t>
      </w:r>
      <w:r>
        <w:rPr>
          <w:rFonts w:ascii="Times New Roman" w:eastAsia="宋体" w:hAnsi="Times New Roman" w:hint="eastAsia"/>
          <w:color w:val="000000"/>
        </w:rPr>
        <w:t>43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个场景航向误差下降；横向误差变化平均值为</w:t>
      </w:r>
      <w:r>
        <w:rPr>
          <w:rFonts w:ascii="Times New Roman" w:eastAsia="宋体" w:hAnsi="Times New Roman"/>
          <w:color w:val="000000"/>
        </w:rPr>
        <w:t xml:space="preserve"> </w:t>
      </w:r>
      <w:r>
        <w:rPr>
          <w:rFonts w:ascii="Times New Roman" w:eastAsia="宋体" w:hAnsi="Times New Roman" w:hint="eastAsia"/>
          <w:color w:val="000000"/>
        </w:rPr>
        <w:t>-11.20%</w:t>
      </w:r>
      <w:r>
        <w:rPr>
          <w:rFonts w:ascii="Times New Roman" w:eastAsia="宋体" w:hAnsi="Times New Roman" w:hint="eastAsia"/>
          <w:color w:val="000000"/>
        </w:rPr>
        <w:t>，航向误差变化平均值为</w:t>
      </w:r>
      <w:r>
        <w:rPr>
          <w:rFonts w:ascii="Times New Roman" w:eastAsia="宋体" w:hAnsi="Times New Roman"/>
          <w:color w:val="000000"/>
        </w:rPr>
        <w:t xml:space="preserve"> </w:t>
      </w:r>
      <w:r>
        <w:rPr>
          <w:rFonts w:ascii="Times New Roman" w:eastAsia="宋体" w:hAnsi="Times New Roman" w:hint="eastAsia"/>
          <w:color w:val="000000"/>
        </w:rPr>
        <w:t>-15.11%</w:t>
      </w:r>
      <w:r>
        <w:rPr>
          <w:rFonts w:ascii="Times New Roman" w:eastAsia="宋体" w:hAnsi="Times New Roman" w:hint="eastAsia"/>
          <w:color w:val="000000"/>
        </w:rPr>
        <w:t>。该结果说明，通过可微闭环整定得到的参数在硬逻辑复验中仍具有改善效果。</w:t>
      </w:r>
    </w:p>
    <w:p w14:paraId="10B3E81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3</w:t>
      </w:r>
      <w:r>
        <w:rPr>
          <w:rFonts w:ascii="Times New Roman" w:eastAsia="宋体" w:hAnsi="Times New Roman" w:hint="eastAsia"/>
          <w:color w:val="000000"/>
        </w:rPr>
        <w:t>示出了实施例实际训练结果经黑白清稿后的曲线，包括软归一化批量目标和未归一化原始分项损失。归一化总目标下降</w:t>
      </w:r>
      <w:r>
        <w:rPr>
          <w:rFonts w:ascii="Times New Roman" w:eastAsia="宋体" w:hAnsi="Times New Roman"/>
          <w:color w:val="000000"/>
        </w:rPr>
        <w:t xml:space="preserve"> </w:t>
      </w:r>
      <w:r>
        <w:rPr>
          <w:rFonts w:ascii="Times New Roman" w:eastAsia="宋体" w:hAnsi="Times New Roman" w:hint="eastAsia"/>
          <w:color w:val="000000"/>
        </w:rPr>
        <w:t>22.31%</w:t>
      </w:r>
      <w:r>
        <w:rPr>
          <w:rFonts w:ascii="Times New Roman" w:eastAsia="宋体" w:hAnsi="Times New Roman" w:hint="eastAsia"/>
          <w:color w:val="000000"/>
        </w:rPr>
        <w:t>，分项曲线用于判断横向、航向、速度和控制平滑性各自的变化方向。</w:t>
      </w:r>
    </w:p>
    <w:p w14:paraId="60DA7DD6"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03B0C271" wp14:editId="2F2012F0">
            <wp:extent cx="5623560" cy="489562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fig3_loss_curve.png"/>
                    <pic:cNvPicPr>
                      <a:picLocks noChangeAspect="1" noChangeArrowheads="1"/>
                    </pic:cNvPicPr>
                  </pic:nvPicPr>
                  <pic:blipFill>
                    <a:blip r:embed="rId19"/>
                    <a:stretch>
                      <a:fillRect/>
                    </a:stretch>
                  </pic:blipFill>
                  <pic:spPr bwMode="auto">
                    <a:xfrm>
                      <a:off x="0" y="0"/>
                      <a:ext cx="5623560" cy="4895620"/>
                    </a:xfrm>
                    <a:prstGeom prst="rect">
                      <a:avLst/>
                    </a:prstGeom>
                    <a:noFill/>
                    <a:ln w="9525">
                      <a:noFill/>
                      <a:headEnd/>
                      <a:tailEnd/>
                    </a:ln>
                  </pic:spPr>
                </pic:pic>
              </a:graphicData>
            </a:graphic>
          </wp:inline>
        </w:drawing>
      </w:r>
    </w:p>
    <w:p w14:paraId="391A5448"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3</w:t>
      </w:r>
      <w:r>
        <w:rPr>
          <w:rFonts w:ascii="Times New Roman" w:eastAsia="宋体" w:hAnsi="Times New Roman"/>
          <w:color w:val="000000"/>
          <w:sz w:val="18"/>
        </w:rPr>
        <w:t xml:space="preserve"> </w:t>
      </w:r>
      <w:r>
        <w:rPr>
          <w:rFonts w:ascii="Times New Roman" w:eastAsia="宋体" w:hAnsi="Times New Roman" w:hint="eastAsia"/>
          <w:color w:val="000000"/>
          <w:sz w:val="18"/>
        </w:rPr>
        <w:t>训练损失及分项变化曲线</w:t>
      </w:r>
    </w:p>
    <w:p w14:paraId="42202A5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4</w:t>
      </w:r>
      <w:r>
        <w:rPr>
          <w:rFonts w:ascii="Times New Roman" w:eastAsia="宋体" w:hAnsi="Times New Roman" w:hint="eastAsia"/>
          <w:color w:val="000000"/>
        </w:rPr>
        <w:t>示出了关键参数在整定前后的变化，包括</w:t>
      </w:r>
      <w:r>
        <w:rPr>
          <w:rFonts w:ascii="Times New Roman" w:eastAsia="宋体" w:hAnsi="Times New Roman"/>
          <w:color w:val="000000"/>
        </w:rPr>
        <w:t xml:space="preserve"> 7 </w:t>
      </w:r>
      <w:r>
        <w:rPr>
          <w:rFonts w:ascii="Times New Roman" w:eastAsia="宋体" w:hAnsi="Times New Roman" w:hint="eastAsia"/>
          <w:color w:val="000000"/>
        </w:rPr>
        <w:t>个纵向标量参数以及</w:t>
      </w:r>
      <w:r>
        <w:rPr>
          <w:rFonts w:ascii="Times New Roman" w:eastAsia="宋体" w:hAnsi="Times New Roman"/>
          <w:color w:val="000000"/>
        </w:rPr>
        <w:t xml:space="preserve"> T2</w:t>
      </w:r>
      <w:r>
        <w:rPr>
          <w:rFonts w:ascii="Times New Roman" w:eastAsia="宋体" w:hAnsi="Times New Roman"/>
          <w:color w:val="000000"/>
        </w:rPr>
        <w:t>、</w:t>
      </w:r>
      <w:r>
        <w:rPr>
          <w:rFonts w:ascii="Times New Roman" w:eastAsia="宋体" w:hAnsi="Times New Roman"/>
          <w:color w:val="000000"/>
        </w:rPr>
        <w:t>T3</w:t>
      </w:r>
      <w:r>
        <w:rPr>
          <w:rFonts w:ascii="Times New Roman" w:eastAsia="宋体" w:hAnsi="Times New Roman"/>
          <w:color w:val="000000"/>
        </w:rPr>
        <w:t>、</w:t>
      </w:r>
      <w:r>
        <w:rPr>
          <w:rFonts w:ascii="Times New Roman" w:eastAsia="宋体" w:hAnsi="Times New Roman"/>
          <w:color w:val="000000"/>
        </w:rPr>
        <w:t>T4</w:t>
      </w:r>
      <w:r>
        <w:rPr>
          <w:rFonts w:ascii="Times New Roman" w:eastAsia="宋体" w:hAnsi="Times New Roman"/>
          <w:color w:val="000000"/>
        </w:rPr>
        <w:t>、</w:t>
      </w:r>
      <w:r>
        <w:rPr>
          <w:rFonts w:ascii="Times New Roman" w:eastAsia="宋体" w:hAnsi="Times New Roman"/>
          <w:color w:val="000000"/>
        </w:rPr>
        <w:t xml:space="preserve">T6 </w:t>
      </w:r>
      <w:r>
        <w:rPr>
          <w:rFonts w:ascii="Times New Roman" w:eastAsia="宋体" w:hAnsi="Times New Roman" w:hint="eastAsia"/>
          <w:color w:val="000000"/>
        </w:rPr>
        <w:t>四组横向查表节点；其中</w:t>
      </w:r>
      <w:r>
        <w:rPr>
          <w:rFonts w:ascii="Times New Roman" w:eastAsia="宋体" w:hAnsi="Times New Roman"/>
          <w:color w:val="000000"/>
        </w:rPr>
        <w:t xml:space="preserve"> T2 </w:t>
      </w:r>
      <w:r>
        <w:rPr>
          <w:rFonts w:ascii="Times New Roman" w:eastAsia="宋体" w:hAnsi="Times New Roman" w:hint="eastAsia"/>
          <w:color w:val="000000"/>
        </w:rPr>
        <w:t>表示预瞄时间，</w:t>
      </w:r>
      <w:r>
        <w:rPr>
          <w:rFonts w:ascii="Times New Roman" w:eastAsia="宋体" w:hAnsi="Times New Roman" w:hint="eastAsia"/>
          <w:color w:val="000000"/>
        </w:rPr>
        <w:t>T3</w:t>
      </w:r>
      <w:r>
        <w:rPr>
          <w:rFonts w:ascii="Times New Roman" w:eastAsia="宋体" w:hAnsi="Times New Roman"/>
          <w:color w:val="000000"/>
        </w:rPr>
        <w:t xml:space="preserve"> </w:t>
      </w:r>
      <w:r>
        <w:rPr>
          <w:rFonts w:ascii="Times New Roman" w:eastAsia="宋体" w:hAnsi="Times New Roman" w:hint="eastAsia"/>
          <w:color w:val="000000"/>
        </w:rPr>
        <w:t>表示收敛时间，</w:t>
      </w:r>
      <w:r>
        <w:rPr>
          <w:rFonts w:ascii="Times New Roman" w:eastAsia="宋体" w:hAnsi="Times New Roman" w:hint="eastAsia"/>
          <w:color w:val="000000"/>
        </w:rPr>
        <w:t>T4</w:t>
      </w:r>
      <w:r>
        <w:rPr>
          <w:rFonts w:ascii="Times New Roman" w:eastAsia="宋体" w:hAnsi="Times New Roman"/>
          <w:color w:val="000000"/>
        </w:rPr>
        <w:t xml:space="preserve"> </w:t>
      </w:r>
      <w:r>
        <w:rPr>
          <w:rFonts w:ascii="Times New Roman" w:eastAsia="宋体" w:hAnsi="Times New Roman" w:hint="eastAsia"/>
          <w:color w:val="000000"/>
        </w:rPr>
        <w:t>表示角速度误差预瞄时间，</w:t>
      </w:r>
      <w:r>
        <w:rPr>
          <w:rFonts w:ascii="Times New Roman" w:eastAsia="宋体" w:hAnsi="Times New Roman" w:hint="eastAsia"/>
          <w:color w:val="000000"/>
        </w:rPr>
        <w:t>T6</w:t>
      </w:r>
      <w:r>
        <w:rPr>
          <w:rFonts w:ascii="Times New Roman" w:eastAsia="宋体" w:hAnsi="Times New Roman"/>
          <w:color w:val="000000"/>
        </w:rPr>
        <w:t xml:space="preserve"> </w:t>
      </w:r>
      <w:r>
        <w:rPr>
          <w:rFonts w:ascii="Times New Roman" w:eastAsia="宋体" w:hAnsi="Times New Roman" w:hint="eastAsia"/>
          <w:color w:val="000000"/>
        </w:rPr>
        <w:t>表示远预瞄时间。该图用于核对自动更新是否落在工程边界内。</w:t>
      </w:r>
    </w:p>
    <w:p w14:paraId="67044F4C"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7C834944" wp14:editId="539EABDD">
            <wp:extent cx="5623560" cy="4979288"/>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_parameter_changes.png"/>
                    <pic:cNvPicPr>
                      <a:picLocks noChangeAspect="1" noChangeArrowheads="1"/>
                    </pic:cNvPicPr>
                  </pic:nvPicPr>
                  <pic:blipFill>
                    <a:blip r:embed="rId20"/>
                    <a:stretch>
                      <a:fillRect/>
                    </a:stretch>
                  </pic:blipFill>
                  <pic:spPr bwMode="auto">
                    <a:xfrm>
                      <a:off x="0" y="0"/>
                      <a:ext cx="5623560" cy="4979288"/>
                    </a:xfrm>
                    <a:prstGeom prst="rect">
                      <a:avLst/>
                    </a:prstGeom>
                    <a:noFill/>
                    <a:ln w="9525">
                      <a:noFill/>
                      <a:headEnd/>
                      <a:tailEnd/>
                    </a:ln>
                  </pic:spPr>
                </pic:pic>
              </a:graphicData>
            </a:graphic>
          </wp:inline>
        </w:drawing>
      </w:r>
    </w:p>
    <w:p w14:paraId="2B6309B3"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4</w:t>
      </w:r>
      <w:r>
        <w:rPr>
          <w:rFonts w:ascii="Times New Roman" w:eastAsia="宋体" w:hAnsi="Times New Roman"/>
          <w:color w:val="000000"/>
          <w:sz w:val="18"/>
        </w:rPr>
        <w:t xml:space="preserve"> </w:t>
      </w:r>
      <w:r>
        <w:rPr>
          <w:rFonts w:ascii="Times New Roman" w:eastAsia="宋体" w:hAnsi="Times New Roman" w:hint="eastAsia"/>
          <w:color w:val="000000"/>
          <w:sz w:val="18"/>
        </w:rPr>
        <w:t>关键参数变化图</w:t>
      </w:r>
    </w:p>
    <w:p w14:paraId="1177F1DF"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5(a)</w:t>
      </w:r>
      <w:r>
        <w:rPr>
          <w:rFonts w:ascii="Times New Roman" w:eastAsia="宋体" w:hAnsi="Times New Roman" w:hint="eastAsia"/>
          <w:color w:val="000000"/>
        </w:rPr>
        <w:t>列出了实施例一的主要训练配置和总体结果：被控对象采用牵引车</w:t>
      </w:r>
      <w:r>
        <w:rPr>
          <w:rFonts w:ascii="Times New Roman" w:eastAsia="宋体" w:hAnsi="Times New Roman" w:hint="eastAsia"/>
          <w:color w:val="000000"/>
        </w:rPr>
        <w:t>-</w:t>
      </w:r>
      <w:r>
        <w:rPr>
          <w:rFonts w:ascii="Times New Roman" w:eastAsia="宋体" w:hAnsi="Times New Roman" w:hint="eastAsia"/>
          <w:color w:val="000000"/>
        </w:rPr>
        <w:t>挂车机理模型并启用冻结的</w:t>
      </w:r>
      <w:r>
        <w:rPr>
          <w:rFonts w:ascii="Times New Roman" w:eastAsia="宋体" w:hAnsi="Times New Roman"/>
          <w:color w:val="000000"/>
        </w:rPr>
        <w:t xml:space="preserve"> MLP </w:t>
      </w:r>
      <w:r>
        <w:rPr>
          <w:rFonts w:ascii="Times New Roman" w:eastAsia="宋体" w:hAnsi="Times New Roman" w:hint="eastAsia"/>
          <w:color w:val="000000"/>
        </w:rPr>
        <w:t>残差增强（</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），训练</w:t>
      </w:r>
      <w:r>
        <w:rPr>
          <w:rFonts w:ascii="Times New Roman" w:eastAsia="宋体" w:hAnsi="Times New Roman"/>
          <w:color w:val="000000"/>
        </w:rPr>
        <w:t xml:space="preserve"> 6 </w:t>
      </w:r>
      <w:r>
        <w:rPr>
          <w:rFonts w:ascii="Times New Roman" w:eastAsia="宋体" w:hAnsi="Times New Roman" w:hint="eastAsia"/>
          <w:color w:val="000000"/>
        </w:rPr>
        <w:t>轮，控制周期为</w:t>
      </w:r>
      <w:r>
        <w:rPr>
          <w:rFonts w:ascii="Times New Roman" w:eastAsia="宋体" w:hAnsi="Times New Roman"/>
          <w:color w:val="000000"/>
        </w:rPr>
        <w:t xml:space="preserve"> 0.02 </w:t>
      </w:r>
      <w:r>
        <w:rPr>
          <w:rFonts w:ascii="Times New Roman" w:eastAsia="宋体" w:hAnsi="Times New Roman" w:hint="eastAsia"/>
          <w:color w:val="000000"/>
        </w:rPr>
        <w:t>s</w:t>
      </w:r>
      <w:r>
        <w:rPr>
          <w:rFonts w:ascii="Times New Roman" w:eastAsia="宋体" w:hAnsi="Times New Roman" w:hint="eastAsia"/>
          <w:color w:val="000000"/>
        </w:rPr>
        <w:t>，普通参数和查表参数的初始学习率均为</w:t>
      </w:r>
      <w:r>
        <w:rPr>
          <w:rFonts w:ascii="Times New Roman" w:eastAsia="宋体" w:hAnsi="Times New Roman"/>
          <w:color w:val="000000"/>
        </w:rPr>
        <w:t xml:space="preserve"> </w:t>
      </w:r>
      <w:r>
        <w:rPr>
          <w:rFonts w:ascii="Times New Roman" w:eastAsia="宋体" w:hAnsi="Times New Roman" w:hint="eastAsia"/>
          <w:color w:val="000000"/>
        </w:rPr>
        <w:t>0.05</w:t>
      </w:r>
      <w:r>
        <w:rPr>
          <w:rFonts w:ascii="Times New Roman" w:eastAsia="宋体" w:hAnsi="Times New Roman" w:hint="eastAsia"/>
          <w:color w:val="000000"/>
        </w:rPr>
        <w:t>，并采用余弦退火，训练集为</w:t>
      </w:r>
      <w:r>
        <w:rPr>
          <w:rFonts w:ascii="Times New Roman" w:eastAsia="宋体" w:hAnsi="Times New Roman"/>
          <w:color w:val="000000"/>
        </w:rPr>
        <w:t xml:space="preserve"> 48 </w:t>
      </w:r>
      <w:r>
        <w:rPr>
          <w:rFonts w:ascii="Times New Roman" w:eastAsia="宋体" w:hAnsi="Times New Roman" w:hint="eastAsia"/>
          <w:color w:val="000000"/>
        </w:rPr>
        <w:t>个场景。</w:t>
      </w:r>
    </w:p>
    <w:p w14:paraId="4186A352"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0934285D" wp14:editId="30FD1A8E">
            <wp:extent cx="5623560" cy="4845353"/>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ures/fig5_training_summary_a.png"/>
                    <pic:cNvPicPr>
                      <a:picLocks noChangeAspect="1" noChangeArrowheads="1"/>
                    </pic:cNvPicPr>
                  </pic:nvPicPr>
                  <pic:blipFill>
                    <a:blip r:embed="rId21"/>
                    <a:stretch>
                      <a:fillRect/>
                    </a:stretch>
                  </pic:blipFill>
                  <pic:spPr bwMode="auto">
                    <a:xfrm>
                      <a:off x="0" y="0"/>
                      <a:ext cx="5623560" cy="4845353"/>
                    </a:xfrm>
                    <a:prstGeom prst="rect">
                      <a:avLst/>
                    </a:prstGeom>
                    <a:noFill/>
                    <a:ln w="9525">
                      <a:noFill/>
                      <a:headEnd/>
                      <a:tailEnd/>
                    </a:ln>
                  </pic:spPr>
                </pic:pic>
              </a:graphicData>
            </a:graphic>
          </wp:inline>
        </w:drawing>
      </w:r>
    </w:p>
    <w:p w14:paraId="65345A2D"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5(a)</w:t>
      </w:r>
      <w:r>
        <w:rPr>
          <w:rFonts w:ascii="Times New Roman" w:eastAsia="宋体" w:hAnsi="Times New Roman"/>
          <w:color w:val="000000"/>
          <w:sz w:val="18"/>
        </w:rPr>
        <w:t xml:space="preserve"> </w:t>
      </w:r>
      <w:r>
        <w:rPr>
          <w:rFonts w:ascii="Times New Roman" w:eastAsia="宋体" w:hAnsi="Times New Roman" w:hint="eastAsia"/>
          <w:color w:val="000000"/>
          <w:sz w:val="18"/>
        </w:rPr>
        <w:t>实施例训练配置与总体结果</w:t>
      </w:r>
    </w:p>
    <w:p w14:paraId="247464F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5(b)</w:t>
      </w:r>
      <w:r>
        <w:rPr>
          <w:rFonts w:ascii="Times New Roman" w:eastAsia="宋体" w:hAnsi="Times New Roman" w:hint="eastAsia"/>
          <w:color w:val="000000"/>
        </w:rPr>
        <w:t>给出了</w:t>
      </w:r>
      <w:r>
        <w:rPr>
          <w:rFonts w:ascii="Times New Roman" w:eastAsia="宋体" w:hAnsi="Times New Roman"/>
          <w:color w:val="000000"/>
        </w:rPr>
        <w:t xml:space="preserve"> 49 </w:t>
      </w:r>
      <w:r>
        <w:rPr>
          <w:rFonts w:ascii="Times New Roman" w:eastAsia="宋体" w:hAnsi="Times New Roman" w:hint="eastAsia"/>
          <w:color w:val="000000"/>
        </w:rPr>
        <w:t>个硬逻辑验证场景的统计，其中</w:t>
      </w:r>
      <w:r>
        <w:rPr>
          <w:rFonts w:ascii="Times New Roman" w:eastAsia="宋体" w:hAnsi="Times New Roman"/>
          <w:color w:val="000000"/>
        </w:rPr>
        <w:t xml:space="preserve"> 38 </w:t>
      </w:r>
      <w:r>
        <w:rPr>
          <w:rFonts w:ascii="Times New Roman" w:eastAsia="宋体" w:hAnsi="Times New Roman" w:hint="eastAsia"/>
          <w:color w:val="000000"/>
        </w:rPr>
        <w:t>个场景横向误差下降、</w:t>
      </w:r>
      <w:r>
        <w:rPr>
          <w:rFonts w:ascii="Times New Roman" w:eastAsia="宋体" w:hAnsi="Times New Roman" w:hint="eastAsia"/>
          <w:color w:val="000000"/>
        </w:rPr>
        <w:t>43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个场景航向误差下降；横向误差和航向误差的平均变化率分别为</w:t>
      </w:r>
      <w:r>
        <w:rPr>
          <w:rFonts w:ascii="Times New Roman" w:eastAsia="宋体" w:hAnsi="Times New Roman"/>
          <w:color w:val="000000"/>
        </w:rPr>
        <w:t xml:space="preserve"> -11.20% </w:t>
      </w:r>
      <w:r>
        <w:rPr>
          <w:rFonts w:ascii="Times New Roman" w:eastAsia="宋体" w:hAnsi="Times New Roman" w:hint="eastAsia"/>
          <w:color w:val="000000"/>
        </w:rPr>
        <w:t>和</w:t>
      </w:r>
      <w:r>
        <w:rPr>
          <w:rFonts w:ascii="Times New Roman" w:eastAsia="宋体" w:hAnsi="Times New Roman"/>
          <w:color w:val="000000"/>
        </w:rPr>
        <w:t xml:space="preserve"> </w:t>
      </w:r>
      <w:r>
        <w:rPr>
          <w:rFonts w:ascii="Times New Roman" w:eastAsia="宋体" w:hAnsi="Times New Roman" w:hint="eastAsia"/>
          <w:color w:val="000000"/>
        </w:rPr>
        <w:t>-15.11%</w:t>
      </w:r>
      <w:r>
        <w:rPr>
          <w:rFonts w:ascii="Times New Roman" w:eastAsia="宋体" w:hAnsi="Times New Roman" w:hint="eastAsia"/>
          <w:color w:val="000000"/>
        </w:rPr>
        <w:t>，并按轨迹类型列出统计结果。</w:t>
      </w:r>
    </w:p>
    <w:p w14:paraId="205116F1"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78F077D9" wp14:editId="3C32BDDD">
            <wp:extent cx="5623560" cy="426145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fig5_training_summary_b.png"/>
                    <pic:cNvPicPr>
                      <a:picLocks noChangeAspect="1" noChangeArrowheads="1"/>
                    </pic:cNvPicPr>
                  </pic:nvPicPr>
                  <pic:blipFill>
                    <a:blip r:embed="rId22"/>
                    <a:stretch>
                      <a:fillRect/>
                    </a:stretch>
                  </pic:blipFill>
                  <pic:spPr bwMode="auto">
                    <a:xfrm>
                      <a:off x="0" y="0"/>
                      <a:ext cx="5623560" cy="4261451"/>
                    </a:xfrm>
                    <a:prstGeom prst="rect">
                      <a:avLst/>
                    </a:prstGeom>
                    <a:noFill/>
                    <a:ln w="9525">
                      <a:noFill/>
                      <a:headEnd/>
                      <a:tailEnd/>
                    </a:ln>
                  </pic:spPr>
                </pic:pic>
              </a:graphicData>
            </a:graphic>
          </wp:inline>
        </w:drawing>
      </w:r>
    </w:p>
    <w:p w14:paraId="61E9E787"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5(b)</w:t>
      </w:r>
      <w:r>
        <w:rPr>
          <w:rFonts w:ascii="Times New Roman" w:eastAsia="宋体" w:hAnsi="Times New Roman"/>
          <w:color w:val="000000"/>
          <w:sz w:val="18"/>
        </w:rPr>
        <w:t xml:space="preserve"> </w:t>
      </w:r>
      <w:r>
        <w:rPr>
          <w:rFonts w:ascii="Times New Roman" w:eastAsia="宋体" w:hAnsi="Times New Roman" w:hint="eastAsia"/>
          <w:color w:val="000000"/>
          <w:sz w:val="18"/>
        </w:rPr>
        <w:t>硬逻辑复验统计</w:t>
      </w:r>
    </w:p>
    <w:p w14:paraId="656406E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6(a)</w:t>
      </w:r>
      <w:r>
        <w:rPr>
          <w:rFonts w:ascii="Times New Roman" w:eastAsia="宋体" w:hAnsi="Times New Roman" w:hint="eastAsia"/>
          <w:color w:val="000000"/>
        </w:rPr>
        <w:t>和图</w:t>
      </w:r>
      <w:r>
        <w:rPr>
          <w:rFonts w:ascii="Times New Roman" w:eastAsia="宋体" w:hAnsi="Times New Roman" w:hint="eastAsia"/>
          <w:color w:val="000000"/>
        </w:rPr>
        <w:t>6(b)</w:t>
      </w:r>
      <w:r>
        <w:rPr>
          <w:rFonts w:ascii="Times New Roman" w:eastAsia="宋体" w:hAnsi="Times New Roman" w:hint="eastAsia"/>
          <w:color w:val="000000"/>
        </w:rPr>
        <w:t>分别摘录硬逻辑复验中的单换道、双换道实际轨迹结果，每类覆盖</w:t>
      </w:r>
      <w:r>
        <w:rPr>
          <w:rFonts w:ascii="Times New Roman" w:eastAsia="宋体" w:hAnsi="Times New Roman"/>
          <w:color w:val="000000"/>
        </w:rPr>
        <w:t xml:space="preserve"> 5</w:t>
      </w:r>
      <w:r>
        <w:rPr>
          <w:rFonts w:ascii="Times New Roman" w:eastAsia="宋体" w:hAnsi="Times New Roman"/>
          <w:color w:val="000000"/>
        </w:rPr>
        <w:t>、</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25</w:t>
      </w:r>
      <w:r>
        <w:rPr>
          <w:rFonts w:ascii="Times New Roman" w:eastAsia="宋体" w:hAnsi="Times New Roman"/>
          <w:color w:val="000000"/>
        </w:rPr>
        <w:t>、</w:t>
      </w:r>
      <w:r>
        <w:rPr>
          <w:rFonts w:ascii="Times New Roman" w:eastAsia="宋体" w:hAnsi="Times New Roman"/>
          <w:color w:val="000000"/>
        </w:rPr>
        <w:t>35</w:t>
      </w:r>
      <w:r>
        <w:rPr>
          <w:rFonts w:ascii="Times New Roman" w:eastAsia="宋体" w:hAnsi="Times New Roman"/>
          <w:color w:val="000000"/>
        </w:rPr>
        <w:t>、</w:t>
      </w:r>
      <w:r>
        <w:rPr>
          <w:rFonts w:ascii="Times New Roman" w:eastAsia="宋体" w:hAnsi="Times New Roman"/>
          <w:color w:val="000000"/>
        </w:rPr>
        <w:t xml:space="preserve">45 </w:t>
      </w:r>
      <w:r>
        <w:rPr>
          <w:rFonts w:ascii="Times New Roman" w:eastAsia="宋体" w:hAnsi="Times New Roman" w:hint="eastAsia"/>
          <w:color w:val="000000"/>
        </w:rPr>
        <w:t>和</w:t>
      </w:r>
      <w:r>
        <w:rPr>
          <w:rFonts w:ascii="Times New Roman" w:eastAsia="宋体" w:hAnsi="Times New Roman"/>
          <w:color w:val="000000"/>
        </w:rPr>
        <w:t xml:space="preserve"> 55 km/h </w:t>
      </w:r>
      <w:r>
        <w:rPr>
          <w:rFonts w:ascii="Times New Roman" w:eastAsia="宋体" w:hAnsi="Times New Roman" w:hint="eastAsia"/>
          <w:color w:val="000000"/>
        </w:rPr>
        <w:t>六个速度段。参考轨迹采用灰色短虚线，整定前轨迹采用灰色间断线，整定后轨迹采用黑色实线；图例括号内为对应横向均方根误差。</w:t>
      </w:r>
    </w:p>
    <w:p w14:paraId="496A869E"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01AA8ED9" wp14:editId="0736B9DB">
            <wp:extent cx="5623560" cy="3249167"/>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fig6_comparison_trajectory_a.png"/>
                    <pic:cNvPicPr>
                      <a:picLocks noChangeAspect="1" noChangeArrowheads="1"/>
                    </pic:cNvPicPr>
                  </pic:nvPicPr>
                  <pic:blipFill>
                    <a:blip r:embed="rId23"/>
                    <a:stretch>
                      <a:fillRect/>
                    </a:stretch>
                  </pic:blipFill>
                  <pic:spPr bwMode="auto">
                    <a:xfrm>
                      <a:off x="0" y="0"/>
                      <a:ext cx="5623560" cy="3249167"/>
                    </a:xfrm>
                    <a:prstGeom prst="rect">
                      <a:avLst/>
                    </a:prstGeom>
                    <a:noFill/>
                    <a:ln w="9525">
                      <a:noFill/>
                      <a:headEnd/>
                      <a:tailEnd/>
                    </a:ln>
                  </pic:spPr>
                </pic:pic>
              </a:graphicData>
            </a:graphic>
          </wp:inline>
        </w:drawing>
      </w:r>
    </w:p>
    <w:p w14:paraId="16BB310B"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6(a)</w:t>
      </w:r>
      <w:r>
        <w:rPr>
          <w:rFonts w:ascii="Times New Roman" w:eastAsia="宋体" w:hAnsi="Times New Roman"/>
          <w:color w:val="000000"/>
          <w:sz w:val="18"/>
        </w:rPr>
        <w:t xml:space="preserve"> </w:t>
      </w:r>
      <w:r>
        <w:rPr>
          <w:rFonts w:ascii="Times New Roman" w:eastAsia="宋体" w:hAnsi="Times New Roman" w:hint="eastAsia"/>
          <w:color w:val="000000"/>
          <w:sz w:val="18"/>
        </w:rPr>
        <w:t>单换道代表场景轨迹跟踪对比</w:t>
      </w:r>
    </w:p>
    <w:p w14:paraId="26553E13"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5984C1AE" wp14:editId="550706BE">
            <wp:extent cx="5623560" cy="3249167"/>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6_comparison_trajectory_b.png"/>
                    <pic:cNvPicPr>
                      <a:picLocks noChangeAspect="1" noChangeArrowheads="1"/>
                    </pic:cNvPicPr>
                  </pic:nvPicPr>
                  <pic:blipFill>
                    <a:blip r:embed="rId24"/>
                    <a:stretch>
                      <a:fillRect/>
                    </a:stretch>
                  </pic:blipFill>
                  <pic:spPr bwMode="auto">
                    <a:xfrm>
                      <a:off x="0" y="0"/>
                      <a:ext cx="5623560" cy="3249167"/>
                    </a:xfrm>
                    <a:prstGeom prst="rect">
                      <a:avLst/>
                    </a:prstGeom>
                    <a:noFill/>
                    <a:ln w="9525">
                      <a:noFill/>
                      <a:headEnd/>
                      <a:tailEnd/>
                    </a:ln>
                  </pic:spPr>
                </pic:pic>
              </a:graphicData>
            </a:graphic>
          </wp:inline>
        </w:drawing>
      </w:r>
    </w:p>
    <w:p w14:paraId="2F3B38E4"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6(b)</w:t>
      </w:r>
      <w:r>
        <w:rPr>
          <w:rFonts w:ascii="Times New Roman" w:eastAsia="宋体" w:hAnsi="Times New Roman"/>
          <w:color w:val="000000"/>
          <w:sz w:val="18"/>
        </w:rPr>
        <w:t xml:space="preserve"> </w:t>
      </w:r>
      <w:r>
        <w:rPr>
          <w:rFonts w:ascii="Times New Roman" w:eastAsia="宋体" w:hAnsi="Times New Roman" w:hint="eastAsia"/>
          <w:color w:val="000000"/>
          <w:sz w:val="18"/>
        </w:rPr>
        <w:t>双换道代表场景轨迹跟踪对比</w:t>
      </w:r>
    </w:p>
    <w:p w14:paraId="0E026271"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7(a)</w:t>
      </w:r>
      <w:r>
        <w:rPr>
          <w:rFonts w:ascii="Times New Roman" w:eastAsia="宋体" w:hAnsi="Times New Roman" w:hint="eastAsia"/>
          <w:color w:val="000000"/>
        </w:rPr>
        <w:t>和图</w:t>
      </w:r>
      <w:r>
        <w:rPr>
          <w:rFonts w:ascii="Times New Roman" w:eastAsia="宋体" w:hAnsi="Times New Roman" w:hint="eastAsia"/>
          <w:color w:val="000000"/>
        </w:rPr>
        <w:t>7(b)</w:t>
      </w:r>
      <w:r>
        <w:rPr>
          <w:rFonts w:ascii="Times New Roman" w:eastAsia="宋体" w:hAnsi="Times New Roman" w:hint="eastAsia"/>
          <w:color w:val="000000"/>
        </w:rPr>
        <w:t>给出了与图</w:t>
      </w:r>
      <w:r>
        <w:rPr>
          <w:rFonts w:ascii="Times New Roman" w:eastAsia="宋体" w:hAnsi="Times New Roman" w:hint="eastAsia"/>
          <w:color w:val="000000"/>
        </w:rPr>
        <w:t>6</w:t>
      </w:r>
      <w:r>
        <w:rPr>
          <w:rFonts w:ascii="Times New Roman" w:eastAsia="宋体" w:hAnsi="Times New Roman" w:hint="eastAsia"/>
          <w:color w:val="000000"/>
        </w:rPr>
        <w:t>相同</w:t>
      </w:r>
      <w:r>
        <w:rPr>
          <w:rFonts w:ascii="Times New Roman" w:eastAsia="宋体" w:hAnsi="Times New Roman"/>
          <w:color w:val="000000"/>
        </w:rPr>
        <w:t xml:space="preserve"> 12 </w:t>
      </w:r>
      <w:r>
        <w:rPr>
          <w:rFonts w:ascii="Times New Roman" w:eastAsia="宋体" w:hAnsi="Times New Roman" w:hint="eastAsia"/>
          <w:color w:val="000000"/>
        </w:rPr>
        <w:t>个实际复验场景的横向误差时序。整定前误差采用灰色间断线，整定后误差采用黑色实线；图例括号内为横向均方根误差。该图用于观察误差幅值、持续时间及局部改善情况，完整</w:t>
      </w:r>
      <w:r>
        <w:rPr>
          <w:rFonts w:ascii="Times New Roman" w:eastAsia="宋体" w:hAnsi="Times New Roman"/>
          <w:color w:val="000000"/>
        </w:rPr>
        <w:t xml:space="preserve"> 49 </w:t>
      </w:r>
      <w:r>
        <w:rPr>
          <w:rFonts w:ascii="Times New Roman" w:eastAsia="宋体" w:hAnsi="Times New Roman" w:hint="eastAsia"/>
          <w:color w:val="000000"/>
        </w:rPr>
        <w:t>场景材料与整定日志一并保存。</w:t>
      </w:r>
    </w:p>
    <w:p w14:paraId="0C8733D7"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099A9014" wp14:editId="0995F5B5">
            <wp:extent cx="5623560" cy="3249167"/>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7_comparison_lateral_error_a.png"/>
                    <pic:cNvPicPr>
                      <a:picLocks noChangeAspect="1" noChangeArrowheads="1"/>
                    </pic:cNvPicPr>
                  </pic:nvPicPr>
                  <pic:blipFill>
                    <a:blip r:embed="rId25"/>
                    <a:stretch>
                      <a:fillRect/>
                    </a:stretch>
                  </pic:blipFill>
                  <pic:spPr bwMode="auto">
                    <a:xfrm>
                      <a:off x="0" y="0"/>
                      <a:ext cx="5623560" cy="3249167"/>
                    </a:xfrm>
                    <a:prstGeom prst="rect">
                      <a:avLst/>
                    </a:prstGeom>
                    <a:noFill/>
                    <a:ln w="9525">
                      <a:noFill/>
                      <a:headEnd/>
                      <a:tailEnd/>
                    </a:ln>
                  </pic:spPr>
                </pic:pic>
              </a:graphicData>
            </a:graphic>
          </wp:inline>
        </w:drawing>
      </w:r>
    </w:p>
    <w:p w14:paraId="39DC67B8"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7(a)</w:t>
      </w:r>
      <w:r>
        <w:rPr>
          <w:rFonts w:ascii="Times New Roman" w:eastAsia="宋体" w:hAnsi="Times New Roman"/>
          <w:color w:val="000000"/>
          <w:sz w:val="18"/>
        </w:rPr>
        <w:t xml:space="preserve"> </w:t>
      </w:r>
      <w:r>
        <w:rPr>
          <w:rFonts w:ascii="Times New Roman" w:eastAsia="宋体" w:hAnsi="Times New Roman" w:hint="eastAsia"/>
          <w:color w:val="000000"/>
          <w:sz w:val="18"/>
        </w:rPr>
        <w:t>单换道代表场景横向误差对比</w:t>
      </w:r>
    </w:p>
    <w:p w14:paraId="5783C28D"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58FFDB32" wp14:editId="6A890113">
            <wp:extent cx="5623560" cy="3249167"/>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s/fig7_comparison_lateral_error_b.png"/>
                    <pic:cNvPicPr>
                      <a:picLocks noChangeAspect="1" noChangeArrowheads="1"/>
                    </pic:cNvPicPr>
                  </pic:nvPicPr>
                  <pic:blipFill>
                    <a:blip r:embed="rId26"/>
                    <a:stretch>
                      <a:fillRect/>
                    </a:stretch>
                  </pic:blipFill>
                  <pic:spPr bwMode="auto">
                    <a:xfrm>
                      <a:off x="0" y="0"/>
                      <a:ext cx="5623560" cy="3249167"/>
                    </a:xfrm>
                    <a:prstGeom prst="rect">
                      <a:avLst/>
                    </a:prstGeom>
                    <a:noFill/>
                    <a:ln w="9525">
                      <a:noFill/>
                      <a:headEnd/>
                      <a:tailEnd/>
                    </a:ln>
                  </pic:spPr>
                </pic:pic>
              </a:graphicData>
            </a:graphic>
          </wp:inline>
        </w:drawing>
      </w:r>
    </w:p>
    <w:p w14:paraId="74CB8AB7"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7(b)</w:t>
      </w:r>
      <w:r>
        <w:rPr>
          <w:rFonts w:ascii="Times New Roman" w:eastAsia="宋体" w:hAnsi="Times New Roman"/>
          <w:color w:val="000000"/>
          <w:sz w:val="18"/>
        </w:rPr>
        <w:t xml:space="preserve"> </w:t>
      </w:r>
      <w:r>
        <w:rPr>
          <w:rFonts w:ascii="Times New Roman" w:eastAsia="宋体" w:hAnsi="Times New Roman" w:hint="eastAsia"/>
          <w:color w:val="000000"/>
          <w:sz w:val="18"/>
        </w:rPr>
        <w:t>双换道代表场景横向误差对比</w:t>
      </w:r>
    </w:p>
    <w:p w14:paraId="3F95731C" w14:textId="77777777" w:rsidR="009E6F54" w:rsidRDefault="009E6F54" w:rsidP="009E6F54">
      <w:pPr>
        <w:spacing w:after="120" w:line="276" w:lineRule="auto"/>
        <w:ind w:firstLine="420"/>
        <w:rPr>
          <w:rFonts w:hint="eastAsia"/>
        </w:rPr>
      </w:pPr>
      <w:bookmarkStart w:id="29" w:name="实施例二车辆物理参数域随机化整定"/>
      <w:bookmarkEnd w:id="28"/>
      <w:r>
        <w:rPr>
          <w:rFonts w:ascii="Times New Roman" w:eastAsia="宋体" w:hAnsi="Times New Roman"/>
          <w:color w:val="000000"/>
        </w:rPr>
        <w:t xml:space="preserve">6.2 </w:t>
      </w:r>
      <w:r>
        <w:rPr>
          <w:rFonts w:ascii="Times New Roman" w:eastAsia="宋体" w:hAnsi="Times New Roman" w:hint="eastAsia"/>
          <w:color w:val="000000"/>
        </w:rPr>
        <w:t>实施例二：车辆物理参数域随机化整定</w:t>
      </w:r>
    </w:p>
    <w:p w14:paraId="636DD0E9"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在另一个实施例中，关闭</w:t>
      </w:r>
      <w:r>
        <w:rPr>
          <w:rFonts w:ascii="Times New Roman" w:eastAsia="宋体" w:hAnsi="Times New Roman"/>
          <w:color w:val="000000"/>
        </w:rPr>
        <w:t xml:space="preserve"> MLP </w:t>
      </w:r>
      <w:r>
        <w:rPr>
          <w:rFonts w:ascii="Times New Roman" w:eastAsia="宋体" w:hAnsi="Times New Roman" w:hint="eastAsia"/>
          <w:color w:val="000000"/>
        </w:rPr>
        <w:t>残差增强并采用纯机理被控对象，即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0</m:t>
        </m:r>
      </m:oMath>
      <w:r>
        <w:rPr>
          <w:rFonts w:ascii="Times New Roman" w:eastAsia="宋体" w:hAnsi="Times New Roman" w:hint="eastAsia"/>
          <w:color w:val="000000"/>
        </w:rPr>
        <w:t>。每轮训练采样</w:t>
      </w:r>
      <w:r>
        <w:rPr>
          <w:rFonts w:ascii="Times New Roman" w:eastAsia="宋体" w:hAnsi="Times New Roman"/>
          <w:color w:val="000000"/>
        </w:rPr>
        <w:t xml:space="preserve"> 4 </w:t>
      </w:r>
      <w:r>
        <w:rPr>
          <w:rFonts w:ascii="Times New Roman" w:eastAsia="宋体" w:hAnsi="Times New Roman" w:hint="eastAsia"/>
          <w:color w:val="000000"/>
        </w:rPr>
        <w:t>组车辆物理参数，将</w:t>
      </w:r>
      <w:r>
        <w:rPr>
          <w:rFonts w:ascii="Times New Roman" w:eastAsia="宋体" w:hAnsi="Times New Roman"/>
          <w:color w:val="000000"/>
        </w:rPr>
        <w:t xml:space="preserve"> 48 </w:t>
      </w:r>
      <w:r>
        <w:rPr>
          <w:rFonts w:ascii="Times New Roman" w:eastAsia="宋体" w:hAnsi="Times New Roman" w:hint="eastAsia"/>
          <w:color w:val="000000"/>
        </w:rPr>
        <w:t>条轨迹复制到</w:t>
      </w:r>
      <w:r>
        <w:rPr>
          <w:rFonts w:ascii="Times New Roman" w:eastAsia="宋体" w:hAnsi="Times New Roman"/>
          <w:color w:val="000000"/>
        </w:rPr>
        <w:t xml:space="preserve"> 4 </w:t>
      </w:r>
      <w:r>
        <w:rPr>
          <w:rFonts w:ascii="Times New Roman" w:eastAsia="宋体" w:hAnsi="Times New Roman" w:hint="eastAsia"/>
          <w:color w:val="000000"/>
        </w:rPr>
        <w:t>个车辆域，共形成</w:t>
      </w:r>
      <w:r>
        <w:rPr>
          <w:rFonts w:ascii="Times New Roman" w:eastAsia="宋体" w:hAnsi="Times New Roman"/>
          <w:color w:val="000000"/>
        </w:rPr>
        <w:t xml:space="preserve"> 192 </w:t>
      </w:r>
      <w:r>
        <w:rPr>
          <w:rFonts w:ascii="Times New Roman" w:eastAsia="宋体" w:hAnsi="Times New Roman" w:hint="eastAsia"/>
          <w:color w:val="000000"/>
        </w:rPr>
        <w:t>条批量闭环仿真样本。牵引车质量采样范围为名义值的正负</w:t>
      </w:r>
      <w:r>
        <w:rPr>
          <w:rFonts w:ascii="Times New Roman" w:eastAsia="宋体" w:hAnsi="Times New Roman"/>
          <w:color w:val="000000"/>
        </w:rPr>
        <w:t xml:space="preserve"> </w:t>
      </w:r>
      <w:r>
        <w:rPr>
          <w:rFonts w:ascii="Times New Roman" w:eastAsia="宋体" w:hAnsi="Times New Roman" w:hint="eastAsia"/>
          <w:color w:val="000000"/>
        </w:rPr>
        <w:t>10%</w:t>
      </w:r>
      <w:r>
        <w:rPr>
          <w:rFonts w:ascii="Times New Roman" w:eastAsia="宋体" w:hAnsi="Times New Roman" w:hint="eastAsia"/>
          <w:color w:val="000000"/>
        </w:rPr>
        <w:t>，前后轴侧偏刚度采样范围为名义值的正负</w:t>
      </w:r>
      <w:r>
        <w:rPr>
          <w:rFonts w:ascii="Times New Roman" w:eastAsia="宋体" w:hAnsi="Times New Roman"/>
          <w:color w:val="000000"/>
        </w:rPr>
        <w:t xml:space="preserve"> 20%</w:t>
      </w:r>
      <w:r>
        <w:rPr>
          <w:rFonts w:ascii="Times New Roman" w:eastAsia="宋体" w:hAnsi="Times New Roman"/>
          <w:color w:val="000000"/>
        </w:rPr>
        <w:t>。</w:t>
      </w:r>
    </w:p>
    <w:p w14:paraId="06F46F63"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纯机理模型实施例中，综合损失从</w:t>
      </w:r>
      <w:r>
        <w:rPr>
          <w:rFonts w:ascii="Times New Roman" w:eastAsia="宋体" w:hAnsi="Times New Roman"/>
          <w:color w:val="000000"/>
        </w:rPr>
        <w:t xml:space="preserve"> 2.7083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1.5639</w:t>
      </w:r>
      <w:r>
        <w:rPr>
          <w:rFonts w:ascii="Times New Roman" w:eastAsia="宋体" w:hAnsi="Times New Roman" w:hint="eastAsia"/>
          <w:color w:val="000000"/>
        </w:rPr>
        <w:t>，下降约</w:t>
      </w:r>
      <w:r>
        <w:rPr>
          <w:rFonts w:ascii="Times New Roman" w:eastAsia="宋体" w:hAnsi="Times New Roman"/>
          <w:color w:val="000000"/>
        </w:rPr>
        <w:t xml:space="preserve"> </w:t>
      </w:r>
      <w:r>
        <w:rPr>
          <w:rFonts w:ascii="Times New Roman" w:eastAsia="宋体" w:hAnsi="Times New Roman" w:hint="eastAsia"/>
          <w:color w:val="000000"/>
        </w:rPr>
        <w:t>42.26%</w:t>
      </w:r>
      <w:r>
        <w:rPr>
          <w:rFonts w:ascii="Times New Roman" w:eastAsia="宋体" w:hAnsi="Times New Roman" w:hint="eastAsia"/>
          <w:color w:val="000000"/>
        </w:rPr>
        <w:t>。硬逻辑验证路径中，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47 </w:t>
      </w:r>
      <w:r>
        <w:rPr>
          <w:rFonts w:ascii="Times New Roman" w:eastAsia="宋体" w:hAnsi="Times New Roman" w:hint="eastAsia"/>
          <w:color w:val="000000"/>
        </w:rPr>
        <w:t>个场景横向误差下降，</w:t>
      </w:r>
      <w:r>
        <w:rPr>
          <w:rFonts w:ascii="Times New Roman" w:eastAsia="宋体" w:hAnsi="Times New Roman" w:hint="eastAsia"/>
          <w:color w:val="000000"/>
        </w:rPr>
        <w:t>47</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个场景航向误差下降；横向误差变化平均值为</w:t>
      </w:r>
      <w:r>
        <w:rPr>
          <w:rFonts w:ascii="Times New Roman" w:eastAsia="宋体" w:hAnsi="Times New Roman"/>
          <w:color w:val="000000"/>
        </w:rPr>
        <w:t xml:space="preserve"> </w:t>
      </w:r>
      <w:r>
        <w:rPr>
          <w:rFonts w:ascii="Times New Roman" w:eastAsia="宋体" w:hAnsi="Times New Roman" w:hint="eastAsia"/>
          <w:color w:val="000000"/>
        </w:rPr>
        <w:t>-29.32%</w:t>
      </w:r>
      <w:r>
        <w:rPr>
          <w:rFonts w:ascii="Times New Roman" w:eastAsia="宋体" w:hAnsi="Times New Roman" w:hint="eastAsia"/>
          <w:color w:val="000000"/>
        </w:rPr>
        <w:t>，航向误差变化平均值为</w:t>
      </w:r>
      <w:r>
        <w:rPr>
          <w:rFonts w:ascii="Times New Roman" w:eastAsia="宋体" w:hAnsi="Times New Roman"/>
          <w:color w:val="000000"/>
        </w:rPr>
        <w:t xml:space="preserve"> </w:t>
      </w:r>
      <w:r>
        <w:rPr>
          <w:rFonts w:ascii="Times New Roman" w:eastAsia="宋体" w:hAnsi="Times New Roman" w:hint="eastAsia"/>
          <w:color w:val="000000"/>
        </w:rPr>
        <w:t>-24.87%</w:t>
      </w:r>
      <w:r>
        <w:rPr>
          <w:rFonts w:ascii="Times New Roman" w:eastAsia="宋体" w:hAnsi="Times New Roman" w:hint="eastAsia"/>
          <w:color w:val="000000"/>
        </w:rPr>
        <w:t>。该实施例说明，通过训练中暴露车辆物理参数不确定性，控制器参数避免仅适配单一名义车辆。</w:t>
      </w:r>
    </w:p>
    <w:p w14:paraId="6A61DC4A" w14:textId="77777777" w:rsidR="009E6F54" w:rsidRDefault="009E6F54" w:rsidP="009E6F54">
      <w:pPr>
        <w:spacing w:after="120" w:line="276" w:lineRule="auto"/>
        <w:ind w:firstLine="420"/>
        <w:rPr>
          <w:rFonts w:hint="eastAsia"/>
        </w:rPr>
      </w:pPr>
      <w:bookmarkStart w:id="30" w:name="实施例三叠加反馈噪声和指令抖动的鲁棒整定"/>
      <w:bookmarkEnd w:id="29"/>
      <w:r>
        <w:rPr>
          <w:rFonts w:ascii="Times New Roman" w:eastAsia="宋体" w:hAnsi="Times New Roman"/>
          <w:color w:val="000000"/>
        </w:rPr>
        <w:t xml:space="preserve">6.3 </w:t>
      </w:r>
      <w:r>
        <w:rPr>
          <w:rFonts w:ascii="Times New Roman" w:eastAsia="宋体" w:hAnsi="Times New Roman" w:hint="eastAsia"/>
          <w:color w:val="000000"/>
        </w:rPr>
        <w:t>实施例三：叠加反馈噪声和指令抖动的鲁棒整定</w:t>
      </w:r>
    </w:p>
    <w:p w14:paraId="474CECFB"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在另一个实施例中，启用权重冻结的</w:t>
      </w:r>
      <w:r>
        <w:rPr>
          <w:rFonts w:ascii="Times New Roman" w:eastAsia="宋体" w:hAnsi="Times New Roman"/>
          <w:color w:val="000000"/>
        </w:rPr>
        <w:t xml:space="preserve"> MLP </w:t>
      </w:r>
      <w:r>
        <w:rPr>
          <w:rFonts w:ascii="Times New Roman" w:eastAsia="宋体" w:hAnsi="Times New Roman" w:hint="eastAsia"/>
          <w:color w:val="000000"/>
        </w:rPr>
        <w:t>残差增强，即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，并同时启用车辆参数域随机化、反馈噪声和指令抖动。本次实验的位置噪声标准差为</w:t>
      </w:r>
      <w:r>
        <w:rPr>
          <w:rFonts w:ascii="Times New Roman" w:eastAsia="宋体" w:hAnsi="Times New Roman"/>
          <w:color w:val="000000"/>
        </w:rPr>
        <w:t xml:space="preserve"> 0.02 </w:t>
      </w:r>
      <w:r>
        <w:rPr>
          <w:rFonts w:ascii="Times New Roman" w:eastAsia="宋体" w:hAnsi="Times New Roman" w:hint="eastAsia"/>
          <w:color w:val="000000"/>
        </w:rPr>
        <w:t>m</w:t>
      </w:r>
      <w:r>
        <w:rPr>
          <w:rFonts w:ascii="Times New Roman" w:eastAsia="宋体" w:hAnsi="Times New Roman" w:hint="eastAsia"/>
          <w:color w:val="000000"/>
        </w:rPr>
        <w:t>，航向噪声标准差为</w:t>
      </w:r>
      <w:r>
        <w:rPr>
          <w:rFonts w:ascii="Times New Roman" w:eastAsia="宋体" w:hAnsi="Times New Roman"/>
          <w:color w:val="000000"/>
        </w:rPr>
        <w:t xml:space="preserve"> </w:t>
      </w:r>
      <w:r>
        <w:rPr>
          <w:rFonts w:ascii="Times New Roman" w:eastAsia="宋体" w:hAnsi="Times New Roman" w:hint="eastAsia"/>
          <w:color w:val="000000"/>
        </w:rPr>
        <w:t>0.115</w:t>
      </w:r>
      <w:r>
        <w:rPr>
          <w:rFonts w:ascii="Times New Roman" w:eastAsia="宋体" w:hAnsi="Times New Roman" w:hint="eastAsia"/>
          <w:color w:val="000000"/>
        </w:rPr>
        <w:t>°，速度噪声标准差为</w:t>
      </w:r>
      <w:r>
        <w:rPr>
          <w:rFonts w:ascii="Times New Roman" w:eastAsia="宋体" w:hAnsi="Times New Roman"/>
          <w:color w:val="000000"/>
        </w:rPr>
        <w:t xml:space="preserve"> 0.18 </w:t>
      </w:r>
      <w:r>
        <w:rPr>
          <w:rFonts w:ascii="Times New Roman" w:eastAsia="宋体" w:hAnsi="Times New Roman" w:hint="eastAsia"/>
          <w:color w:val="000000"/>
        </w:rPr>
        <w:t>km/h</w:t>
      </w:r>
      <w:r>
        <w:rPr>
          <w:rFonts w:ascii="Times New Roman" w:eastAsia="宋体" w:hAnsi="Times New Roman" w:hint="eastAsia"/>
          <w:color w:val="000000"/>
        </w:rPr>
        <w:t>，横摆角速度噪声标准差为</w:t>
      </w:r>
      <w:r>
        <w:rPr>
          <w:rFonts w:ascii="Times New Roman" w:eastAsia="宋体" w:hAnsi="Times New Roman"/>
          <w:color w:val="000000"/>
        </w:rPr>
        <w:t xml:space="preserve"> 0.002 </w:t>
      </w:r>
      <w:r>
        <w:rPr>
          <w:rFonts w:ascii="Times New Roman" w:eastAsia="宋体" w:hAnsi="Times New Roman" w:hint="eastAsia"/>
          <w:color w:val="000000"/>
        </w:rPr>
        <w:t>rad/s</w:t>
      </w:r>
      <w:r>
        <w:rPr>
          <w:rFonts w:ascii="Times New Roman" w:eastAsia="宋体" w:hAnsi="Times New Roman" w:hint="eastAsia"/>
          <w:color w:val="000000"/>
        </w:rPr>
        <w:t>，以上噪声均截断于</w:t>
      </w:r>
      <w:r>
        <w:rPr>
          <w:rFonts w:ascii="Times New Roman" w:eastAsia="宋体" w:hAnsi="Times New Roman"/>
          <w:color w:val="000000"/>
        </w:rPr>
        <w:t xml:space="preserve"> 3 </w:t>
      </w:r>
      <w:r>
        <w:rPr>
          <w:rFonts w:ascii="Times New Roman" w:eastAsia="宋体" w:hAnsi="Times New Roman" w:hint="eastAsia"/>
          <w:color w:val="000000"/>
        </w:rPr>
        <w:t>倍标准差；转向指令抖动标准差为</w:t>
      </w:r>
      <w:r>
        <w:rPr>
          <w:rFonts w:ascii="Times New Roman" w:eastAsia="宋体" w:hAnsi="Times New Roman"/>
          <w:color w:val="000000"/>
        </w:rPr>
        <w:t xml:space="preserve"> 0.0005 </w:t>
      </w:r>
      <w:r>
        <w:rPr>
          <w:rFonts w:ascii="Times New Roman" w:eastAsia="宋体" w:hAnsi="Times New Roman" w:hint="eastAsia"/>
          <w:color w:val="000000"/>
        </w:rPr>
        <w:t>rad</w:t>
      </w:r>
      <w:r>
        <w:rPr>
          <w:rFonts w:ascii="Times New Roman" w:eastAsia="宋体" w:hAnsi="Times New Roman" w:hint="eastAsia"/>
          <w:color w:val="000000"/>
        </w:rPr>
        <w:t>，扭矩指令抖动标准差为</w:t>
      </w:r>
      <w:r>
        <w:rPr>
          <w:rFonts w:ascii="Times New Roman" w:eastAsia="宋体" w:hAnsi="Times New Roman"/>
          <w:color w:val="000000"/>
        </w:rPr>
        <w:t xml:space="preserve"> 3 </w:t>
      </w:r>
      <w:r>
        <w:rPr>
          <w:rFonts w:ascii="Times New Roman" w:eastAsia="宋体" w:hAnsi="Times New Roman" w:hint="eastAsia"/>
          <w:color w:val="000000"/>
        </w:rPr>
        <w:t>N</w:t>
      </w:r>
      <w:r>
        <w:rPr>
          <w:rFonts w:ascii="Times New Roman" w:eastAsia="宋体" w:hAnsi="Times New Roman" w:hint="eastAsia"/>
          <w:color w:val="000000"/>
        </w:rPr>
        <w:t>·</w:t>
      </w:r>
      <w:r>
        <w:rPr>
          <w:rFonts w:ascii="Times New Roman" w:eastAsia="宋体" w:hAnsi="Times New Roman" w:hint="eastAsia"/>
          <w:color w:val="000000"/>
        </w:rPr>
        <w:t>m</w:t>
      </w:r>
      <w:r>
        <w:rPr>
          <w:rFonts w:ascii="Times New Roman" w:eastAsia="宋体" w:hAnsi="Times New Roman" w:hint="eastAsia"/>
          <w:color w:val="000000"/>
        </w:rPr>
        <w:t>，二者同样截断于</w:t>
      </w:r>
      <w:r>
        <w:rPr>
          <w:rFonts w:ascii="Times New Roman" w:eastAsia="宋体" w:hAnsi="Times New Roman"/>
          <w:color w:val="000000"/>
        </w:rPr>
        <w:t xml:space="preserve"> 3 </w:t>
      </w:r>
      <w:r>
        <w:rPr>
          <w:rFonts w:ascii="Times New Roman" w:eastAsia="宋体" w:hAnsi="Times New Roman" w:hint="eastAsia"/>
          <w:color w:val="000000"/>
        </w:rPr>
        <w:t>倍标准差。</w:t>
      </w:r>
    </w:p>
    <w:p w14:paraId="6D2C3AD0"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训练结果显示，综合损失从</w:t>
      </w:r>
      <w:r>
        <w:rPr>
          <w:rFonts w:ascii="Times New Roman" w:eastAsia="宋体" w:hAnsi="Times New Roman"/>
          <w:color w:val="000000"/>
        </w:rPr>
        <w:t xml:space="preserve"> 4.6378 </w:t>
      </w:r>
      <w:r>
        <w:rPr>
          <w:rFonts w:ascii="Times New Roman" w:eastAsia="宋体" w:hAnsi="Times New Roman" w:hint="eastAsia"/>
          <w:color w:val="000000"/>
        </w:rPr>
        <w:t>下降到</w:t>
      </w:r>
      <w:r>
        <w:rPr>
          <w:rFonts w:ascii="Times New Roman" w:eastAsia="宋体" w:hAnsi="Times New Roman"/>
          <w:color w:val="000000"/>
        </w:rPr>
        <w:t xml:space="preserve"> </w:t>
      </w:r>
      <w:r>
        <w:rPr>
          <w:rFonts w:ascii="Times New Roman" w:eastAsia="宋体" w:hAnsi="Times New Roman" w:hint="eastAsia"/>
          <w:color w:val="000000"/>
        </w:rPr>
        <w:t>3.5931</w:t>
      </w:r>
      <w:r>
        <w:rPr>
          <w:rFonts w:ascii="Times New Roman" w:eastAsia="宋体" w:hAnsi="Times New Roman" w:hint="eastAsia"/>
          <w:color w:val="000000"/>
        </w:rPr>
        <w:t>，下降约</w:t>
      </w:r>
      <w:r>
        <w:rPr>
          <w:rFonts w:ascii="Times New Roman" w:eastAsia="宋体" w:hAnsi="Times New Roman"/>
          <w:color w:val="000000"/>
        </w:rPr>
        <w:t xml:space="preserve"> </w:t>
      </w:r>
      <w:r>
        <w:rPr>
          <w:rFonts w:ascii="Times New Roman" w:eastAsia="宋体" w:hAnsi="Times New Roman" w:hint="eastAsia"/>
          <w:color w:val="000000"/>
        </w:rPr>
        <w:t>22.53%</w:t>
      </w:r>
      <w:r>
        <w:rPr>
          <w:rFonts w:ascii="Times New Roman" w:eastAsia="宋体" w:hAnsi="Times New Roman" w:hint="eastAsia"/>
          <w:color w:val="000000"/>
        </w:rPr>
        <w:t>。硬逻辑验证路径中，</w:t>
      </w:r>
      <w:r>
        <w:rPr>
          <w:rFonts w:ascii="Times New Roman" w:eastAsia="宋体" w:hAnsi="Times New Roman" w:hint="eastAsia"/>
          <w:color w:val="000000"/>
        </w:rPr>
        <w:t>49</w:t>
      </w:r>
      <w:r>
        <w:rPr>
          <w:rFonts w:ascii="Times New Roman" w:eastAsia="宋体" w:hAnsi="Times New Roman"/>
          <w:color w:val="000000"/>
        </w:rPr>
        <w:t xml:space="preserve"> </w:t>
      </w:r>
      <w:r>
        <w:rPr>
          <w:rFonts w:ascii="Times New Roman" w:eastAsia="宋体" w:hAnsi="Times New Roman" w:hint="eastAsia"/>
          <w:color w:val="000000"/>
        </w:rPr>
        <w:t>个场景里有</w:t>
      </w:r>
      <w:r>
        <w:rPr>
          <w:rFonts w:ascii="Times New Roman" w:eastAsia="宋体" w:hAnsi="Times New Roman"/>
          <w:color w:val="000000"/>
        </w:rPr>
        <w:t xml:space="preserve"> 43 </w:t>
      </w:r>
      <w:r>
        <w:rPr>
          <w:rFonts w:ascii="Times New Roman" w:eastAsia="宋体" w:hAnsi="Times New Roman" w:hint="eastAsia"/>
          <w:color w:val="000000"/>
        </w:rPr>
        <w:t>个场景横向误差下降，</w:t>
      </w:r>
      <w:r>
        <w:rPr>
          <w:rFonts w:ascii="Times New Roman" w:eastAsia="宋体" w:hAnsi="Times New Roman" w:hint="eastAsia"/>
          <w:color w:val="000000"/>
        </w:rPr>
        <w:t>33</w:t>
      </w:r>
      <w:r>
        <w:rPr>
          <w:rFonts w:ascii="Times New Roman" w:eastAsia="宋体" w:hAnsi="Times New Roman"/>
          <w:color w:val="000000"/>
        </w:rPr>
        <w:t xml:space="preserve"> </w:t>
      </w:r>
      <w:r>
        <w:rPr>
          <w:rFonts w:ascii="Times New Roman" w:eastAsia="宋体" w:hAnsi="Times New Roman" w:hint="eastAsia"/>
          <w:color w:val="000000"/>
        </w:rPr>
        <w:t>个场景航向误差下降；横向误差和航向误差变化平均值分别为</w:t>
      </w:r>
      <w:r>
        <w:rPr>
          <w:rFonts w:ascii="Times New Roman" w:eastAsia="宋体" w:hAnsi="Times New Roman"/>
          <w:color w:val="000000"/>
        </w:rPr>
        <w:t xml:space="preserve"> -17.61% </w:t>
      </w:r>
      <w:r>
        <w:rPr>
          <w:rFonts w:ascii="Times New Roman" w:eastAsia="宋体" w:hAnsi="Times New Roman" w:hint="eastAsia"/>
          <w:color w:val="000000"/>
        </w:rPr>
        <w:t>和</w:t>
      </w:r>
      <w:r>
        <w:rPr>
          <w:rFonts w:ascii="Times New Roman" w:eastAsia="宋体" w:hAnsi="Times New Roman"/>
          <w:color w:val="000000"/>
        </w:rPr>
        <w:t xml:space="preserve"> </w:t>
      </w:r>
      <w:r>
        <w:rPr>
          <w:rFonts w:ascii="Times New Roman" w:eastAsia="宋体" w:hAnsi="Times New Roman" w:hint="eastAsia"/>
          <w:color w:val="000000"/>
        </w:rPr>
        <w:t>-5.73%</w:t>
      </w:r>
      <w:r>
        <w:rPr>
          <w:rFonts w:ascii="Times New Roman" w:eastAsia="宋体" w:hAnsi="Times New Roman" w:hint="eastAsia"/>
          <w:color w:val="000000"/>
        </w:rPr>
        <w:t>。该结果说明，本发明能够把外部扰动纳入训练环境，同时仍通过无扰动硬逻辑路径评估整定效果。</w:t>
      </w:r>
    </w:p>
    <w:p w14:paraId="54D93167" w14:textId="77777777" w:rsidR="009E6F54" w:rsidRDefault="009E6F54" w:rsidP="009E6F54">
      <w:pPr>
        <w:spacing w:after="120" w:line="276" w:lineRule="auto"/>
        <w:ind w:firstLine="420"/>
        <w:rPr>
          <w:rFonts w:hint="eastAsia"/>
        </w:rPr>
      </w:pPr>
      <w:bookmarkStart w:id="31" w:name="实施例四mlp-残差模型可视化诊断"/>
      <w:bookmarkEnd w:id="30"/>
      <w:r>
        <w:rPr>
          <w:rFonts w:ascii="Times New Roman" w:eastAsia="宋体" w:hAnsi="Times New Roman"/>
          <w:color w:val="000000"/>
        </w:rPr>
        <w:t xml:space="preserve">6.4 </w:t>
      </w:r>
      <w:r>
        <w:rPr>
          <w:rFonts w:ascii="Times New Roman" w:eastAsia="宋体" w:hAnsi="Times New Roman" w:hint="eastAsia"/>
          <w:color w:val="000000"/>
        </w:rPr>
        <w:t>实施例四：</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残差模型可视化诊断</w:t>
      </w:r>
    </w:p>
    <w:p w14:paraId="2B490F5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在另一个启用残差增强的实施例中，即</w:t>
      </w:r>
      <w:r>
        <w:rPr>
          <w:rFonts w:ascii="Times New Roman" w:eastAsia="宋体" w:hAnsi="Times New Roman"/>
          <w:color w:val="000000"/>
        </w:rPr>
        <w:t xml:space="preserve"> </w:t>
      </w:r>
      <m:oMath>
        <m:r>
          <w:rPr>
            <w:rFonts w:ascii="Cambria Math" w:hAnsi="Cambria Math"/>
          </w:rPr>
          <m:t>α</m:t>
        </m:r>
        <m:r>
          <m:rPr>
            <m:sty m:val="p"/>
          </m:rPr>
          <w:rPr>
            <w:rFonts w:ascii="Cambria Math" w:hAnsi="Cambria Math"/>
          </w:rPr>
          <m:t>=</m:t>
        </m:r>
        <m:r>
          <w:rPr>
            <w:rFonts w:ascii="Cambria Math" w:hAnsi="Cambria Math"/>
          </w:rPr>
          <m:t>1</m:t>
        </m:r>
      </m:oMath>
      <w:r>
        <w:rPr>
          <w:rFonts w:ascii="Times New Roman" w:eastAsia="宋体" w:hAnsi="Times New Roman" w:hint="eastAsia"/>
          <w:color w:val="000000"/>
        </w:rPr>
        <w:t>，系统针对被控对象中的冻结</w:t>
      </w:r>
      <w:r>
        <w:rPr>
          <w:rFonts w:ascii="Times New Roman" w:eastAsia="宋体" w:hAnsi="Times New Roman"/>
          <w:color w:val="000000"/>
        </w:rPr>
        <w:t xml:space="preserve"> MLP </w:t>
      </w:r>
      <w:r>
        <w:rPr>
          <w:rFonts w:ascii="Times New Roman" w:eastAsia="宋体" w:hAnsi="Times New Roman" w:hint="eastAsia"/>
          <w:color w:val="000000"/>
        </w:rPr>
        <w:t>残差模型运行可视化诊断。诊断时，系统在不改变控制器主体结构的情况下，分别运行纯机理模型路径、机理模型加完整</w:t>
      </w:r>
      <w:r>
        <w:rPr>
          <w:rFonts w:ascii="Times New Roman" w:eastAsia="宋体" w:hAnsi="Times New Roman"/>
          <w:color w:val="000000"/>
        </w:rPr>
        <w:t xml:space="preserve"> MLP </w:t>
      </w:r>
      <w:r>
        <w:rPr>
          <w:rFonts w:ascii="Times New Roman" w:eastAsia="宋体" w:hAnsi="Times New Roman" w:hint="eastAsia"/>
          <w:color w:val="000000"/>
        </w:rPr>
        <w:t>残差路径，以及屏蔽部分</w:t>
      </w:r>
      <w:r>
        <w:rPr>
          <w:rFonts w:ascii="Times New Roman" w:eastAsia="宋体" w:hAnsi="Times New Roman"/>
          <w:color w:val="000000"/>
        </w:rPr>
        <w:t xml:space="preserve"> MLP </w:t>
      </w:r>
      <w:r>
        <w:rPr>
          <w:rFonts w:ascii="Times New Roman" w:eastAsia="宋体" w:hAnsi="Times New Roman" w:hint="eastAsia"/>
          <w:color w:val="000000"/>
        </w:rPr>
        <w:t>输出分量的消融路径。每个路径均记录车辆轨迹、横向误差、方向盘命令、</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输入特征、归一化输入距离、原始残差输出和限幅后的残差输出。</w:t>
      </w:r>
    </w:p>
    <w:p w14:paraId="2CDF3F8C"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在静态扫描中，系统向</w:t>
      </w:r>
      <w:r>
        <w:rPr>
          <w:rFonts w:ascii="Times New Roman" w:eastAsia="宋体" w:hAnsi="Times New Roman"/>
          <w:color w:val="000000"/>
        </w:rPr>
        <w:t xml:space="preserve"> MLP </w:t>
      </w:r>
      <w:r>
        <w:rPr>
          <w:rFonts w:ascii="Times New Roman" w:eastAsia="宋体" w:hAnsi="Times New Roman" w:hint="eastAsia"/>
          <w:color w:val="000000"/>
        </w:rPr>
        <w:t>残差模型输入无侧向速度、无横摆角速度和无控制激励的基准车辆状态，并扫描纵向速度。若</w:t>
      </w:r>
      <w:r>
        <w:rPr>
          <w:rFonts w:ascii="Times New Roman" w:eastAsia="宋体" w:hAnsi="Times New Roman"/>
          <w:color w:val="000000"/>
        </w:rPr>
        <w:t xml:space="preserve"> MLP </w:t>
      </w:r>
      <w:r>
        <w:rPr>
          <w:rFonts w:ascii="Times New Roman" w:eastAsia="宋体" w:hAnsi="Times New Roman" w:hint="eastAsia"/>
          <w:color w:val="000000"/>
        </w:rPr>
        <w:t>在该输入下仍输出随车速持续增长的侧向速度残差，则说明残差模型可能存在无激励偏置。该偏置在</w:t>
      </w:r>
      <w:r>
        <w:rPr>
          <w:rFonts w:ascii="Times New Roman" w:eastAsia="宋体" w:hAnsi="Times New Roman"/>
          <w:color w:val="000000"/>
        </w:rPr>
        <w:t xml:space="preserve"> 50 Hz </w:t>
      </w:r>
      <w:r>
        <w:rPr>
          <w:rFonts w:ascii="Times New Roman" w:eastAsia="宋体" w:hAnsi="Times New Roman" w:hint="eastAsia"/>
          <w:color w:val="000000"/>
        </w:rPr>
        <w:t>闭环中会被逐步积分放大，使车辆状态偏离参考路径，并诱发控制器进行反向补偿。</w:t>
      </w:r>
    </w:p>
    <w:p w14:paraId="0B95B2C2"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在组件消融中，系统可以将</w:t>
      </w:r>
      <w:r>
        <w:rPr>
          <w:rFonts w:ascii="Times New Roman" w:eastAsia="宋体" w:hAnsi="Times New Roman"/>
          <w:color w:val="000000"/>
        </w:rPr>
        <w:t xml:space="preserve"> MLP </w:t>
      </w:r>
      <w:r>
        <w:rPr>
          <w:rFonts w:ascii="Times New Roman" w:eastAsia="宋体" w:hAnsi="Times New Roman" w:hint="eastAsia"/>
          <w:color w:val="000000"/>
        </w:rPr>
        <w:t>输出中的牵引车速度残差、挂车速度残差或相对位姿残差分别置零，再重新运行相同场景。若屏蔽某一类残差后，轨迹误差恢复到纯机理模型水平，则可判断失控主要由该类</w:t>
      </w:r>
      <w:r>
        <w:rPr>
          <w:rFonts w:ascii="Times New Roman" w:eastAsia="宋体" w:hAnsi="Times New Roman"/>
          <w:color w:val="000000"/>
        </w:rPr>
        <w:t xml:space="preserve"> MLP </w:t>
      </w:r>
      <w:r>
        <w:rPr>
          <w:rFonts w:ascii="Times New Roman" w:eastAsia="宋体" w:hAnsi="Times New Roman" w:hint="eastAsia"/>
          <w:color w:val="000000"/>
        </w:rPr>
        <w:t>残差输出驱动；若纯机理模型和混合模型均存在类似误差，则更可能是控制器参数或控制器结构不足。</w:t>
      </w:r>
    </w:p>
    <w:p w14:paraId="08F7683D"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图</w:t>
      </w:r>
      <w:r>
        <w:rPr>
          <w:rFonts w:ascii="Times New Roman" w:eastAsia="宋体" w:hAnsi="Times New Roman" w:hint="eastAsia"/>
          <w:color w:val="000000"/>
        </w:rPr>
        <w:t>8</w:t>
      </w:r>
      <w:r>
        <w:rPr>
          <w:rFonts w:ascii="Times New Roman" w:eastAsia="宋体" w:hAnsi="Times New Roman" w:hint="eastAsia"/>
          <w:color w:val="000000"/>
        </w:rPr>
        <w:t>示出了一个</w:t>
      </w:r>
      <w:r>
        <w:rPr>
          <w:rFonts w:ascii="Times New Roman" w:eastAsia="宋体" w:hAnsi="Times New Roman"/>
          <w:color w:val="000000"/>
        </w:rPr>
        <w:t xml:space="preserve"> MLP </w:t>
      </w:r>
      <w:r>
        <w:rPr>
          <w:rFonts w:ascii="Times New Roman" w:eastAsia="宋体" w:hAnsi="Times New Roman" w:hint="eastAsia"/>
          <w:color w:val="000000"/>
        </w:rPr>
        <w:t>残差可视化诊断示例。该示例通过开环静态扫描、闭环输出时序、车辆侧向速度变化、方向盘反应、早期积分偏差、轨迹平面和组件消融结果，把“网络残差偏置被高频闭环积分放大”的过程串联起来。该诊断结果用于辅助判断异常来源，不限定本发明必须采用图中具体场景、网络编号、阈值或显示样式。</w:t>
      </w:r>
    </w:p>
    <w:p w14:paraId="1666A2A3" w14:textId="77777777" w:rsidR="009E6F54" w:rsidRDefault="009E6F54" w:rsidP="009E6F54">
      <w:pPr>
        <w:keepNext/>
        <w:spacing w:before="100" w:after="40"/>
        <w:jc w:val="center"/>
        <w:rPr>
          <w:rFonts w:hint="eastAsia"/>
        </w:rPr>
      </w:pPr>
      <w:r>
        <w:rPr>
          <w:rFonts w:ascii="Times New Roman" w:eastAsia="宋体" w:hAnsi="Times New Roman"/>
          <w:noProof/>
          <w:color w:val="000000"/>
        </w:rPr>
        <w:drawing>
          <wp:inline distT="0" distB="0" distL="0" distR="0" wp14:anchorId="24FB3608" wp14:editId="54549B9C">
            <wp:extent cx="5623560" cy="3349657"/>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fig8_mlp_diagnostic_story.png"/>
                    <pic:cNvPicPr>
                      <a:picLocks noChangeAspect="1" noChangeArrowheads="1"/>
                    </pic:cNvPicPr>
                  </pic:nvPicPr>
                  <pic:blipFill>
                    <a:blip r:embed="rId27"/>
                    <a:stretch>
                      <a:fillRect/>
                    </a:stretch>
                  </pic:blipFill>
                  <pic:spPr bwMode="auto">
                    <a:xfrm>
                      <a:off x="0" y="0"/>
                      <a:ext cx="5623560" cy="3349657"/>
                    </a:xfrm>
                    <a:prstGeom prst="rect">
                      <a:avLst/>
                    </a:prstGeom>
                    <a:noFill/>
                    <a:ln w="9525">
                      <a:noFill/>
                      <a:headEnd/>
                      <a:tailEnd/>
                    </a:ln>
                  </pic:spPr>
                </pic:pic>
              </a:graphicData>
            </a:graphic>
          </wp:inline>
        </w:drawing>
      </w:r>
    </w:p>
    <w:p w14:paraId="7A79FCB6" w14:textId="77777777" w:rsidR="009E6F54" w:rsidRDefault="009E6F54" w:rsidP="009E6F54">
      <w:pPr>
        <w:spacing w:after="160" w:line="252" w:lineRule="auto"/>
        <w:jc w:val="center"/>
        <w:rPr>
          <w:rFonts w:hint="eastAsia"/>
        </w:rPr>
      </w:pPr>
      <w:r>
        <w:rPr>
          <w:rFonts w:ascii="Times New Roman" w:eastAsia="宋体" w:hAnsi="Times New Roman" w:hint="eastAsia"/>
          <w:color w:val="000000"/>
          <w:sz w:val="18"/>
        </w:rPr>
        <w:t>图</w:t>
      </w:r>
      <w:r>
        <w:rPr>
          <w:rFonts w:ascii="Times New Roman" w:eastAsia="宋体" w:hAnsi="Times New Roman" w:hint="eastAsia"/>
          <w:color w:val="000000"/>
          <w:sz w:val="18"/>
        </w:rPr>
        <w:t>8</w:t>
      </w:r>
      <w:r>
        <w:rPr>
          <w:rFonts w:ascii="Times New Roman" w:eastAsia="宋体" w:hAnsi="Times New Roman"/>
          <w:color w:val="000000"/>
          <w:sz w:val="18"/>
        </w:rPr>
        <w:t xml:space="preserve"> </w:t>
      </w:r>
      <w:r>
        <w:rPr>
          <w:rFonts w:ascii="Times New Roman" w:eastAsia="宋体" w:hAnsi="Times New Roman" w:hint="eastAsia"/>
          <w:color w:val="000000"/>
          <w:sz w:val="18"/>
        </w:rPr>
        <w:t>残差模型异常归因诊断示例</w:t>
      </w:r>
    </w:p>
    <w:bookmarkEnd w:id="31"/>
    <w:p w14:paraId="34E0C67B" w14:textId="77777777" w:rsidR="009E6F54" w:rsidRDefault="009E6F54" w:rsidP="009E6F54">
      <w:pPr>
        <w:spacing w:after="120" w:line="276" w:lineRule="auto"/>
        <w:ind w:firstLine="420"/>
        <w:rPr>
          <w:rFonts w:hint="eastAsia"/>
        </w:rPr>
      </w:pPr>
      <w:r>
        <w:rPr>
          <w:rFonts w:ascii="Times New Roman" w:eastAsia="宋体" w:hAnsi="Times New Roman"/>
          <w:color w:val="000000"/>
        </w:rPr>
        <w:t xml:space="preserve">6.5 </w:t>
      </w:r>
      <w:r>
        <w:rPr>
          <w:rFonts w:ascii="Times New Roman" w:eastAsia="宋体" w:hAnsi="Times New Roman" w:hint="eastAsia"/>
          <w:color w:val="000000"/>
        </w:rPr>
        <w:t>可实施性说明</w:t>
      </w:r>
    </w:p>
    <w:p w14:paraId="2E2B39F9" w14:textId="77777777" w:rsidR="009E6F54" w:rsidRDefault="009E6F54" w:rsidP="009E6F54">
      <w:pPr>
        <w:spacing w:after="120" w:line="276" w:lineRule="auto"/>
        <w:ind w:firstLine="420"/>
        <w:rPr>
          <w:rFonts w:hint="eastAsia"/>
        </w:rPr>
      </w:pPr>
      <w:r>
        <w:rPr>
          <w:rFonts w:ascii="Times New Roman" w:eastAsia="宋体" w:hAnsi="Times New Roman" w:hint="eastAsia"/>
          <w:color w:val="000000"/>
        </w:rPr>
        <w:t>上述实施例可以采用通用计算设备、仿真服务器或车端开发环境实施。实施时，将车辆横向控制逻辑、纵向控制逻辑、车辆机理动力学模型、训练场景库、参数边界表和验证场景库配置在同一整定系统中；在启用残差增强时，再配置预训练</w:t>
      </w:r>
      <w:r>
        <w:rPr>
          <w:rFonts w:ascii="Times New Roman" w:eastAsia="宋体" w:hAnsi="Times New Roman"/>
          <w:color w:val="000000"/>
        </w:rPr>
        <w:t xml:space="preserve"> MLP </w:t>
      </w:r>
      <w:r>
        <w:rPr>
          <w:rFonts w:ascii="Times New Roman" w:eastAsia="宋体" w:hAnsi="Times New Roman" w:hint="eastAsia"/>
          <w:color w:val="000000"/>
        </w:rPr>
        <w:t>残差模型及其诊断阈值。训练完成后，系统输出与原控制器参数格式一致或可转换为原参数格式的整定配置。</w:t>
      </w:r>
    </w:p>
    <w:p w14:paraId="498A502B" w14:textId="4B5BBE67" w:rsidR="00C0053D" w:rsidRDefault="009E6F54" w:rsidP="009E6F54">
      <w:pPr>
        <w:rPr>
          <w:rFonts w:hint="eastAsia"/>
        </w:rPr>
      </w:pPr>
      <w:r>
        <w:rPr>
          <w:rFonts w:ascii="Times New Roman" w:eastAsia="宋体" w:hAnsi="Times New Roman" w:hint="eastAsia"/>
          <w:color w:val="000000"/>
        </w:rPr>
        <w:t>在一个可选实施方式中，系统保存每轮训练的参数变化、损失变化、代表场景跟踪曲线、硬逻辑复验统计、</w:t>
      </w:r>
      <w:r>
        <w:rPr>
          <w:rFonts w:ascii="Times New Roman" w:eastAsia="宋体" w:hAnsi="Times New Roman" w:hint="eastAsia"/>
          <w:color w:val="000000"/>
        </w:rPr>
        <w:t>MLP</w:t>
      </w:r>
      <w:r>
        <w:rPr>
          <w:rFonts w:ascii="Times New Roman" w:eastAsia="宋体" w:hAnsi="Times New Roman"/>
          <w:color w:val="000000"/>
        </w:rPr>
        <w:t xml:space="preserve"> </w:t>
      </w:r>
      <w:r>
        <w:rPr>
          <w:rFonts w:ascii="Times New Roman" w:eastAsia="宋体" w:hAnsi="Times New Roman" w:hint="eastAsia"/>
          <w:color w:val="000000"/>
        </w:rPr>
        <w:t>可视化诊断图、输入分布外统计和配置导出日志。上述材料用于说明参数整定过程、复验结果、车辆模型可信度和部署前差异，不限定本发明的具体软件目录、编程语言、配置文件名称或图表样式。</w:t>
      </w:r>
    </w:p>
    <w:sectPr w:rsidR="00C0053D">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EC0F" w14:textId="77777777" w:rsidR="008D7A82" w:rsidRDefault="008D7A82" w:rsidP="00BA526B">
      <w:pPr>
        <w:rPr>
          <w:rFonts w:hint="eastAsia"/>
        </w:rPr>
      </w:pPr>
      <w:r>
        <w:separator/>
      </w:r>
    </w:p>
  </w:endnote>
  <w:endnote w:type="continuationSeparator" w:id="0">
    <w:p w14:paraId="6CB69AAF" w14:textId="77777777" w:rsidR="008D7A82" w:rsidRDefault="008D7A82" w:rsidP="00BA52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DA34" w14:textId="77777777" w:rsidR="009E6F54" w:rsidRDefault="009E6F54">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F89B" w14:textId="77777777" w:rsidR="00436BE4" w:rsidRDefault="00071E44">
    <w:pPr>
      <w:jc w:val="center"/>
      <w:rPr>
        <w:rFonts w:hint="eastAsia"/>
      </w:rPr>
    </w:pPr>
    <w:r>
      <w:rPr>
        <w:rFonts w:ascii="Times New Roman" w:eastAsia="宋体" w:hAnsi="Times New Roman"/>
        <w:color w:val="5F5F5F"/>
        <w:sz w:val="18"/>
      </w:rPr>
      <w:t>第</w:t>
    </w:r>
    <w:r>
      <w:rPr>
        <w:rFonts w:ascii="Times New Roman" w:eastAsia="宋体" w:hAnsi="Times New Roman"/>
        <w:color w:val="5F5F5F"/>
        <w:sz w:val="18"/>
      </w:rPr>
      <w:t xml:space="preserve"> </w:t>
    </w:r>
    <w:r>
      <w:fldChar w:fldCharType="begin"/>
    </w:r>
    <w:r>
      <w:instrText>PAGE</w:instrText>
    </w:r>
    <w:r>
      <w:fldChar w:fldCharType="separate"/>
    </w:r>
    <w:r w:rsidR="00E460EE">
      <w:rPr>
        <w:rFonts w:hint="eastAsia"/>
        <w:noProof/>
      </w:rPr>
      <w:t>1</w:t>
    </w:r>
    <w:r>
      <w:fldChar w:fldCharType="end"/>
    </w:r>
    <w:r>
      <w:rPr>
        <w:rFonts w:ascii="Times New Roman" w:eastAsia="宋体" w:hAnsi="Times New Roman"/>
        <w:color w:val="5F5F5F"/>
        <w:sz w:val="18"/>
      </w:rPr>
      <w:t xml:space="preserve"> </w:t>
    </w:r>
    <w:r>
      <w:rPr>
        <w:rFonts w:ascii="Times New Roman" w:eastAsia="宋体" w:hAnsi="Times New Roman"/>
        <w:color w:val="5F5F5F"/>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F77B" w14:textId="77777777" w:rsidR="009E6F54" w:rsidRDefault="009E6F54">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41F4" w14:textId="77777777" w:rsidR="008D7A82" w:rsidRDefault="008D7A82" w:rsidP="00BA526B">
      <w:pPr>
        <w:rPr>
          <w:rFonts w:hint="eastAsia"/>
        </w:rPr>
      </w:pPr>
      <w:r>
        <w:separator/>
      </w:r>
    </w:p>
  </w:footnote>
  <w:footnote w:type="continuationSeparator" w:id="0">
    <w:p w14:paraId="6EE0A810" w14:textId="77777777" w:rsidR="008D7A82" w:rsidRDefault="008D7A82" w:rsidP="00BA526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A8E4" w14:textId="77777777" w:rsidR="009E6F54" w:rsidRDefault="009E6F54">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C66F" w14:textId="77777777" w:rsidR="009E6F54" w:rsidRDefault="009E6F54">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3430" w14:textId="77777777" w:rsidR="009E6F54" w:rsidRDefault="009E6F54">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FEC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EC2357"/>
    <w:multiLevelType w:val="hybridMultilevel"/>
    <w:tmpl w:val="D6507D30"/>
    <w:lvl w:ilvl="0" w:tplc="5BFEA3F4">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11447B"/>
    <w:multiLevelType w:val="hybridMultilevel"/>
    <w:tmpl w:val="DB7CB998"/>
    <w:lvl w:ilvl="0" w:tplc="04090017">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3" w15:restartNumberingAfterBreak="0">
    <w:nsid w:val="0E503347"/>
    <w:multiLevelType w:val="singleLevel"/>
    <w:tmpl w:val="E74E1754"/>
    <w:lvl w:ilvl="0">
      <w:start w:val="1"/>
      <w:numFmt w:val="decimal"/>
      <w:lvlText w:val="%1."/>
      <w:lvlJc w:val="left"/>
      <w:pPr>
        <w:ind w:left="540" w:hanging="360"/>
      </w:pPr>
    </w:lvl>
  </w:abstractNum>
  <w:abstractNum w:abstractNumId="4" w15:restartNumberingAfterBreak="0">
    <w:nsid w:val="0FB07F6F"/>
    <w:multiLevelType w:val="hybridMultilevel"/>
    <w:tmpl w:val="68EEF37E"/>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115B7D03"/>
    <w:multiLevelType w:val="hybridMultilevel"/>
    <w:tmpl w:val="28C222E0"/>
    <w:lvl w:ilvl="0" w:tplc="04090015">
      <w:start w:val="1"/>
      <w:numFmt w:val="upperLetter"/>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6" w15:restartNumberingAfterBreak="0">
    <w:nsid w:val="14ED029E"/>
    <w:multiLevelType w:val="hybridMultilevel"/>
    <w:tmpl w:val="46FED1BC"/>
    <w:lvl w:ilvl="0" w:tplc="CA22301E">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F495CF2"/>
    <w:multiLevelType w:val="hybridMultilevel"/>
    <w:tmpl w:val="B2BC4600"/>
    <w:lvl w:ilvl="0" w:tplc="8FA0938A">
      <w:start w:val="3"/>
      <w:numFmt w:val="bullet"/>
      <w:lvlText w:val=""/>
      <w:lvlJc w:val="left"/>
      <w:pPr>
        <w:ind w:left="900" w:hanging="480"/>
      </w:pPr>
      <w:rPr>
        <w:rFonts w:ascii="Wingdings" w:eastAsiaTheme="minorEastAsia"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227E642A"/>
    <w:multiLevelType w:val="hybridMultilevel"/>
    <w:tmpl w:val="FD28B11A"/>
    <w:lvl w:ilvl="0" w:tplc="04090011">
      <w:start w:val="1"/>
      <w:numFmt w:val="decimal"/>
      <w:lvlText w:val="%1)"/>
      <w:lvlJc w:val="left"/>
      <w:pPr>
        <w:ind w:left="1291"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22C46E44"/>
    <w:multiLevelType w:val="hybridMultilevel"/>
    <w:tmpl w:val="DA685496"/>
    <w:lvl w:ilvl="0" w:tplc="F55EBCF0">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72A35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7DF5248"/>
    <w:multiLevelType w:val="hybridMultilevel"/>
    <w:tmpl w:val="0234DD52"/>
    <w:lvl w:ilvl="0" w:tplc="15189C50">
      <w:start w:val="2"/>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E954C7"/>
    <w:multiLevelType w:val="singleLevel"/>
    <w:tmpl w:val="4E8CCD5C"/>
    <w:lvl w:ilvl="0">
      <w:start w:val="1"/>
      <w:numFmt w:val="decimal"/>
      <w:lvlText w:val="%1."/>
      <w:lvlJc w:val="left"/>
      <w:pPr>
        <w:ind w:left="540" w:hanging="360"/>
      </w:pPr>
    </w:lvl>
  </w:abstractNum>
  <w:abstractNum w:abstractNumId="13" w15:restartNumberingAfterBreak="0">
    <w:nsid w:val="288B040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A966F76"/>
    <w:multiLevelType w:val="singleLevel"/>
    <w:tmpl w:val="84C2A898"/>
    <w:lvl w:ilvl="0">
      <w:start w:val="1"/>
      <w:numFmt w:val="decimal"/>
      <w:lvlText w:val="%1."/>
      <w:lvlJc w:val="left"/>
      <w:pPr>
        <w:ind w:left="540" w:hanging="360"/>
      </w:pPr>
    </w:lvl>
  </w:abstractNum>
  <w:abstractNum w:abstractNumId="15" w15:restartNumberingAfterBreak="0">
    <w:nsid w:val="2C847CE3"/>
    <w:multiLevelType w:val="hybridMultilevel"/>
    <w:tmpl w:val="52088FEE"/>
    <w:lvl w:ilvl="0" w:tplc="4A8662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DC17229"/>
    <w:multiLevelType w:val="hybridMultilevel"/>
    <w:tmpl w:val="8FD2FAE4"/>
    <w:lvl w:ilvl="0" w:tplc="735AC09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15:restartNumberingAfterBreak="0">
    <w:nsid w:val="2EFB0DB9"/>
    <w:multiLevelType w:val="hybridMultilevel"/>
    <w:tmpl w:val="5D68EFF8"/>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18" w15:restartNumberingAfterBreak="0">
    <w:nsid w:val="34833D79"/>
    <w:multiLevelType w:val="hybridMultilevel"/>
    <w:tmpl w:val="F9BAE93E"/>
    <w:lvl w:ilvl="0" w:tplc="CB4CD74A">
      <w:start w:val="2"/>
      <w:numFmt w:val="upperLetter"/>
      <w:lvlText w:val="%1."/>
      <w:lvlJc w:val="left"/>
      <w:pPr>
        <w:ind w:left="173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492129C"/>
    <w:multiLevelType w:val="hybridMultilevel"/>
    <w:tmpl w:val="333E3B08"/>
    <w:lvl w:ilvl="0" w:tplc="0CF80B52">
      <w:start w:val="1"/>
      <w:numFmt w:val="decimal"/>
      <w:lvlText w:val="%1)"/>
      <w:lvlJc w:val="left"/>
      <w:pPr>
        <w:ind w:left="129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BAA33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3FF6115A"/>
    <w:multiLevelType w:val="hybridMultilevel"/>
    <w:tmpl w:val="0234DD52"/>
    <w:lvl w:ilvl="0" w:tplc="FFFFFFFF">
      <w:start w:val="2"/>
      <w:numFmt w:val="decimal"/>
      <w:lvlText w:val="%1)"/>
      <w:lvlJc w:val="left"/>
      <w:pPr>
        <w:ind w:left="1291"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1F630AB"/>
    <w:multiLevelType w:val="hybridMultilevel"/>
    <w:tmpl w:val="F7EC9A66"/>
    <w:lvl w:ilvl="0" w:tplc="06265408">
      <w:start w:val="1"/>
      <w:numFmt w:val="chineseCountingThousand"/>
      <w:lvlText w:val="(%1)"/>
      <w:lvlJc w:val="left"/>
      <w:pPr>
        <w:ind w:left="1730" w:hanging="440"/>
      </w:pPr>
    </w:lvl>
    <w:lvl w:ilvl="1" w:tplc="04090019" w:tentative="1">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23" w15:restartNumberingAfterBreak="0">
    <w:nsid w:val="42EC143F"/>
    <w:multiLevelType w:val="hybridMultilevel"/>
    <w:tmpl w:val="FDF07702"/>
    <w:lvl w:ilvl="0" w:tplc="635C4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75D0C76"/>
    <w:multiLevelType w:val="hybridMultilevel"/>
    <w:tmpl w:val="5FD87EB0"/>
    <w:lvl w:ilvl="0" w:tplc="F55EBCF0">
      <w:start w:val="2"/>
      <w:numFmt w:val="upperLetter"/>
      <w:lvlText w:val="%1."/>
      <w:lvlJc w:val="left"/>
      <w:pPr>
        <w:ind w:left="2170" w:hanging="440"/>
      </w:pPr>
      <w:rPr>
        <w:rFonts w:hint="eastAsia"/>
      </w:rPr>
    </w:lvl>
    <w:lvl w:ilvl="1" w:tplc="04090019" w:tentative="1">
      <w:start w:val="1"/>
      <w:numFmt w:val="lowerLetter"/>
      <w:lvlText w:val="%2)"/>
      <w:lvlJc w:val="left"/>
      <w:pPr>
        <w:ind w:left="2610" w:hanging="440"/>
      </w:pPr>
    </w:lvl>
    <w:lvl w:ilvl="2" w:tplc="0409001B" w:tentative="1">
      <w:start w:val="1"/>
      <w:numFmt w:val="lowerRoman"/>
      <w:lvlText w:val="%3."/>
      <w:lvlJc w:val="right"/>
      <w:pPr>
        <w:ind w:left="3050" w:hanging="440"/>
      </w:pPr>
    </w:lvl>
    <w:lvl w:ilvl="3" w:tplc="0409000F" w:tentative="1">
      <w:start w:val="1"/>
      <w:numFmt w:val="decimal"/>
      <w:lvlText w:val="%4."/>
      <w:lvlJc w:val="left"/>
      <w:pPr>
        <w:ind w:left="3490" w:hanging="440"/>
      </w:pPr>
    </w:lvl>
    <w:lvl w:ilvl="4" w:tplc="04090019" w:tentative="1">
      <w:start w:val="1"/>
      <w:numFmt w:val="lowerLetter"/>
      <w:lvlText w:val="%5)"/>
      <w:lvlJc w:val="left"/>
      <w:pPr>
        <w:ind w:left="3930" w:hanging="440"/>
      </w:pPr>
    </w:lvl>
    <w:lvl w:ilvl="5" w:tplc="0409001B" w:tentative="1">
      <w:start w:val="1"/>
      <w:numFmt w:val="lowerRoman"/>
      <w:lvlText w:val="%6."/>
      <w:lvlJc w:val="right"/>
      <w:pPr>
        <w:ind w:left="4370" w:hanging="440"/>
      </w:pPr>
    </w:lvl>
    <w:lvl w:ilvl="6" w:tplc="0409000F" w:tentative="1">
      <w:start w:val="1"/>
      <w:numFmt w:val="decimal"/>
      <w:lvlText w:val="%7."/>
      <w:lvlJc w:val="left"/>
      <w:pPr>
        <w:ind w:left="4810" w:hanging="440"/>
      </w:pPr>
    </w:lvl>
    <w:lvl w:ilvl="7" w:tplc="04090019" w:tentative="1">
      <w:start w:val="1"/>
      <w:numFmt w:val="lowerLetter"/>
      <w:lvlText w:val="%8)"/>
      <w:lvlJc w:val="left"/>
      <w:pPr>
        <w:ind w:left="5250" w:hanging="440"/>
      </w:pPr>
    </w:lvl>
    <w:lvl w:ilvl="8" w:tplc="0409001B" w:tentative="1">
      <w:start w:val="1"/>
      <w:numFmt w:val="lowerRoman"/>
      <w:lvlText w:val="%9."/>
      <w:lvlJc w:val="right"/>
      <w:pPr>
        <w:ind w:left="5690" w:hanging="440"/>
      </w:pPr>
    </w:lvl>
  </w:abstractNum>
  <w:abstractNum w:abstractNumId="25" w15:restartNumberingAfterBreak="0">
    <w:nsid w:val="4B9C59B4"/>
    <w:multiLevelType w:val="hybridMultilevel"/>
    <w:tmpl w:val="36249056"/>
    <w:lvl w:ilvl="0" w:tplc="99CEDF2A">
      <w:start w:val="1"/>
      <w:numFmt w:val="decimal"/>
      <w:lvlText w:val="%1."/>
      <w:lvlJc w:val="left"/>
      <w:pPr>
        <w:ind w:left="1020" w:hanging="360"/>
      </w:pPr>
    </w:lvl>
    <w:lvl w:ilvl="1" w:tplc="FC86630E">
      <w:start w:val="1"/>
      <w:numFmt w:val="decimal"/>
      <w:lvlText w:val="%2."/>
      <w:lvlJc w:val="left"/>
      <w:pPr>
        <w:ind w:left="1020" w:hanging="360"/>
      </w:pPr>
    </w:lvl>
    <w:lvl w:ilvl="2" w:tplc="A0380E36">
      <w:start w:val="1"/>
      <w:numFmt w:val="decimal"/>
      <w:lvlText w:val="%3."/>
      <w:lvlJc w:val="left"/>
      <w:pPr>
        <w:ind w:left="1020" w:hanging="360"/>
      </w:pPr>
    </w:lvl>
    <w:lvl w:ilvl="3" w:tplc="9264A164">
      <w:start w:val="1"/>
      <w:numFmt w:val="decimal"/>
      <w:lvlText w:val="%4."/>
      <w:lvlJc w:val="left"/>
      <w:pPr>
        <w:ind w:left="1020" w:hanging="360"/>
      </w:pPr>
    </w:lvl>
    <w:lvl w:ilvl="4" w:tplc="0EFC6042">
      <w:start w:val="1"/>
      <w:numFmt w:val="decimal"/>
      <w:lvlText w:val="%5."/>
      <w:lvlJc w:val="left"/>
      <w:pPr>
        <w:ind w:left="1020" w:hanging="360"/>
      </w:pPr>
    </w:lvl>
    <w:lvl w:ilvl="5" w:tplc="3F2E2CE4">
      <w:start w:val="1"/>
      <w:numFmt w:val="decimal"/>
      <w:lvlText w:val="%6."/>
      <w:lvlJc w:val="left"/>
      <w:pPr>
        <w:ind w:left="1020" w:hanging="360"/>
      </w:pPr>
    </w:lvl>
    <w:lvl w:ilvl="6" w:tplc="8CE47B28">
      <w:start w:val="1"/>
      <w:numFmt w:val="decimal"/>
      <w:lvlText w:val="%7."/>
      <w:lvlJc w:val="left"/>
      <w:pPr>
        <w:ind w:left="1020" w:hanging="360"/>
      </w:pPr>
    </w:lvl>
    <w:lvl w:ilvl="7" w:tplc="0FF481B4">
      <w:start w:val="1"/>
      <w:numFmt w:val="decimal"/>
      <w:lvlText w:val="%8."/>
      <w:lvlJc w:val="left"/>
      <w:pPr>
        <w:ind w:left="1020" w:hanging="360"/>
      </w:pPr>
    </w:lvl>
    <w:lvl w:ilvl="8" w:tplc="79A05652">
      <w:start w:val="1"/>
      <w:numFmt w:val="decimal"/>
      <w:lvlText w:val="%9."/>
      <w:lvlJc w:val="left"/>
      <w:pPr>
        <w:ind w:left="1020" w:hanging="360"/>
      </w:pPr>
    </w:lvl>
  </w:abstractNum>
  <w:abstractNum w:abstractNumId="26" w15:restartNumberingAfterBreak="0">
    <w:nsid w:val="580E4F23"/>
    <w:multiLevelType w:val="hybridMultilevel"/>
    <w:tmpl w:val="5268BB26"/>
    <w:lvl w:ilvl="0" w:tplc="FFFFFFFF">
      <w:start w:val="1"/>
      <w:numFmt w:val="upperLetter"/>
      <w:lvlText w:val="%1."/>
      <w:lvlJc w:val="left"/>
      <w:pPr>
        <w:ind w:left="1730" w:hanging="440"/>
      </w:pPr>
    </w:lvl>
    <w:lvl w:ilvl="1" w:tplc="FFFFFFFF" w:tentative="1">
      <w:start w:val="1"/>
      <w:numFmt w:val="lowerLetter"/>
      <w:lvlText w:val="%2)"/>
      <w:lvlJc w:val="left"/>
      <w:pPr>
        <w:ind w:left="2170" w:hanging="440"/>
      </w:pPr>
    </w:lvl>
    <w:lvl w:ilvl="2" w:tplc="FFFFFFFF" w:tentative="1">
      <w:start w:val="1"/>
      <w:numFmt w:val="lowerRoman"/>
      <w:lvlText w:val="%3."/>
      <w:lvlJc w:val="right"/>
      <w:pPr>
        <w:ind w:left="2610" w:hanging="440"/>
      </w:pPr>
    </w:lvl>
    <w:lvl w:ilvl="3" w:tplc="FFFFFFFF" w:tentative="1">
      <w:start w:val="1"/>
      <w:numFmt w:val="decimal"/>
      <w:lvlText w:val="%4."/>
      <w:lvlJc w:val="left"/>
      <w:pPr>
        <w:ind w:left="3050" w:hanging="440"/>
      </w:pPr>
    </w:lvl>
    <w:lvl w:ilvl="4" w:tplc="FFFFFFFF" w:tentative="1">
      <w:start w:val="1"/>
      <w:numFmt w:val="lowerLetter"/>
      <w:lvlText w:val="%5)"/>
      <w:lvlJc w:val="left"/>
      <w:pPr>
        <w:ind w:left="3490" w:hanging="440"/>
      </w:pPr>
    </w:lvl>
    <w:lvl w:ilvl="5" w:tplc="FFFFFFFF" w:tentative="1">
      <w:start w:val="1"/>
      <w:numFmt w:val="lowerRoman"/>
      <w:lvlText w:val="%6."/>
      <w:lvlJc w:val="right"/>
      <w:pPr>
        <w:ind w:left="3930" w:hanging="440"/>
      </w:pPr>
    </w:lvl>
    <w:lvl w:ilvl="6" w:tplc="FFFFFFFF" w:tentative="1">
      <w:start w:val="1"/>
      <w:numFmt w:val="decimal"/>
      <w:lvlText w:val="%7."/>
      <w:lvlJc w:val="left"/>
      <w:pPr>
        <w:ind w:left="4370" w:hanging="440"/>
      </w:pPr>
    </w:lvl>
    <w:lvl w:ilvl="7" w:tplc="FFFFFFFF" w:tentative="1">
      <w:start w:val="1"/>
      <w:numFmt w:val="lowerLetter"/>
      <w:lvlText w:val="%8)"/>
      <w:lvlJc w:val="left"/>
      <w:pPr>
        <w:ind w:left="4810" w:hanging="440"/>
      </w:pPr>
    </w:lvl>
    <w:lvl w:ilvl="8" w:tplc="FFFFFFFF" w:tentative="1">
      <w:start w:val="1"/>
      <w:numFmt w:val="lowerRoman"/>
      <w:lvlText w:val="%9."/>
      <w:lvlJc w:val="right"/>
      <w:pPr>
        <w:ind w:left="5250" w:hanging="440"/>
      </w:pPr>
    </w:lvl>
  </w:abstractNum>
  <w:abstractNum w:abstractNumId="27" w15:restartNumberingAfterBreak="0">
    <w:nsid w:val="5E664858"/>
    <w:multiLevelType w:val="hybridMultilevel"/>
    <w:tmpl w:val="ADD20772"/>
    <w:lvl w:ilvl="0" w:tplc="401AAD60">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EA94447"/>
    <w:multiLevelType w:val="hybridMultilevel"/>
    <w:tmpl w:val="71EA8F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21455DF"/>
    <w:multiLevelType w:val="hybridMultilevel"/>
    <w:tmpl w:val="2C8668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317254A"/>
    <w:multiLevelType w:val="hybridMultilevel"/>
    <w:tmpl w:val="25C8B210"/>
    <w:lvl w:ilvl="0" w:tplc="FFFFFFFF">
      <w:start w:val="1"/>
      <w:numFmt w:val="decimal"/>
      <w:lvlText w:val="%1)"/>
      <w:lvlJc w:val="left"/>
      <w:pPr>
        <w:ind w:left="129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1" w15:restartNumberingAfterBreak="0">
    <w:nsid w:val="66924864"/>
    <w:multiLevelType w:val="singleLevel"/>
    <w:tmpl w:val="E2A2E11E"/>
    <w:lvl w:ilvl="0">
      <w:start w:val="1"/>
      <w:numFmt w:val="decimal"/>
      <w:lvlText w:val="%1."/>
      <w:lvlJc w:val="left"/>
      <w:pPr>
        <w:ind w:left="540" w:hanging="360"/>
      </w:pPr>
    </w:lvl>
  </w:abstractNum>
  <w:abstractNum w:abstractNumId="32" w15:restartNumberingAfterBreak="0">
    <w:nsid w:val="68D628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A4B1919"/>
    <w:multiLevelType w:val="hybridMultilevel"/>
    <w:tmpl w:val="AA389E32"/>
    <w:lvl w:ilvl="0" w:tplc="FFFFFFFF">
      <w:start w:val="1"/>
      <w:numFmt w:val="decimal"/>
      <w:lvlText w:val="%1)"/>
      <w:lvlJc w:val="left"/>
      <w:pPr>
        <w:ind w:left="1291"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4" w15:restartNumberingAfterBreak="0">
    <w:nsid w:val="70EF54FB"/>
    <w:multiLevelType w:val="hybridMultilevel"/>
    <w:tmpl w:val="D39EDFCA"/>
    <w:lvl w:ilvl="0" w:tplc="DC0C5F18">
      <w:start w:val="3"/>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35C7316"/>
    <w:multiLevelType w:val="hybridMultilevel"/>
    <w:tmpl w:val="D29E7C18"/>
    <w:lvl w:ilvl="0" w:tplc="37EE2F72">
      <w:start w:val="2"/>
      <w:numFmt w:val="decimal"/>
      <w:lvlText w:val="%1)"/>
      <w:lvlJc w:val="left"/>
      <w:pPr>
        <w:ind w:left="129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2757663">
    <w:abstractNumId w:val="31"/>
  </w:num>
  <w:num w:numId="2" w16cid:durableId="1361783825">
    <w:abstractNumId w:val="7"/>
  </w:num>
  <w:num w:numId="3" w16cid:durableId="823738612">
    <w:abstractNumId w:val="1"/>
  </w:num>
  <w:num w:numId="4" w16cid:durableId="184908646">
    <w:abstractNumId w:val="8"/>
  </w:num>
  <w:num w:numId="5" w16cid:durableId="1444611983">
    <w:abstractNumId w:val="5"/>
  </w:num>
  <w:num w:numId="6" w16cid:durableId="757092749">
    <w:abstractNumId w:val="2"/>
  </w:num>
  <w:num w:numId="7" w16cid:durableId="102967532">
    <w:abstractNumId w:val="13"/>
  </w:num>
  <w:num w:numId="8" w16cid:durableId="59913078">
    <w:abstractNumId w:val="32"/>
  </w:num>
  <w:num w:numId="9" w16cid:durableId="101539777">
    <w:abstractNumId w:val="20"/>
  </w:num>
  <w:num w:numId="10" w16cid:durableId="768309158">
    <w:abstractNumId w:val="28"/>
  </w:num>
  <w:num w:numId="11" w16cid:durableId="11034170">
    <w:abstractNumId w:val="10"/>
  </w:num>
  <w:num w:numId="12" w16cid:durableId="205431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B4"/>
    <w:rsid w:val="000011BC"/>
    <w:rsid w:val="00003DCB"/>
    <w:rsid w:val="000074BD"/>
    <w:rsid w:val="00012647"/>
    <w:rsid w:val="000128CD"/>
    <w:rsid w:val="00012F00"/>
    <w:rsid w:val="00015A5A"/>
    <w:rsid w:val="0001706F"/>
    <w:rsid w:val="0002221A"/>
    <w:rsid w:val="00022F40"/>
    <w:rsid w:val="00023ED9"/>
    <w:rsid w:val="0002478B"/>
    <w:rsid w:val="00024F7B"/>
    <w:rsid w:val="000259AE"/>
    <w:rsid w:val="000266DD"/>
    <w:rsid w:val="00030386"/>
    <w:rsid w:val="00030E68"/>
    <w:rsid w:val="0003257E"/>
    <w:rsid w:val="00034456"/>
    <w:rsid w:val="0003774D"/>
    <w:rsid w:val="00040F03"/>
    <w:rsid w:val="00041277"/>
    <w:rsid w:val="00043C99"/>
    <w:rsid w:val="000444B5"/>
    <w:rsid w:val="00044E8B"/>
    <w:rsid w:val="00046637"/>
    <w:rsid w:val="00050B7E"/>
    <w:rsid w:val="00050C1A"/>
    <w:rsid w:val="00056EF7"/>
    <w:rsid w:val="0005731C"/>
    <w:rsid w:val="00060AD9"/>
    <w:rsid w:val="00061F2A"/>
    <w:rsid w:val="0006286B"/>
    <w:rsid w:val="00062949"/>
    <w:rsid w:val="00063C5B"/>
    <w:rsid w:val="0006411D"/>
    <w:rsid w:val="000646DC"/>
    <w:rsid w:val="00064A14"/>
    <w:rsid w:val="0006530F"/>
    <w:rsid w:val="00065479"/>
    <w:rsid w:val="00065680"/>
    <w:rsid w:val="00067BA0"/>
    <w:rsid w:val="0007022F"/>
    <w:rsid w:val="00070370"/>
    <w:rsid w:val="0007052A"/>
    <w:rsid w:val="00070CE0"/>
    <w:rsid w:val="00070DC2"/>
    <w:rsid w:val="000719CF"/>
    <w:rsid w:val="00071E44"/>
    <w:rsid w:val="000728AD"/>
    <w:rsid w:val="0007596C"/>
    <w:rsid w:val="00075FAD"/>
    <w:rsid w:val="00076FE7"/>
    <w:rsid w:val="00081347"/>
    <w:rsid w:val="00081DA7"/>
    <w:rsid w:val="00082633"/>
    <w:rsid w:val="000856DD"/>
    <w:rsid w:val="00085E13"/>
    <w:rsid w:val="00090437"/>
    <w:rsid w:val="00090A45"/>
    <w:rsid w:val="00090E0D"/>
    <w:rsid w:val="00090E41"/>
    <w:rsid w:val="00090F1C"/>
    <w:rsid w:val="000924B3"/>
    <w:rsid w:val="000924E2"/>
    <w:rsid w:val="00092BE9"/>
    <w:rsid w:val="000950EF"/>
    <w:rsid w:val="00095D98"/>
    <w:rsid w:val="000963C5"/>
    <w:rsid w:val="00096CAF"/>
    <w:rsid w:val="000A3876"/>
    <w:rsid w:val="000A38D2"/>
    <w:rsid w:val="000A5AD8"/>
    <w:rsid w:val="000A5C3C"/>
    <w:rsid w:val="000A6C1C"/>
    <w:rsid w:val="000A728E"/>
    <w:rsid w:val="000B2855"/>
    <w:rsid w:val="000B2F4F"/>
    <w:rsid w:val="000B3C0B"/>
    <w:rsid w:val="000C05A6"/>
    <w:rsid w:val="000C06C2"/>
    <w:rsid w:val="000C07BC"/>
    <w:rsid w:val="000C31F9"/>
    <w:rsid w:val="000C32B6"/>
    <w:rsid w:val="000C483E"/>
    <w:rsid w:val="000C502E"/>
    <w:rsid w:val="000C6AAA"/>
    <w:rsid w:val="000C7A9D"/>
    <w:rsid w:val="000D1F04"/>
    <w:rsid w:val="000D2728"/>
    <w:rsid w:val="000D2EA6"/>
    <w:rsid w:val="000D5DA6"/>
    <w:rsid w:val="000D5F45"/>
    <w:rsid w:val="000D67C1"/>
    <w:rsid w:val="000D6FE9"/>
    <w:rsid w:val="000E1049"/>
    <w:rsid w:val="000E1C75"/>
    <w:rsid w:val="000E3BB5"/>
    <w:rsid w:val="000E4924"/>
    <w:rsid w:val="000E49EE"/>
    <w:rsid w:val="000E5E5C"/>
    <w:rsid w:val="000E6AFA"/>
    <w:rsid w:val="000F02F3"/>
    <w:rsid w:val="000F0BEF"/>
    <w:rsid w:val="000F0D1C"/>
    <w:rsid w:val="000F222C"/>
    <w:rsid w:val="000F2F99"/>
    <w:rsid w:val="000F30AC"/>
    <w:rsid w:val="000F3EBB"/>
    <w:rsid w:val="000F4117"/>
    <w:rsid w:val="000F59B2"/>
    <w:rsid w:val="00103FBB"/>
    <w:rsid w:val="00107561"/>
    <w:rsid w:val="00110B7F"/>
    <w:rsid w:val="001120D0"/>
    <w:rsid w:val="00112D17"/>
    <w:rsid w:val="00115CF3"/>
    <w:rsid w:val="00117A27"/>
    <w:rsid w:val="00117BED"/>
    <w:rsid w:val="001202DB"/>
    <w:rsid w:val="0012089A"/>
    <w:rsid w:val="00122348"/>
    <w:rsid w:val="00125144"/>
    <w:rsid w:val="0012582D"/>
    <w:rsid w:val="00126A02"/>
    <w:rsid w:val="00130A26"/>
    <w:rsid w:val="00132306"/>
    <w:rsid w:val="00133E1C"/>
    <w:rsid w:val="00136591"/>
    <w:rsid w:val="001373A4"/>
    <w:rsid w:val="00140273"/>
    <w:rsid w:val="00140C04"/>
    <w:rsid w:val="00140ED1"/>
    <w:rsid w:val="00141654"/>
    <w:rsid w:val="001420AC"/>
    <w:rsid w:val="00142158"/>
    <w:rsid w:val="001431F3"/>
    <w:rsid w:val="00144479"/>
    <w:rsid w:val="00145ED7"/>
    <w:rsid w:val="00146050"/>
    <w:rsid w:val="001464CE"/>
    <w:rsid w:val="00147EF8"/>
    <w:rsid w:val="00150CA3"/>
    <w:rsid w:val="001513AA"/>
    <w:rsid w:val="001526CC"/>
    <w:rsid w:val="001537A5"/>
    <w:rsid w:val="00156994"/>
    <w:rsid w:val="0015735F"/>
    <w:rsid w:val="00157774"/>
    <w:rsid w:val="00161AB7"/>
    <w:rsid w:val="001645F4"/>
    <w:rsid w:val="00164AE6"/>
    <w:rsid w:val="0016565D"/>
    <w:rsid w:val="00165FAF"/>
    <w:rsid w:val="00170263"/>
    <w:rsid w:val="00170301"/>
    <w:rsid w:val="001703D2"/>
    <w:rsid w:val="0017073F"/>
    <w:rsid w:val="00170E5C"/>
    <w:rsid w:val="00170FB9"/>
    <w:rsid w:val="00171615"/>
    <w:rsid w:val="0017272B"/>
    <w:rsid w:val="00172C8F"/>
    <w:rsid w:val="00173340"/>
    <w:rsid w:val="00173FD0"/>
    <w:rsid w:val="001755CC"/>
    <w:rsid w:val="00181725"/>
    <w:rsid w:val="00181F5A"/>
    <w:rsid w:val="00182DFB"/>
    <w:rsid w:val="001846B3"/>
    <w:rsid w:val="00184D8C"/>
    <w:rsid w:val="00184E6C"/>
    <w:rsid w:val="00186B0B"/>
    <w:rsid w:val="001911BE"/>
    <w:rsid w:val="00191885"/>
    <w:rsid w:val="00193EEB"/>
    <w:rsid w:val="00194B66"/>
    <w:rsid w:val="00194E1A"/>
    <w:rsid w:val="00194EE2"/>
    <w:rsid w:val="00195168"/>
    <w:rsid w:val="001955DB"/>
    <w:rsid w:val="001971B4"/>
    <w:rsid w:val="00197556"/>
    <w:rsid w:val="001A1CBA"/>
    <w:rsid w:val="001A21B2"/>
    <w:rsid w:val="001A30B1"/>
    <w:rsid w:val="001A31D8"/>
    <w:rsid w:val="001A69D8"/>
    <w:rsid w:val="001A6B0B"/>
    <w:rsid w:val="001A79EF"/>
    <w:rsid w:val="001B0583"/>
    <w:rsid w:val="001B0F1B"/>
    <w:rsid w:val="001B1B23"/>
    <w:rsid w:val="001B33CF"/>
    <w:rsid w:val="001B5450"/>
    <w:rsid w:val="001B624E"/>
    <w:rsid w:val="001B67DA"/>
    <w:rsid w:val="001B6D31"/>
    <w:rsid w:val="001C0FB6"/>
    <w:rsid w:val="001C601C"/>
    <w:rsid w:val="001C631A"/>
    <w:rsid w:val="001D0082"/>
    <w:rsid w:val="001D2BCD"/>
    <w:rsid w:val="001D62D1"/>
    <w:rsid w:val="001D7A5B"/>
    <w:rsid w:val="001E0294"/>
    <w:rsid w:val="001E148D"/>
    <w:rsid w:val="001E182C"/>
    <w:rsid w:val="001E3489"/>
    <w:rsid w:val="001E409F"/>
    <w:rsid w:val="001E426C"/>
    <w:rsid w:val="001F0915"/>
    <w:rsid w:val="001F0DA5"/>
    <w:rsid w:val="001F1AC8"/>
    <w:rsid w:val="001F2097"/>
    <w:rsid w:val="001F307F"/>
    <w:rsid w:val="001F5626"/>
    <w:rsid w:val="001F7784"/>
    <w:rsid w:val="00200811"/>
    <w:rsid w:val="002022B3"/>
    <w:rsid w:val="00203CCA"/>
    <w:rsid w:val="00203F41"/>
    <w:rsid w:val="00207294"/>
    <w:rsid w:val="002077CE"/>
    <w:rsid w:val="00207971"/>
    <w:rsid w:val="00207FC6"/>
    <w:rsid w:val="002104BA"/>
    <w:rsid w:val="002109C5"/>
    <w:rsid w:val="00212673"/>
    <w:rsid w:val="00213AD6"/>
    <w:rsid w:val="0021602E"/>
    <w:rsid w:val="00216153"/>
    <w:rsid w:val="00216254"/>
    <w:rsid w:val="00221595"/>
    <w:rsid w:val="00221C98"/>
    <w:rsid w:val="00222960"/>
    <w:rsid w:val="00223695"/>
    <w:rsid w:val="002237C6"/>
    <w:rsid w:val="0022441F"/>
    <w:rsid w:val="00224BF5"/>
    <w:rsid w:val="00225ED0"/>
    <w:rsid w:val="0022690C"/>
    <w:rsid w:val="00227021"/>
    <w:rsid w:val="002271F8"/>
    <w:rsid w:val="00227C77"/>
    <w:rsid w:val="00230476"/>
    <w:rsid w:val="002304B6"/>
    <w:rsid w:val="00230620"/>
    <w:rsid w:val="002314E5"/>
    <w:rsid w:val="00234388"/>
    <w:rsid w:val="00235322"/>
    <w:rsid w:val="00235B61"/>
    <w:rsid w:val="00235C30"/>
    <w:rsid w:val="002379B8"/>
    <w:rsid w:val="002401E4"/>
    <w:rsid w:val="00243B0F"/>
    <w:rsid w:val="00244234"/>
    <w:rsid w:val="002508C2"/>
    <w:rsid w:val="00250C0F"/>
    <w:rsid w:val="00250E8C"/>
    <w:rsid w:val="00250F66"/>
    <w:rsid w:val="00252B14"/>
    <w:rsid w:val="00252C51"/>
    <w:rsid w:val="00252D31"/>
    <w:rsid w:val="002531CD"/>
    <w:rsid w:val="00253371"/>
    <w:rsid w:val="00253DF4"/>
    <w:rsid w:val="002541E0"/>
    <w:rsid w:val="00255918"/>
    <w:rsid w:val="00256F61"/>
    <w:rsid w:val="002576E4"/>
    <w:rsid w:val="0026073E"/>
    <w:rsid w:val="00260C05"/>
    <w:rsid w:val="00261963"/>
    <w:rsid w:val="00262F38"/>
    <w:rsid w:val="00263FA1"/>
    <w:rsid w:val="00266343"/>
    <w:rsid w:val="00266426"/>
    <w:rsid w:val="00266DC3"/>
    <w:rsid w:val="00270C31"/>
    <w:rsid w:val="00272BEB"/>
    <w:rsid w:val="0027500C"/>
    <w:rsid w:val="0027595D"/>
    <w:rsid w:val="00276958"/>
    <w:rsid w:val="0027702A"/>
    <w:rsid w:val="002778AF"/>
    <w:rsid w:val="00277E94"/>
    <w:rsid w:val="002807E0"/>
    <w:rsid w:val="00280868"/>
    <w:rsid w:val="00280962"/>
    <w:rsid w:val="00281A27"/>
    <w:rsid w:val="00281B4B"/>
    <w:rsid w:val="00281EF5"/>
    <w:rsid w:val="002835C1"/>
    <w:rsid w:val="00285B37"/>
    <w:rsid w:val="00285D72"/>
    <w:rsid w:val="00287FE2"/>
    <w:rsid w:val="00290DDA"/>
    <w:rsid w:val="00290F54"/>
    <w:rsid w:val="0029420F"/>
    <w:rsid w:val="00295043"/>
    <w:rsid w:val="00295C6E"/>
    <w:rsid w:val="0029735C"/>
    <w:rsid w:val="00297437"/>
    <w:rsid w:val="002A0173"/>
    <w:rsid w:val="002A1213"/>
    <w:rsid w:val="002A2CBB"/>
    <w:rsid w:val="002A3105"/>
    <w:rsid w:val="002A4C46"/>
    <w:rsid w:val="002A638B"/>
    <w:rsid w:val="002A67F4"/>
    <w:rsid w:val="002B39DE"/>
    <w:rsid w:val="002B3F7C"/>
    <w:rsid w:val="002B4CE4"/>
    <w:rsid w:val="002B4E6E"/>
    <w:rsid w:val="002B5C9F"/>
    <w:rsid w:val="002B64A5"/>
    <w:rsid w:val="002B66BF"/>
    <w:rsid w:val="002B677C"/>
    <w:rsid w:val="002B6918"/>
    <w:rsid w:val="002B694D"/>
    <w:rsid w:val="002B738E"/>
    <w:rsid w:val="002B7B11"/>
    <w:rsid w:val="002C13C4"/>
    <w:rsid w:val="002C1C40"/>
    <w:rsid w:val="002C2B76"/>
    <w:rsid w:val="002C37C8"/>
    <w:rsid w:val="002C4B86"/>
    <w:rsid w:val="002C4F76"/>
    <w:rsid w:val="002C5DF5"/>
    <w:rsid w:val="002C5DF9"/>
    <w:rsid w:val="002C5F5E"/>
    <w:rsid w:val="002C7532"/>
    <w:rsid w:val="002D086E"/>
    <w:rsid w:val="002D0943"/>
    <w:rsid w:val="002D16E9"/>
    <w:rsid w:val="002D2F89"/>
    <w:rsid w:val="002D36AA"/>
    <w:rsid w:val="002D3BBC"/>
    <w:rsid w:val="002D5030"/>
    <w:rsid w:val="002D67DF"/>
    <w:rsid w:val="002E21DF"/>
    <w:rsid w:val="002E5499"/>
    <w:rsid w:val="002F0241"/>
    <w:rsid w:val="002F1CA2"/>
    <w:rsid w:val="002F2348"/>
    <w:rsid w:val="002F2D2C"/>
    <w:rsid w:val="002F35A8"/>
    <w:rsid w:val="002F4448"/>
    <w:rsid w:val="002F5E40"/>
    <w:rsid w:val="002F6276"/>
    <w:rsid w:val="002F6BC9"/>
    <w:rsid w:val="003021F5"/>
    <w:rsid w:val="00304313"/>
    <w:rsid w:val="00305DCA"/>
    <w:rsid w:val="003068D1"/>
    <w:rsid w:val="003104F1"/>
    <w:rsid w:val="00310B07"/>
    <w:rsid w:val="00311036"/>
    <w:rsid w:val="0031178F"/>
    <w:rsid w:val="0031217B"/>
    <w:rsid w:val="003124E0"/>
    <w:rsid w:val="00313F76"/>
    <w:rsid w:val="003147A7"/>
    <w:rsid w:val="003209F0"/>
    <w:rsid w:val="00320C32"/>
    <w:rsid w:val="00320DCE"/>
    <w:rsid w:val="003243B7"/>
    <w:rsid w:val="00325027"/>
    <w:rsid w:val="00325CB1"/>
    <w:rsid w:val="0032660E"/>
    <w:rsid w:val="00327DE6"/>
    <w:rsid w:val="00333E36"/>
    <w:rsid w:val="00334360"/>
    <w:rsid w:val="0033443B"/>
    <w:rsid w:val="003347AD"/>
    <w:rsid w:val="00334902"/>
    <w:rsid w:val="00334D5B"/>
    <w:rsid w:val="003352D1"/>
    <w:rsid w:val="00335A77"/>
    <w:rsid w:val="003365B1"/>
    <w:rsid w:val="00336789"/>
    <w:rsid w:val="00336A9E"/>
    <w:rsid w:val="0034141B"/>
    <w:rsid w:val="003417EE"/>
    <w:rsid w:val="0034188A"/>
    <w:rsid w:val="00342F55"/>
    <w:rsid w:val="0034319E"/>
    <w:rsid w:val="00343C7D"/>
    <w:rsid w:val="00343CD9"/>
    <w:rsid w:val="003447D6"/>
    <w:rsid w:val="0034484E"/>
    <w:rsid w:val="00346D49"/>
    <w:rsid w:val="00346F47"/>
    <w:rsid w:val="00347F95"/>
    <w:rsid w:val="0035080C"/>
    <w:rsid w:val="00351E3E"/>
    <w:rsid w:val="00352083"/>
    <w:rsid w:val="00352F63"/>
    <w:rsid w:val="00353CD8"/>
    <w:rsid w:val="00354A4C"/>
    <w:rsid w:val="0035611B"/>
    <w:rsid w:val="0035709B"/>
    <w:rsid w:val="00364BB9"/>
    <w:rsid w:val="003657C3"/>
    <w:rsid w:val="00367070"/>
    <w:rsid w:val="00372B6D"/>
    <w:rsid w:val="003755BC"/>
    <w:rsid w:val="00376EBD"/>
    <w:rsid w:val="00377909"/>
    <w:rsid w:val="003807BD"/>
    <w:rsid w:val="00381A5C"/>
    <w:rsid w:val="0038623D"/>
    <w:rsid w:val="00386323"/>
    <w:rsid w:val="00387E83"/>
    <w:rsid w:val="0039108A"/>
    <w:rsid w:val="003929D4"/>
    <w:rsid w:val="00392FD9"/>
    <w:rsid w:val="003936D0"/>
    <w:rsid w:val="00394813"/>
    <w:rsid w:val="003962CE"/>
    <w:rsid w:val="003A1DAB"/>
    <w:rsid w:val="003A48F8"/>
    <w:rsid w:val="003A57FE"/>
    <w:rsid w:val="003A6862"/>
    <w:rsid w:val="003A6935"/>
    <w:rsid w:val="003A70C1"/>
    <w:rsid w:val="003A7C23"/>
    <w:rsid w:val="003B00D3"/>
    <w:rsid w:val="003B0711"/>
    <w:rsid w:val="003B0B64"/>
    <w:rsid w:val="003B40EF"/>
    <w:rsid w:val="003B425E"/>
    <w:rsid w:val="003B5497"/>
    <w:rsid w:val="003B6FF9"/>
    <w:rsid w:val="003B79A7"/>
    <w:rsid w:val="003C00CA"/>
    <w:rsid w:val="003C0B9D"/>
    <w:rsid w:val="003C22E6"/>
    <w:rsid w:val="003C2C4A"/>
    <w:rsid w:val="003C36DF"/>
    <w:rsid w:val="003C3AAC"/>
    <w:rsid w:val="003D05A5"/>
    <w:rsid w:val="003D083D"/>
    <w:rsid w:val="003D2409"/>
    <w:rsid w:val="003D295B"/>
    <w:rsid w:val="003D29DE"/>
    <w:rsid w:val="003D2C8F"/>
    <w:rsid w:val="003D2E9A"/>
    <w:rsid w:val="003D2F16"/>
    <w:rsid w:val="003D2F37"/>
    <w:rsid w:val="003D3717"/>
    <w:rsid w:val="003D3AC1"/>
    <w:rsid w:val="003D4B19"/>
    <w:rsid w:val="003D77F5"/>
    <w:rsid w:val="003D7A4A"/>
    <w:rsid w:val="003E06E8"/>
    <w:rsid w:val="003E5BF9"/>
    <w:rsid w:val="003E6C41"/>
    <w:rsid w:val="003E7F69"/>
    <w:rsid w:val="003F046E"/>
    <w:rsid w:val="003F1EFE"/>
    <w:rsid w:val="003F27C4"/>
    <w:rsid w:val="003F3257"/>
    <w:rsid w:val="003F3FDC"/>
    <w:rsid w:val="003F42DF"/>
    <w:rsid w:val="003F71D1"/>
    <w:rsid w:val="003F79BB"/>
    <w:rsid w:val="003F7BDD"/>
    <w:rsid w:val="004016F6"/>
    <w:rsid w:val="0040234E"/>
    <w:rsid w:val="00403AE9"/>
    <w:rsid w:val="0040582F"/>
    <w:rsid w:val="004061F4"/>
    <w:rsid w:val="004069AA"/>
    <w:rsid w:val="00406B3A"/>
    <w:rsid w:val="00413015"/>
    <w:rsid w:val="0041332C"/>
    <w:rsid w:val="0041478E"/>
    <w:rsid w:val="004215B0"/>
    <w:rsid w:val="00423332"/>
    <w:rsid w:val="00424186"/>
    <w:rsid w:val="004255F2"/>
    <w:rsid w:val="004270D6"/>
    <w:rsid w:val="00427143"/>
    <w:rsid w:val="00427BA2"/>
    <w:rsid w:val="00430155"/>
    <w:rsid w:val="00430DFF"/>
    <w:rsid w:val="00430E24"/>
    <w:rsid w:val="0043128C"/>
    <w:rsid w:val="004316B0"/>
    <w:rsid w:val="00434748"/>
    <w:rsid w:val="00435BBC"/>
    <w:rsid w:val="00436587"/>
    <w:rsid w:val="0043695A"/>
    <w:rsid w:val="00436BE4"/>
    <w:rsid w:val="004404F1"/>
    <w:rsid w:val="0044178A"/>
    <w:rsid w:val="00441A4F"/>
    <w:rsid w:val="00442835"/>
    <w:rsid w:val="00443B54"/>
    <w:rsid w:val="00443DEE"/>
    <w:rsid w:val="00445F16"/>
    <w:rsid w:val="00446E40"/>
    <w:rsid w:val="004512AC"/>
    <w:rsid w:val="004512EF"/>
    <w:rsid w:val="00451FAF"/>
    <w:rsid w:val="0045225A"/>
    <w:rsid w:val="00452714"/>
    <w:rsid w:val="00453F3A"/>
    <w:rsid w:val="004542A1"/>
    <w:rsid w:val="00455871"/>
    <w:rsid w:val="00455A0E"/>
    <w:rsid w:val="00456489"/>
    <w:rsid w:val="00456557"/>
    <w:rsid w:val="00456FCA"/>
    <w:rsid w:val="00457F67"/>
    <w:rsid w:val="0046120B"/>
    <w:rsid w:val="00461604"/>
    <w:rsid w:val="00461E12"/>
    <w:rsid w:val="00462222"/>
    <w:rsid w:val="004639F7"/>
    <w:rsid w:val="0046442B"/>
    <w:rsid w:val="0046639A"/>
    <w:rsid w:val="0046674F"/>
    <w:rsid w:val="00466F94"/>
    <w:rsid w:val="0046731D"/>
    <w:rsid w:val="004674E3"/>
    <w:rsid w:val="00473785"/>
    <w:rsid w:val="004742D6"/>
    <w:rsid w:val="004805CF"/>
    <w:rsid w:val="004829E3"/>
    <w:rsid w:val="00483C71"/>
    <w:rsid w:val="00484959"/>
    <w:rsid w:val="00487879"/>
    <w:rsid w:val="00490473"/>
    <w:rsid w:val="004905C6"/>
    <w:rsid w:val="0049232E"/>
    <w:rsid w:val="00493CAC"/>
    <w:rsid w:val="004970DF"/>
    <w:rsid w:val="004977A3"/>
    <w:rsid w:val="00497AC0"/>
    <w:rsid w:val="00497E38"/>
    <w:rsid w:val="004A123D"/>
    <w:rsid w:val="004A2950"/>
    <w:rsid w:val="004A2A3D"/>
    <w:rsid w:val="004A2BF2"/>
    <w:rsid w:val="004A3C4F"/>
    <w:rsid w:val="004A4C53"/>
    <w:rsid w:val="004A4D63"/>
    <w:rsid w:val="004A5B5D"/>
    <w:rsid w:val="004A6540"/>
    <w:rsid w:val="004A7179"/>
    <w:rsid w:val="004B070A"/>
    <w:rsid w:val="004B7CA1"/>
    <w:rsid w:val="004B7D59"/>
    <w:rsid w:val="004B7E9F"/>
    <w:rsid w:val="004C1892"/>
    <w:rsid w:val="004C2943"/>
    <w:rsid w:val="004C3ECA"/>
    <w:rsid w:val="004C4234"/>
    <w:rsid w:val="004C4AB1"/>
    <w:rsid w:val="004C4E60"/>
    <w:rsid w:val="004D0D72"/>
    <w:rsid w:val="004D4826"/>
    <w:rsid w:val="004D65FD"/>
    <w:rsid w:val="004D77D6"/>
    <w:rsid w:val="004D7DE3"/>
    <w:rsid w:val="004E1140"/>
    <w:rsid w:val="004E1361"/>
    <w:rsid w:val="004E19BB"/>
    <w:rsid w:val="004E2187"/>
    <w:rsid w:val="004E25CC"/>
    <w:rsid w:val="004E2E98"/>
    <w:rsid w:val="004E3706"/>
    <w:rsid w:val="004E39BB"/>
    <w:rsid w:val="004E5B68"/>
    <w:rsid w:val="004E6BA1"/>
    <w:rsid w:val="004E732F"/>
    <w:rsid w:val="004E7990"/>
    <w:rsid w:val="004E7E77"/>
    <w:rsid w:val="004F03FE"/>
    <w:rsid w:val="004F0537"/>
    <w:rsid w:val="004F0CEE"/>
    <w:rsid w:val="004F182D"/>
    <w:rsid w:val="004F1A97"/>
    <w:rsid w:val="004F3092"/>
    <w:rsid w:val="004F5FE7"/>
    <w:rsid w:val="004F62DA"/>
    <w:rsid w:val="004F66E0"/>
    <w:rsid w:val="004F671F"/>
    <w:rsid w:val="004F792A"/>
    <w:rsid w:val="004F7BAA"/>
    <w:rsid w:val="004F7C15"/>
    <w:rsid w:val="00500FE0"/>
    <w:rsid w:val="00501ACE"/>
    <w:rsid w:val="00501EAC"/>
    <w:rsid w:val="00502712"/>
    <w:rsid w:val="00502D6D"/>
    <w:rsid w:val="00503525"/>
    <w:rsid w:val="00503AA7"/>
    <w:rsid w:val="005049A1"/>
    <w:rsid w:val="005053A7"/>
    <w:rsid w:val="00505A58"/>
    <w:rsid w:val="00510C1B"/>
    <w:rsid w:val="00511E9C"/>
    <w:rsid w:val="00515300"/>
    <w:rsid w:val="00520713"/>
    <w:rsid w:val="005223F6"/>
    <w:rsid w:val="00522C6A"/>
    <w:rsid w:val="00523A26"/>
    <w:rsid w:val="005257A3"/>
    <w:rsid w:val="005278C8"/>
    <w:rsid w:val="005337CB"/>
    <w:rsid w:val="00534979"/>
    <w:rsid w:val="00536019"/>
    <w:rsid w:val="00537887"/>
    <w:rsid w:val="0054318D"/>
    <w:rsid w:val="005447C9"/>
    <w:rsid w:val="00544BA2"/>
    <w:rsid w:val="005470D0"/>
    <w:rsid w:val="00547597"/>
    <w:rsid w:val="00547812"/>
    <w:rsid w:val="00552A17"/>
    <w:rsid w:val="00552CC0"/>
    <w:rsid w:val="00555822"/>
    <w:rsid w:val="00555B6C"/>
    <w:rsid w:val="005622B1"/>
    <w:rsid w:val="0056267A"/>
    <w:rsid w:val="00562865"/>
    <w:rsid w:val="00562B8C"/>
    <w:rsid w:val="00562FBE"/>
    <w:rsid w:val="00563F24"/>
    <w:rsid w:val="00564DD8"/>
    <w:rsid w:val="00564EBD"/>
    <w:rsid w:val="0056505B"/>
    <w:rsid w:val="0056582C"/>
    <w:rsid w:val="00566531"/>
    <w:rsid w:val="00566B79"/>
    <w:rsid w:val="00566FC1"/>
    <w:rsid w:val="005673F6"/>
    <w:rsid w:val="005703A9"/>
    <w:rsid w:val="00570766"/>
    <w:rsid w:val="00571E04"/>
    <w:rsid w:val="00572440"/>
    <w:rsid w:val="005734A8"/>
    <w:rsid w:val="0057490C"/>
    <w:rsid w:val="00576360"/>
    <w:rsid w:val="00576E26"/>
    <w:rsid w:val="00580C95"/>
    <w:rsid w:val="005810B3"/>
    <w:rsid w:val="00581FC5"/>
    <w:rsid w:val="00583C8E"/>
    <w:rsid w:val="00583EC7"/>
    <w:rsid w:val="00585C34"/>
    <w:rsid w:val="00585CEA"/>
    <w:rsid w:val="00585FBA"/>
    <w:rsid w:val="00587072"/>
    <w:rsid w:val="00591023"/>
    <w:rsid w:val="0059150A"/>
    <w:rsid w:val="0059264C"/>
    <w:rsid w:val="005927FE"/>
    <w:rsid w:val="00592F82"/>
    <w:rsid w:val="00593697"/>
    <w:rsid w:val="00593843"/>
    <w:rsid w:val="0059438C"/>
    <w:rsid w:val="00596E6E"/>
    <w:rsid w:val="005973CF"/>
    <w:rsid w:val="005A11C0"/>
    <w:rsid w:val="005A15FA"/>
    <w:rsid w:val="005A16FB"/>
    <w:rsid w:val="005A1D75"/>
    <w:rsid w:val="005A2DE1"/>
    <w:rsid w:val="005A3ED2"/>
    <w:rsid w:val="005A441C"/>
    <w:rsid w:val="005A4A9B"/>
    <w:rsid w:val="005A4A9C"/>
    <w:rsid w:val="005A7AE7"/>
    <w:rsid w:val="005B1DEA"/>
    <w:rsid w:val="005B3452"/>
    <w:rsid w:val="005B4B39"/>
    <w:rsid w:val="005B548A"/>
    <w:rsid w:val="005B5B19"/>
    <w:rsid w:val="005C0842"/>
    <w:rsid w:val="005C0E14"/>
    <w:rsid w:val="005C3BA3"/>
    <w:rsid w:val="005C41E2"/>
    <w:rsid w:val="005C61C5"/>
    <w:rsid w:val="005C6AE3"/>
    <w:rsid w:val="005C7CEB"/>
    <w:rsid w:val="005D2EF1"/>
    <w:rsid w:val="005D4EAA"/>
    <w:rsid w:val="005D5191"/>
    <w:rsid w:val="005D5E66"/>
    <w:rsid w:val="005D6CDB"/>
    <w:rsid w:val="005D7897"/>
    <w:rsid w:val="005E07A7"/>
    <w:rsid w:val="005E1D15"/>
    <w:rsid w:val="005E3BA3"/>
    <w:rsid w:val="005E3EA2"/>
    <w:rsid w:val="005E5A38"/>
    <w:rsid w:val="005E60B2"/>
    <w:rsid w:val="005E7589"/>
    <w:rsid w:val="005F0047"/>
    <w:rsid w:val="005F12F6"/>
    <w:rsid w:val="005F1701"/>
    <w:rsid w:val="005F1C5A"/>
    <w:rsid w:val="005F2D5C"/>
    <w:rsid w:val="005F3A5F"/>
    <w:rsid w:val="005F4C13"/>
    <w:rsid w:val="005F4CB8"/>
    <w:rsid w:val="005F52B4"/>
    <w:rsid w:val="005F631A"/>
    <w:rsid w:val="005F749E"/>
    <w:rsid w:val="00600813"/>
    <w:rsid w:val="0060298B"/>
    <w:rsid w:val="00603455"/>
    <w:rsid w:val="00603808"/>
    <w:rsid w:val="00606288"/>
    <w:rsid w:val="00606E5D"/>
    <w:rsid w:val="00610CF7"/>
    <w:rsid w:val="006110A7"/>
    <w:rsid w:val="006115C9"/>
    <w:rsid w:val="00612039"/>
    <w:rsid w:val="006127C3"/>
    <w:rsid w:val="006129DF"/>
    <w:rsid w:val="0061371D"/>
    <w:rsid w:val="00614539"/>
    <w:rsid w:val="00615A98"/>
    <w:rsid w:val="00621DD8"/>
    <w:rsid w:val="00624BC2"/>
    <w:rsid w:val="006304E4"/>
    <w:rsid w:val="00632487"/>
    <w:rsid w:val="00632FCC"/>
    <w:rsid w:val="0063320A"/>
    <w:rsid w:val="00633647"/>
    <w:rsid w:val="00635BFC"/>
    <w:rsid w:val="00636A38"/>
    <w:rsid w:val="00637BE6"/>
    <w:rsid w:val="00640787"/>
    <w:rsid w:val="00641016"/>
    <w:rsid w:val="00641240"/>
    <w:rsid w:val="00642CC1"/>
    <w:rsid w:val="0064383F"/>
    <w:rsid w:val="00643A9C"/>
    <w:rsid w:val="0064430A"/>
    <w:rsid w:val="006448AD"/>
    <w:rsid w:val="00644EFA"/>
    <w:rsid w:val="00645B12"/>
    <w:rsid w:val="00651459"/>
    <w:rsid w:val="006523FF"/>
    <w:rsid w:val="00652DED"/>
    <w:rsid w:val="00654056"/>
    <w:rsid w:val="00654E1A"/>
    <w:rsid w:val="0065650F"/>
    <w:rsid w:val="0065685A"/>
    <w:rsid w:val="00657AA4"/>
    <w:rsid w:val="006638F7"/>
    <w:rsid w:val="00663C04"/>
    <w:rsid w:val="0066511E"/>
    <w:rsid w:val="00665A04"/>
    <w:rsid w:val="00666D40"/>
    <w:rsid w:val="0067370E"/>
    <w:rsid w:val="006745CF"/>
    <w:rsid w:val="00674851"/>
    <w:rsid w:val="00675736"/>
    <w:rsid w:val="00677FF7"/>
    <w:rsid w:val="00680AB9"/>
    <w:rsid w:val="00682B87"/>
    <w:rsid w:val="00683867"/>
    <w:rsid w:val="0068441F"/>
    <w:rsid w:val="0068453B"/>
    <w:rsid w:val="00684D5B"/>
    <w:rsid w:val="00684F6E"/>
    <w:rsid w:val="00687417"/>
    <w:rsid w:val="00687A8A"/>
    <w:rsid w:val="00687F2D"/>
    <w:rsid w:val="0069021D"/>
    <w:rsid w:val="006908F0"/>
    <w:rsid w:val="00691FB0"/>
    <w:rsid w:val="00693070"/>
    <w:rsid w:val="006937B2"/>
    <w:rsid w:val="00693D48"/>
    <w:rsid w:val="00693E4F"/>
    <w:rsid w:val="006958D7"/>
    <w:rsid w:val="00696A29"/>
    <w:rsid w:val="00696AB5"/>
    <w:rsid w:val="00696E7E"/>
    <w:rsid w:val="00697CAE"/>
    <w:rsid w:val="006A1C8A"/>
    <w:rsid w:val="006A5F7F"/>
    <w:rsid w:val="006A7E84"/>
    <w:rsid w:val="006B0996"/>
    <w:rsid w:val="006B0C13"/>
    <w:rsid w:val="006B294A"/>
    <w:rsid w:val="006B3F76"/>
    <w:rsid w:val="006B45BB"/>
    <w:rsid w:val="006B531F"/>
    <w:rsid w:val="006B6033"/>
    <w:rsid w:val="006B7211"/>
    <w:rsid w:val="006C08B6"/>
    <w:rsid w:val="006C1540"/>
    <w:rsid w:val="006C2099"/>
    <w:rsid w:val="006C2D38"/>
    <w:rsid w:val="006C4495"/>
    <w:rsid w:val="006C48CC"/>
    <w:rsid w:val="006C5417"/>
    <w:rsid w:val="006C65A4"/>
    <w:rsid w:val="006D0101"/>
    <w:rsid w:val="006D03FF"/>
    <w:rsid w:val="006D1759"/>
    <w:rsid w:val="006D2C56"/>
    <w:rsid w:val="006D36BF"/>
    <w:rsid w:val="006D3C08"/>
    <w:rsid w:val="006D647C"/>
    <w:rsid w:val="006D740B"/>
    <w:rsid w:val="006D78FD"/>
    <w:rsid w:val="006E0850"/>
    <w:rsid w:val="006E1A9D"/>
    <w:rsid w:val="006E3228"/>
    <w:rsid w:val="006E3762"/>
    <w:rsid w:val="006E6802"/>
    <w:rsid w:val="006E6B9D"/>
    <w:rsid w:val="006E6E97"/>
    <w:rsid w:val="006E71CC"/>
    <w:rsid w:val="006E7F99"/>
    <w:rsid w:val="006F0481"/>
    <w:rsid w:val="006F0908"/>
    <w:rsid w:val="006F1698"/>
    <w:rsid w:val="006F225D"/>
    <w:rsid w:val="006F24E8"/>
    <w:rsid w:val="006F3F51"/>
    <w:rsid w:val="006F4E44"/>
    <w:rsid w:val="006F4FAF"/>
    <w:rsid w:val="006F6E4E"/>
    <w:rsid w:val="006F7987"/>
    <w:rsid w:val="0070198C"/>
    <w:rsid w:val="007060B8"/>
    <w:rsid w:val="00706BA4"/>
    <w:rsid w:val="007100EE"/>
    <w:rsid w:val="00710E72"/>
    <w:rsid w:val="0071128C"/>
    <w:rsid w:val="00711E17"/>
    <w:rsid w:val="00712C54"/>
    <w:rsid w:val="00714051"/>
    <w:rsid w:val="00714906"/>
    <w:rsid w:val="0071538D"/>
    <w:rsid w:val="00716578"/>
    <w:rsid w:val="007169CA"/>
    <w:rsid w:val="00717FD3"/>
    <w:rsid w:val="00723258"/>
    <w:rsid w:val="00723713"/>
    <w:rsid w:val="00724E68"/>
    <w:rsid w:val="0072548C"/>
    <w:rsid w:val="00725FB6"/>
    <w:rsid w:val="007272ED"/>
    <w:rsid w:val="00733F5F"/>
    <w:rsid w:val="007371C5"/>
    <w:rsid w:val="0073749E"/>
    <w:rsid w:val="00737FC8"/>
    <w:rsid w:val="00740BC7"/>
    <w:rsid w:val="00742A0F"/>
    <w:rsid w:val="007436D6"/>
    <w:rsid w:val="00745DD8"/>
    <w:rsid w:val="00746BCB"/>
    <w:rsid w:val="00746CC0"/>
    <w:rsid w:val="00746D2E"/>
    <w:rsid w:val="007502A3"/>
    <w:rsid w:val="00750335"/>
    <w:rsid w:val="00752066"/>
    <w:rsid w:val="00754401"/>
    <w:rsid w:val="00756051"/>
    <w:rsid w:val="0076031F"/>
    <w:rsid w:val="00760431"/>
    <w:rsid w:val="00761410"/>
    <w:rsid w:val="00761CC0"/>
    <w:rsid w:val="00765080"/>
    <w:rsid w:val="00765346"/>
    <w:rsid w:val="00765EC5"/>
    <w:rsid w:val="0076673B"/>
    <w:rsid w:val="00766FAF"/>
    <w:rsid w:val="007714CE"/>
    <w:rsid w:val="00771D3F"/>
    <w:rsid w:val="00772652"/>
    <w:rsid w:val="007752CD"/>
    <w:rsid w:val="00777C4C"/>
    <w:rsid w:val="00780C46"/>
    <w:rsid w:val="0078137F"/>
    <w:rsid w:val="00782E24"/>
    <w:rsid w:val="00783598"/>
    <w:rsid w:val="0078395B"/>
    <w:rsid w:val="007848B7"/>
    <w:rsid w:val="00784EF4"/>
    <w:rsid w:val="007860EA"/>
    <w:rsid w:val="0079104C"/>
    <w:rsid w:val="00791C3F"/>
    <w:rsid w:val="00792C82"/>
    <w:rsid w:val="007946D4"/>
    <w:rsid w:val="007947C9"/>
    <w:rsid w:val="00794E45"/>
    <w:rsid w:val="00796035"/>
    <w:rsid w:val="007962DF"/>
    <w:rsid w:val="00796428"/>
    <w:rsid w:val="00797B1F"/>
    <w:rsid w:val="007A0A96"/>
    <w:rsid w:val="007A61E8"/>
    <w:rsid w:val="007B0050"/>
    <w:rsid w:val="007B05F6"/>
    <w:rsid w:val="007B5C52"/>
    <w:rsid w:val="007B72FE"/>
    <w:rsid w:val="007C0DC9"/>
    <w:rsid w:val="007C1C3D"/>
    <w:rsid w:val="007C1E8D"/>
    <w:rsid w:val="007C3167"/>
    <w:rsid w:val="007C4902"/>
    <w:rsid w:val="007C5926"/>
    <w:rsid w:val="007C5DB9"/>
    <w:rsid w:val="007C5E29"/>
    <w:rsid w:val="007D0494"/>
    <w:rsid w:val="007D051B"/>
    <w:rsid w:val="007D0867"/>
    <w:rsid w:val="007D0958"/>
    <w:rsid w:val="007D1401"/>
    <w:rsid w:val="007D1D7E"/>
    <w:rsid w:val="007D5085"/>
    <w:rsid w:val="007D516A"/>
    <w:rsid w:val="007D5E6E"/>
    <w:rsid w:val="007D61BB"/>
    <w:rsid w:val="007D64FD"/>
    <w:rsid w:val="007D6F6C"/>
    <w:rsid w:val="007D7CFB"/>
    <w:rsid w:val="007E1543"/>
    <w:rsid w:val="007E22D8"/>
    <w:rsid w:val="007E3508"/>
    <w:rsid w:val="007E35E7"/>
    <w:rsid w:val="007E4534"/>
    <w:rsid w:val="007E4927"/>
    <w:rsid w:val="007E5260"/>
    <w:rsid w:val="007E53C7"/>
    <w:rsid w:val="007E637A"/>
    <w:rsid w:val="007F127E"/>
    <w:rsid w:val="007F2DDD"/>
    <w:rsid w:val="007F33FF"/>
    <w:rsid w:val="007F4B77"/>
    <w:rsid w:val="007F50B9"/>
    <w:rsid w:val="007F5D92"/>
    <w:rsid w:val="007F6CDB"/>
    <w:rsid w:val="007F7FBE"/>
    <w:rsid w:val="008004AE"/>
    <w:rsid w:val="008018AC"/>
    <w:rsid w:val="00801980"/>
    <w:rsid w:val="00803F49"/>
    <w:rsid w:val="00804B2F"/>
    <w:rsid w:val="008074EB"/>
    <w:rsid w:val="00807F7E"/>
    <w:rsid w:val="00810165"/>
    <w:rsid w:val="008102C5"/>
    <w:rsid w:val="00810C60"/>
    <w:rsid w:val="00812203"/>
    <w:rsid w:val="00812535"/>
    <w:rsid w:val="00812608"/>
    <w:rsid w:val="00813E2C"/>
    <w:rsid w:val="00814193"/>
    <w:rsid w:val="00814273"/>
    <w:rsid w:val="008145A9"/>
    <w:rsid w:val="008154D5"/>
    <w:rsid w:val="00815D92"/>
    <w:rsid w:val="008168A6"/>
    <w:rsid w:val="008179E6"/>
    <w:rsid w:val="008248AC"/>
    <w:rsid w:val="0082552B"/>
    <w:rsid w:val="00825B96"/>
    <w:rsid w:val="00825F70"/>
    <w:rsid w:val="00826462"/>
    <w:rsid w:val="00826ADA"/>
    <w:rsid w:val="00826B7E"/>
    <w:rsid w:val="0083078F"/>
    <w:rsid w:val="0083140E"/>
    <w:rsid w:val="008315F8"/>
    <w:rsid w:val="008323B4"/>
    <w:rsid w:val="008341BF"/>
    <w:rsid w:val="00835032"/>
    <w:rsid w:val="0083506B"/>
    <w:rsid w:val="0083511B"/>
    <w:rsid w:val="00835A5A"/>
    <w:rsid w:val="00841F71"/>
    <w:rsid w:val="00842B25"/>
    <w:rsid w:val="00842CE4"/>
    <w:rsid w:val="0084303D"/>
    <w:rsid w:val="008436B9"/>
    <w:rsid w:val="00843924"/>
    <w:rsid w:val="0084579D"/>
    <w:rsid w:val="00845874"/>
    <w:rsid w:val="0085218B"/>
    <w:rsid w:val="00852965"/>
    <w:rsid w:val="00852A42"/>
    <w:rsid w:val="00854613"/>
    <w:rsid w:val="0085499E"/>
    <w:rsid w:val="00856B99"/>
    <w:rsid w:val="00856D35"/>
    <w:rsid w:val="00856EFF"/>
    <w:rsid w:val="00857AB5"/>
    <w:rsid w:val="00857B31"/>
    <w:rsid w:val="00857E52"/>
    <w:rsid w:val="00860ABF"/>
    <w:rsid w:val="008611F4"/>
    <w:rsid w:val="0086128F"/>
    <w:rsid w:val="00861A0D"/>
    <w:rsid w:val="00864344"/>
    <w:rsid w:val="00865479"/>
    <w:rsid w:val="008679BC"/>
    <w:rsid w:val="00867AE3"/>
    <w:rsid w:val="008751BB"/>
    <w:rsid w:val="00876F1D"/>
    <w:rsid w:val="00877492"/>
    <w:rsid w:val="00877979"/>
    <w:rsid w:val="0088044C"/>
    <w:rsid w:val="008809F0"/>
    <w:rsid w:val="00881843"/>
    <w:rsid w:val="00881A0B"/>
    <w:rsid w:val="0088205A"/>
    <w:rsid w:val="00886AC1"/>
    <w:rsid w:val="008871F6"/>
    <w:rsid w:val="008873F0"/>
    <w:rsid w:val="008940C7"/>
    <w:rsid w:val="00894118"/>
    <w:rsid w:val="0089492A"/>
    <w:rsid w:val="00895B43"/>
    <w:rsid w:val="00895C58"/>
    <w:rsid w:val="0089750A"/>
    <w:rsid w:val="008A0F84"/>
    <w:rsid w:val="008A2711"/>
    <w:rsid w:val="008A2A07"/>
    <w:rsid w:val="008A2BDE"/>
    <w:rsid w:val="008A37F7"/>
    <w:rsid w:val="008A47E3"/>
    <w:rsid w:val="008A5185"/>
    <w:rsid w:val="008A5669"/>
    <w:rsid w:val="008A5DA0"/>
    <w:rsid w:val="008A75BC"/>
    <w:rsid w:val="008B04CB"/>
    <w:rsid w:val="008B1B19"/>
    <w:rsid w:val="008B23DE"/>
    <w:rsid w:val="008B2FEE"/>
    <w:rsid w:val="008B55A8"/>
    <w:rsid w:val="008B644B"/>
    <w:rsid w:val="008C0996"/>
    <w:rsid w:val="008C2899"/>
    <w:rsid w:val="008C30E9"/>
    <w:rsid w:val="008C4D7A"/>
    <w:rsid w:val="008C5864"/>
    <w:rsid w:val="008C5D35"/>
    <w:rsid w:val="008D03F9"/>
    <w:rsid w:val="008D0666"/>
    <w:rsid w:val="008D0FDD"/>
    <w:rsid w:val="008D2629"/>
    <w:rsid w:val="008D37F6"/>
    <w:rsid w:val="008D6A17"/>
    <w:rsid w:val="008D6E32"/>
    <w:rsid w:val="008D6E4F"/>
    <w:rsid w:val="008D7A82"/>
    <w:rsid w:val="008E06A2"/>
    <w:rsid w:val="008E1C6B"/>
    <w:rsid w:val="008E20F1"/>
    <w:rsid w:val="008E325A"/>
    <w:rsid w:val="008E38C1"/>
    <w:rsid w:val="008E51A4"/>
    <w:rsid w:val="008E6D04"/>
    <w:rsid w:val="008E73ED"/>
    <w:rsid w:val="008E73EF"/>
    <w:rsid w:val="008F09CD"/>
    <w:rsid w:val="008F2127"/>
    <w:rsid w:val="008F301F"/>
    <w:rsid w:val="008F3824"/>
    <w:rsid w:val="008F5A03"/>
    <w:rsid w:val="008F68E7"/>
    <w:rsid w:val="0090277D"/>
    <w:rsid w:val="00905D5B"/>
    <w:rsid w:val="0090673A"/>
    <w:rsid w:val="009116E3"/>
    <w:rsid w:val="00912CFA"/>
    <w:rsid w:val="009133F8"/>
    <w:rsid w:val="00913520"/>
    <w:rsid w:val="0091500C"/>
    <w:rsid w:val="00916774"/>
    <w:rsid w:val="00916FE0"/>
    <w:rsid w:val="00920B2C"/>
    <w:rsid w:val="009210EB"/>
    <w:rsid w:val="009223CA"/>
    <w:rsid w:val="00923ECF"/>
    <w:rsid w:val="00925EC9"/>
    <w:rsid w:val="009263FD"/>
    <w:rsid w:val="009278FA"/>
    <w:rsid w:val="00930C2D"/>
    <w:rsid w:val="00933652"/>
    <w:rsid w:val="0093402B"/>
    <w:rsid w:val="00934844"/>
    <w:rsid w:val="00934CED"/>
    <w:rsid w:val="009352CE"/>
    <w:rsid w:val="009368D7"/>
    <w:rsid w:val="009408DA"/>
    <w:rsid w:val="0094127D"/>
    <w:rsid w:val="0094404A"/>
    <w:rsid w:val="00944C4A"/>
    <w:rsid w:val="00944E73"/>
    <w:rsid w:val="00946CC0"/>
    <w:rsid w:val="00947252"/>
    <w:rsid w:val="009477DE"/>
    <w:rsid w:val="009478E4"/>
    <w:rsid w:val="00951461"/>
    <w:rsid w:val="009522E7"/>
    <w:rsid w:val="0095409B"/>
    <w:rsid w:val="00957426"/>
    <w:rsid w:val="009576E9"/>
    <w:rsid w:val="009577D7"/>
    <w:rsid w:val="00957D08"/>
    <w:rsid w:val="00962886"/>
    <w:rsid w:val="00962D23"/>
    <w:rsid w:val="00963542"/>
    <w:rsid w:val="0096643A"/>
    <w:rsid w:val="00967016"/>
    <w:rsid w:val="009670EB"/>
    <w:rsid w:val="0097075C"/>
    <w:rsid w:val="00970978"/>
    <w:rsid w:val="00971717"/>
    <w:rsid w:val="00972754"/>
    <w:rsid w:val="00973190"/>
    <w:rsid w:val="009731A0"/>
    <w:rsid w:val="00974784"/>
    <w:rsid w:val="00975220"/>
    <w:rsid w:val="00975B3A"/>
    <w:rsid w:val="00977032"/>
    <w:rsid w:val="00977B6C"/>
    <w:rsid w:val="0098242F"/>
    <w:rsid w:val="009829BE"/>
    <w:rsid w:val="00984A94"/>
    <w:rsid w:val="00987664"/>
    <w:rsid w:val="009878BE"/>
    <w:rsid w:val="00991138"/>
    <w:rsid w:val="00991A18"/>
    <w:rsid w:val="00992AB3"/>
    <w:rsid w:val="00992C43"/>
    <w:rsid w:val="00993C31"/>
    <w:rsid w:val="00994E61"/>
    <w:rsid w:val="00997BC1"/>
    <w:rsid w:val="009A02C7"/>
    <w:rsid w:val="009A0C22"/>
    <w:rsid w:val="009A1D42"/>
    <w:rsid w:val="009A21FF"/>
    <w:rsid w:val="009A22B4"/>
    <w:rsid w:val="009A3771"/>
    <w:rsid w:val="009A450B"/>
    <w:rsid w:val="009A4EF8"/>
    <w:rsid w:val="009A6014"/>
    <w:rsid w:val="009A672F"/>
    <w:rsid w:val="009A6738"/>
    <w:rsid w:val="009A7749"/>
    <w:rsid w:val="009B0E8E"/>
    <w:rsid w:val="009B2E12"/>
    <w:rsid w:val="009B336F"/>
    <w:rsid w:val="009B470A"/>
    <w:rsid w:val="009B751C"/>
    <w:rsid w:val="009C042B"/>
    <w:rsid w:val="009C1997"/>
    <w:rsid w:val="009C39CC"/>
    <w:rsid w:val="009C3F2A"/>
    <w:rsid w:val="009C543A"/>
    <w:rsid w:val="009C5DFC"/>
    <w:rsid w:val="009C73D1"/>
    <w:rsid w:val="009D000B"/>
    <w:rsid w:val="009D1099"/>
    <w:rsid w:val="009D2B76"/>
    <w:rsid w:val="009D3A3C"/>
    <w:rsid w:val="009D416C"/>
    <w:rsid w:val="009D53F2"/>
    <w:rsid w:val="009D6781"/>
    <w:rsid w:val="009D7A36"/>
    <w:rsid w:val="009E1578"/>
    <w:rsid w:val="009E49C0"/>
    <w:rsid w:val="009E5858"/>
    <w:rsid w:val="009E6F54"/>
    <w:rsid w:val="009E7207"/>
    <w:rsid w:val="009F0292"/>
    <w:rsid w:val="009F02B2"/>
    <w:rsid w:val="009F086F"/>
    <w:rsid w:val="009F13EC"/>
    <w:rsid w:val="009F2728"/>
    <w:rsid w:val="009F4891"/>
    <w:rsid w:val="009F59B3"/>
    <w:rsid w:val="009F7ED7"/>
    <w:rsid w:val="00A006D5"/>
    <w:rsid w:val="00A00A9B"/>
    <w:rsid w:val="00A00B6D"/>
    <w:rsid w:val="00A02660"/>
    <w:rsid w:val="00A02A50"/>
    <w:rsid w:val="00A03125"/>
    <w:rsid w:val="00A03C5F"/>
    <w:rsid w:val="00A04CA9"/>
    <w:rsid w:val="00A04F0B"/>
    <w:rsid w:val="00A062E3"/>
    <w:rsid w:val="00A106CB"/>
    <w:rsid w:val="00A106EC"/>
    <w:rsid w:val="00A12458"/>
    <w:rsid w:val="00A1329E"/>
    <w:rsid w:val="00A1501C"/>
    <w:rsid w:val="00A16FF1"/>
    <w:rsid w:val="00A2217E"/>
    <w:rsid w:val="00A22471"/>
    <w:rsid w:val="00A23A3D"/>
    <w:rsid w:val="00A269CA"/>
    <w:rsid w:val="00A30F66"/>
    <w:rsid w:val="00A31082"/>
    <w:rsid w:val="00A32006"/>
    <w:rsid w:val="00A33068"/>
    <w:rsid w:val="00A341BB"/>
    <w:rsid w:val="00A3424F"/>
    <w:rsid w:val="00A34B6E"/>
    <w:rsid w:val="00A355F8"/>
    <w:rsid w:val="00A36199"/>
    <w:rsid w:val="00A36937"/>
    <w:rsid w:val="00A370E6"/>
    <w:rsid w:val="00A41095"/>
    <w:rsid w:val="00A4357C"/>
    <w:rsid w:val="00A4447F"/>
    <w:rsid w:val="00A4563D"/>
    <w:rsid w:val="00A457E1"/>
    <w:rsid w:val="00A45B9C"/>
    <w:rsid w:val="00A47948"/>
    <w:rsid w:val="00A47FC8"/>
    <w:rsid w:val="00A505AF"/>
    <w:rsid w:val="00A508FA"/>
    <w:rsid w:val="00A51CD5"/>
    <w:rsid w:val="00A51CE5"/>
    <w:rsid w:val="00A5292A"/>
    <w:rsid w:val="00A5480A"/>
    <w:rsid w:val="00A566D4"/>
    <w:rsid w:val="00A56CFE"/>
    <w:rsid w:val="00A57C0A"/>
    <w:rsid w:val="00A57CC8"/>
    <w:rsid w:val="00A600EF"/>
    <w:rsid w:val="00A60668"/>
    <w:rsid w:val="00A61EEA"/>
    <w:rsid w:val="00A62454"/>
    <w:rsid w:val="00A625C3"/>
    <w:rsid w:val="00A637C8"/>
    <w:rsid w:val="00A638D0"/>
    <w:rsid w:val="00A65DC5"/>
    <w:rsid w:val="00A67B63"/>
    <w:rsid w:val="00A71DFA"/>
    <w:rsid w:val="00A728AA"/>
    <w:rsid w:val="00A73554"/>
    <w:rsid w:val="00A7602E"/>
    <w:rsid w:val="00A77DB4"/>
    <w:rsid w:val="00A80B4B"/>
    <w:rsid w:val="00A80E7B"/>
    <w:rsid w:val="00A81842"/>
    <w:rsid w:val="00A82238"/>
    <w:rsid w:val="00A8246B"/>
    <w:rsid w:val="00A826CA"/>
    <w:rsid w:val="00A848E6"/>
    <w:rsid w:val="00A849F6"/>
    <w:rsid w:val="00A85925"/>
    <w:rsid w:val="00A87C79"/>
    <w:rsid w:val="00A9493E"/>
    <w:rsid w:val="00A96793"/>
    <w:rsid w:val="00A97310"/>
    <w:rsid w:val="00A97447"/>
    <w:rsid w:val="00AA033E"/>
    <w:rsid w:val="00AA0422"/>
    <w:rsid w:val="00AA0C28"/>
    <w:rsid w:val="00AA1607"/>
    <w:rsid w:val="00AA265D"/>
    <w:rsid w:val="00AA2893"/>
    <w:rsid w:val="00AA2D8D"/>
    <w:rsid w:val="00AA2FB4"/>
    <w:rsid w:val="00AA5CF3"/>
    <w:rsid w:val="00AA6D7E"/>
    <w:rsid w:val="00AA6D92"/>
    <w:rsid w:val="00AA709D"/>
    <w:rsid w:val="00AA79A7"/>
    <w:rsid w:val="00AB0A11"/>
    <w:rsid w:val="00AB1008"/>
    <w:rsid w:val="00AB202A"/>
    <w:rsid w:val="00AB28AA"/>
    <w:rsid w:val="00AB4B18"/>
    <w:rsid w:val="00AB5867"/>
    <w:rsid w:val="00AB6667"/>
    <w:rsid w:val="00AC00DD"/>
    <w:rsid w:val="00AC1F85"/>
    <w:rsid w:val="00AC206E"/>
    <w:rsid w:val="00AC227E"/>
    <w:rsid w:val="00AC23C6"/>
    <w:rsid w:val="00AC31F2"/>
    <w:rsid w:val="00AC32B4"/>
    <w:rsid w:val="00AC6210"/>
    <w:rsid w:val="00AC6BEE"/>
    <w:rsid w:val="00AC7901"/>
    <w:rsid w:val="00AC7D23"/>
    <w:rsid w:val="00AC7EC9"/>
    <w:rsid w:val="00AD0401"/>
    <w:rsid w:val="00AD0DB8"/>
    <w:rsid w:val="00AD1566"/>
    <w:rsid w:val="00AD255B"/>
    <w:rsid w:val="00AD30F6"/>
    <w:rsid w:val="00AD38D4"/>
    <w:rsid w:val="00AD3BB3"/>
    <w:rsid w:val="00AD650F"/>
    <w:rsid w:val="00AD6684"/>
    <w:rsid w:val="00AE297E"/>
    <w:rsid w:val="00AE2F45"/>
    <w:rsid w:val="00AE364D"/>
    <w:rsid w:val="00AE3D25"/>
    <w:rsid w:val="00AE464E"/>
    <w:rsid w:val="00AE494D"/>
    <w:rsid w:val="00AE4DF5"/>
    <w:rsid w:val="00AE511B"/>
    <w:rsid w:val="00AE5864"/>
    <w:rsid w:val="00AE60DE"/>
    <w:rsid w:val="00AE71CF"/>
    <w:rsid w:val="00AE7B36"/>
    <w:rsid w:val="00AF4BAB"/>
    <w:rsid w:val="00AF4C27"/>
    <w:rsid w:val="00AF524A"/>
    <w:rsid w:val="00AF56B4"/>
    <w:rsid w:val="00AF5AB9"/>
    <w:rsid w:val="00AF7367"/>
    <w:rsid w:val="00B00955"/>
    <w:rsid w:val="00B041CC"/>
    <w:rsid w:val="00B05EFA"/>
    <w:rsid w:val="00B0704D"/>
    <w:rsid w:val="00B07D19"/>
    <w:rsid w:val="00B101C6"/>
    <w:rsid w:val="00B11656"/>
    <w:rsid w:val="00B11F39"/>
    <w:rsid w:val="00B12512"/>
    <w:rsid w:val="00B12E54"/>
    <w:rsid w:val="00B12F2A"/>
    <w:rsid w:val="00B1347F"/>
    <w:rsid w:val="00B13CD4"/>
    <w:rsid w:val="00B13CF5"/>
    <w:rsid w:val="00B14902"/>
    <w:rsid w:val="00B1495A"/>
    <w:rsid w:val="00B15178"/>
    <w:rsid w:val="00B15BF9"/>
    <w:rsid w:val="00B20F5B"/>
    <w:rsid w:val="00B2135A"/>
    <w:rsid w:val="00B250FA"/>
    <w:rsid w:val="00B26714"/>
    <w:rsid w:val="00B267CC"/>
    <w:rsid w:val="00B2792A"/>
    <w:rsid w:val="00B302BE"/>
    <w:rsid w:val="00B3095A"/>
    <w:rsid w:val="00B31C1C"/>
    <w:rsid w:val="00B32CE9"/>
    <w:rsid w:val="00B3359B"/>
    <w:rsid w:val="00B34398"/>
    <w:rsid w:val="00B346C0"/>
    <w:rsid w:val="00B360BE"/>
    <w:rsid w:val="00B4238D"/>
    <w:rsid w:val="00B4312F"/>
    <w:rsid w:val="00B43667"/>
    <w:rsid w:val="00B45E98"/>
    <w:rsid w:val="00B46520"/>
    <w:rsid w:val="00B5333C"/>
    <w:rsid w:val="00B56300"/>
    <w:rsid w:val="00B563B3"/>
    <w:rsid w:val="00B60F03"/>
    <w:rsid w:val="00B6137E"/>
    <w:rsid w:val="00B62B8E"/>
    <w:rsid w:val="00B62E42"/>
    <w:rsid w:val="00B636BA"/>
    <w:rsid w:val="00B643D7"/>
    <w:rsid w:val="00B645C9"/>
    <w:rsid w:val="00B64743"/>
    <w:rsid w:val="00B66116"/>
    <w:rsid w:val="00B66324"/>
    <w:rsid w:val="00B6687A"/>
    <w:rsid w:val="00B66C68"/>
    <w:rsid w:val="00B7145A"/>
    <w:rsid w:val="00B71BE0"/>
    <w:rsid w:val="00B723AC"/>
    <w:rsid w:val="00B72D3C"/>
    <w:rsid w:val="00B75944"/>
    <w:rsid w:val="00B761C1"/>
    <w:rsid w:val="00B7692D"/>
    <w:rsid w:val="00B76FC3"/>
    <w:rsid w:val="00B80B92"/>
    <w:rsid w:val="00B81717"/>
    <w:rsid w:val="00B81DBC"/>
    <w:rsid w:val="00B8285C"/>
    <w:rsid w:val="00B85298"/>
    <w:rsid w:val="00B874CB"/>
    <w:rsid w:val="00B87B68"/>
    <w:rsid w:val="00B9120B"/>
    <w:rsid w:val="00B9238B"/>
    <w:rsid w:val="00B9299B"/>
    <w:rsid w:val="00B9415B"/>
    <w:rsid w:val="00B95990"/>
    <w:rsid w:val="00B9610D"/>
    <w:rsid w:val="00BA06FC"/>
    <w:rsid w:val="00BA0B8B"/>
    <w:rsid w:val="00BA163F"/>
    <w:rsid w:val="00BA16F7"/>
    <w:rsid w:val="00BA2A77"/>
    <w:rsid w:val="00BA35FB"/>
    <w:rsid w:val="00BA42D2"/>
    <w:rsid w:val="00BA4B0E"/>
    <w:rsid w:val="00BA526B"/>
    <w:rsid w:val="00BA6F0F"/>
    <w:rsid w:val="00BA70B0"/>
    <w:rsid w:val="00BA7959"/>
    <w:rsid w:val="00BA7AC2"/>
    <w:rsid w:val="00BB2392"/>
    <w:rsid w:val="00BB2E9E"/>
    <w:rsid w:val="00BB32C5"/>
    <w:rsid w:val="00BB3CE8"/>
    <w:rsid w:val="00BB4317"/>
    <w:rsid w:val="00BB6456"/>
    <w:rsid w:val="00BB695D"/>
    <w:rsid w:val="00BB7DCF"/>
    <w:rsid w:val="00BC0ECB"/>
    <w:rsid w:val="00BC26AC"/>
    <w:rsid w:val="00BC3F0B"/>
    <w:rsid w:val="00BC56E1"/>
    <w:rsid w:val="00BC5CDA"/>
    <w:rsid w:val="00BC600F"/>
    <w:rsid w:val="00BC64C3"/>
    <w:rsid w:val="00BD041E"/>
    <w:rsid w:val="00BD0E36"/>
    <w:rsid w:val="00BD32F4"/>
    <w:rsid w:val="00BD60AE"/>
    <w:rsid w:val="00BD67F3"/>
    <w:rsid w:val="00BE022C"/>
    <w:rsid w:val="00BE08EB"/>
    <w:rsid w:val="00BE1691"/>
    <w:rsid w:val="00BE1CBF"/>
    <w:rsid w:val="00BE2C95"/>
    <w:rsid w:val="00BE2CCB"/>
    <w:rsid w:val="00BE3550"/>
    <w:rsid w:val="00BE4CB5"/>
    <w:rsid w:val="00BE4F1F"/>
    <w:rsid w:val="00BE58FE"/>
    <w:rsid w:val="00BF2381"/>
    <w:rsid w:val="00BF3487"/>
    <w:rsid w:val="00BF3A2C"/>
    <w:rsid w:val="00BF406D"/>
    <w:rsid w:val="00BF4331"/>
    <w:rsid w:val="00BF4492"/>
    <w:rsid w:val="00BF4613"/>
    <w:rsid w:val="00BF472B"/>
    <w:rsid w:val="00BF6BE8"/>
    <w:rsid w:val="00C0053D"/>
    <w:rsid w:val="00C0088E"/>
    <w:rsid w:val="00C01058"/>
    <w:rsid w:val="00C019E1"/>
    <w:rsid w:val="00C02362"/>
    <w:rsid w:val="00C03E73"/>
    <w:rsid w:val="00C042FA"/>
    <w:rsid w:val="00C04EBD"/>
    <w:rsid w:val="00C0618D"/>
    <w:rsid w:val="00C100D1"/>
    <w:rsid w:val="00C114A8"/>
    <w:rsid w:val="00C1177A"/>
    <w:rsid w:val="00C11F67"/>
    <w:rsid w:val="00C14F76"/>
    <w:rsid w:val="00C15359"/>
    <w:rsid w:val="00C157FE"/>
    <w:rsid w:val="00C16BC2"/>
    <w:rsid w:val="00C16D60"/>
    <w:rsid w:val="00C205BB"/>
    <w:rsid w:val="00C20CFB"/>
    <w:rsid w:val="00C215CD"/>
    <w:rsid w:val="00C220F5"/>
    <w:rsid w:val="00C23294"/>
    <w:rsid w:val="00C2503F"/>
    <w:rsid w:val="00C25418"/>
    <w:rsid w:val="00C3097C"/>
    <w:rsid w:val="00C3101C"/>
    <w:rsid w:val="00C31CCC"/>
    <w:rsid w:val="00C33D12"/>
    <w:rsid w:val="00C34556"/>
    <w:rsid w:val="00C376B8"/>
    <w:rsid w:val="00C37909"/>
    <w:rsid w:val="00C40426"/>
    <w:rsid w:val="00C40707"/>
    <w:rsid w:val="00C40C31"/>
    <w:rsid w:val="00C41C83"/>
    <w:rsid w:val="00C420E3"/>
    <w:rsid w:val="00C42C4E"/>
    <w:rsid w:val="00C433AD"/>
    <w:rsid w:val="00C43C57"/>
    <w:rsid w:val="00C44C7F"/>
    <w:rsid w:val="00C45C4F"/>
    <w:rsid w:val="00C45D07"/>
    <w:rsid w:val="00C46991"/>
    <w:rsid w:val="00C46ADF"/>
    <w:rsid w:val="00C47D73"/>
    <w:rsid w:val="00C50025"/>
    <w:rsid w:val="00C51929"/>
    <w:rsid w:val="00C52CBC"/>
    <w:rsid w:val="00C5430C"/>
    <w:rsid w:val="00C5675B"/>
    <w:rsid w:val="00C616F8"/>
    <w:rsid w:val="00C631E3"/>
    <w:rsid w:val="00C644C0"/>
    <w:rsid w:val="00C6471B"/>
    <w:rsid w:val="00C64A3D"/>
    <w:rsid w:val="00C65AD2"/>
    <w:rsid w:val="00C668FC"/>
    <w:rsid w:val="00C67BFB"/>
    <w:rsid w:val="00C67CD1"/>
    <w:rsid w:val="00C70719"/>
    <w:rsid w:val="00C7107E"/>
    <w:rsid w:val="00C71977"/>
    <w:rsid w:val="00C7281E"/>
    <w:rsid w:val="00C7445D"/>
    <w:rsid w:val="00C756CE"/>
    <w:rsid w:val="00C75F7A"/>
    <w:rsid w:val="00C776B3"/>
    <w:rsid w:val="00C848F5"/>
    <w:rsid w:val="00C84B87"/>
    <w:rsid w:val="00C85936"/>
    <w:rsid w:val="00C87918"/>
    <w:rsid w:val="00C90355"/>
    <w:rsid w:val="00C91CEC"/>
    <w:rsid w:val="00C9230E"/>
    <w:rsid w:val="00C925C0"/>
    <w:rsid w:val="00C92F0A"/>
    <w:rsid w:val="00C94BEB"/>
    <w:rsid w:val="00C96F46"/>
    <w:rsid w:val="00CA19F6"/>
    <w:rsid w:val="00CA24B8"/>
    <w:rsid w:val="00CA3EDB"/>
    <w:rsid w:val="00CA4A1A"/>
    <w:rsid w:val="00CA4C69"/>
    <w:rsid w:val="00CA5ECC"/>
    <w:rsid w:val="00CA6BAF"/>
    <w:rsid w:val="00CA712B"/>
    <w:rsid w:val="00CB02B8"/>
    <w:rsid w:val="00CB08F9"/>
    <w:rsid w:val="00CB1397"/>
    <w:rsid w:val="00CB212F"/>
    <w:rsid w:val="00CB2C71"/>
    <w:rsid w:val="00CB38B1"/>
    <w:rsid w:val="00CB4531"/>
    <w:rsid w:val="00CB52A6"/>
    <w:rsid w:val="00CC05C2"/>
    <w:rsid w:val="00CC1050"/>
    <w:rsid w:val="00CC27BA"/>
    <w:rsid w:val="00CC34E4"/>
    <w:rsid w:val="00CC515C"/>
    <w:rsid w:val="00CC5AE0"/>
    <w:rsid w:val="00CC608C"/>
    <w:rsid w:val="00CC6F24"/>
    <w:rsid w:val="00CD0FD3"/>
    <w:rsid w:val="00CD1512"/>
    <w:rsid w:val="00CD4A94"/>
    <w:rsid w:val="00CD5313"/>
    <w:rsid w:val="00CD62BE"/>
    <w:rsid w:val="00CD78AF"/>
    <w:rsid w:val="00CE0C7F"/>
    <w:rsid w:val="00CE2676"/>
    <w:rsid w:val="00CE42AE"/>
    <w:rsid w:val="00CE4D11"/>
    <w:rsid w:val="00CE4E03"/>
    <w:rsid w:val="00CE6EA1"/>
    <w:rsid w:val="00CE7351"/>
    <w:rsid w:val="00CE7D4E"/>
    <w:rsid w:val="00CE7F2F"/>
    <w:rsid w:val="00CF07EE"/>
    <w:rsid w:val="00CF07EF"/>
    <w:rsid w:val="00CF1A01"/>
    <w:rsid w:val="00CF3445"/>
    <w:rsid w:val="00CF42D5"/>
    <w:rsid w:val="00CF5791"/>
    <w:rsid w:val="00CF6510"/>
    <w:rsid w:val="00CF6C59"/>
    <w:rsid w:val="00CF739C"/>
    <w:rsid w:val="00CF7931"/>
    <w:rsid w:val="00D00A8E"/>
    <w:rsid w:val="00D016A2"/>
    <w:rsid w:val="00D01FDD"/>
    <w:rsid w:val="00D01FF4"/>
    <w:rsid w:val="00D02069"/>
    <w:rsid w:val="00D063F1"/>
    <w:rsid w:val="00D0681B"/>
    <w:rsid w:val="00D113E8"/>
    <w:rsid w:val="00D12B21"/>
    <w:rsid w:val="00D12C3B"/>
    <w:rsid w:val="00D1313D"/>
    <w:rsid w:val="00D1314B"/>
    <w:rsid w:val="00D1464B"/>
    <w:rsid w:val="00D151BC"/>
    <w:rsid w:val="00D1557C"/>
    <w:rsid w:val="00D161CC"/>
    <w:rsid w:val="00D21478"/>
    <w:rsid w:val="00D21BF6"/>
    <w:rsid w:val="00D22CEB"/>
    <w:rsid w:val="00D24BB2"/>
    <w:rsid w:val="00D25383"/>
    <w:rsid w:val="00D25C37"/>
    <w:rsid w:val="00D26416"/>
    <w:rsid w:val="00D26538"/>
    <w:rsid w:val="00D27A17"/>
    <w:rsid w:val="00D33849"/>
    <w:rsid w:val="00D33AE8"/>
    <w:rsid w:val="00D34917"/>
    <w:rsid w:val="00D35898"/>
    <w:rsid w:val="00D36BB8"/>
    <w:rsid w:val="00D42ED1"/>
    <w:rsid w:val="00D43505"/>
    <w:rsid w:val="00D44048"/>
    <w:rsid w:val="00D45978"/>
    <w:rsid w:val="00D45A15"/>
    <w:rsid w:val="00D4690D"/>
    <w:rsid w:val="00D47719"/>
    <w:rsid w:val="00D51266"/>
    <w:rsid w:val="00D5364F"/>
    <w:rsid w:val="00D5545D"/>
    <w:rsid w:val="00D60164"/>
    <w:rsid w:val="00D61BD4"/>
    <w:rsid w:val="00D62DFD"/>
    <w:rsid w:val="00D665A6"/>
    <w:rsid w:val="00D66794"/>
    <w:rsid w:val="00D6696C"/>
    <w:rsid w:val="00D66BD1"/>
    <w:rsid w:val="00D66C29"/>
    <w:rsid w:val="00D6736B"/>
    <w:rsid w:val="00D72690"/>
    <w:rsid w:val="00D729F2"/>
    <w:rsid w:val="00D73675"/>
    <w:rsid w:val="00D74AE1"/>
    <w:rsid w:val="00D76A56"/>
    <w:rsid w:val="00D771D8"/>
    <w:rsid w:val="00D773F7"/>
    <w:rsid w:val="00D776B1"/>
    <w:rsid w:val="00D800A7"/>
    <w:rsid w:val="00D80734"/>
    <w:rsid w:val="00D80AF7"/>
    <w:rsid w:val="00D82E38"/>
    <w:rsid w:val="00D82FB3"/>
    <w:rsid w:val="00D87ACE"/>
    <w:rsid w:val="00D9194F"/>
    <w:rsid w:val="00D91BE7"/>
    <w:rsid w:val="00D92335"/>
    <w:rsid w:val="00D93602"/>
    <w:rsid w:val="00D93B91"/>
    <w:rsid w:val="00D93C21"/>
    <w:rsid w:val="00D93DCB"/>
    <w:rsid w:val="00D94A0E"/>
    <w:rsid w:val="00D9663A"/>
    <w:rsid w:val="00D9686B"/>
    <w:rsid w:val="00D97DB4"/>
    <w:rsid w:val="00DA04B3"/>
    <w:rsid w:val="00DA06D3"/>
    <w:rsid w:val="00DA1471"/>
    <w:rsid w:val="00DA2FF3"/>
    <w:rsid w:val="00DA3402"/>
    <w:rsid w:val="00DA3A8F"/>
    <w:rsid w:val="00DA42C1"/>
    <w:rsid w:val="00DA4C9B"/>
    <w:rsid w:val="00DA5BC0"/>
    <w:rsid w:val="00DA6109"/>
    <w:rsid w:val="00DA610F"/>
    <w:rsid w:val="00DB077D"/>
    <w:rsid w:val="00DB167E"/>
    <w:rsid w:val="00DB1C0C"/>
    <w:rsid w:val="00DB45F2"/>
    <w:rsid w:val="00DB4C76"/>
    <w:rsid w:val="00DB4F28"/>
    <w:rsid w:val="00DB54F0"/>
    <w:rsid w:val="00DB5986"/>
    <w:rsid w:val="00DB70F2"/>
    <w:rsid w:val="00DC0D73"/>
    <w:rsid w:val="00DC3AA5"/>
    <w:rsid w:val="00DC4CDA"/>
    <w:rsid w:val="00DC5028"/>
    <w:rsid w:val="00DC55C3"/>
    <w:rsid w:val="00DC5EDB"/>
    <w:rsid w:val="00DD0F47"/>
    <w:rsid w:val="00DD0FFD"/>
    <w:rsid w:val="00DD1572"/>
    <w:rsid w:val="00DD3034"/>
    <w:rsid w:val="00DD3B2D"/>
    <w:rsid w:val="00DD59FC"/>
    <w:rsid w:val="00DD6B9C"/>
    <w:rsid w:val="00DD7128"/>
    <w:rsid w:val="00DD7787"/>
    <w:rsid w:val="00DE004E"/>
    <w:rsid w:val="00DE081B"/>
    <w:rsid w:val="00DE135E"/>
    <w:rsid w:val="00DE1BB4"/>
    <w:rsid w:val="00DE3B11"/>
    <w:rsid w:val="00DE6D57"/>
    <w:rsid w:val="00DF0D43"/>
    <w:rsid w:val="00DF0FDD"/>
    <w:rsid w:val="00DF3A46"/>
    <w:rsid w:val="00DF56E8"/>
    <w:rsid w:val="00DF6597"/>
    <w:rsid w:val="00DF6CFB"/>
    <w:rsid w:val="00DF71AC"/>
    <w:rsid w:val="00E007A1"/>
    <w:rsid w:val="00E00EF0"/>
    <w:rsid w:val="00E021A6"/>
    <w:rsid w:val="00E025E6"/>
    <w:rsid w:val="00E0302A"/>
    <w:rsid w:val="00E044D1"/>
    <w:rsid w:val="00E04C2F"/>
    <w:rsid w:val="00E0700D"/>
    <w:rsid w:val="00E1247A"/>
    <w:rsid w:val="00E127F5"/>
    <w:rsid w:val="00E1396D"/>
    <w:rsid w:val="00E14D8D"/>
    <w:rsid w:val="00E1568F"/>
    <w:rsid w:val="00E15C01"/>
    <w:rsid w:val="00E15ED0"/>
    <w:rsid w:val="00E16359"/>
    <w:rsid w:val="00E16FD4"/>
    <w:rsid w:val="00E17F4A"/>
    <w:rsid w:val="00E218E8"/>
    <w:rsid w:val="00E21F0D"/>
    <w:rsid w:val="00E221C4"/>
    <w:rsid w:val="00E22827"/>
    <w:rsid w:val="00E23DE7"/>
    <w:rsid w:val="00E25582"/>
    <w:rsid w:val="00E25754"/>
    <w:rsid w:val="00E258C0"/>
    <w:rsid w:val="00E27EB8"/>
    <w:rsid w:val="00E31D7F"/>
    <w:rsid w:val="00E31DA5"/>
    <w:rsid w:val="00E31EFC"/>
    <w:rsid w:val="00E32066"/>
    <w:rsid w:val="00E33980"/>
    <w:rsid w:val="00E3407F"/>
    <w:rsid w:val="00E341D8"/>
    <w:rsid w:val="00E36133"/>
    <w:rsid w:val="00E364DD"/>
    <w:rsid w:val="00E4061C"/>
    <w:rsid w:val="00E44510"/>
    <w:rsid w:val="00E45EBC"/>
    <w:rsid w:val="00E460EE"/>
    <w:rsid w:val="00E462A5"/>
    <w:rsid w:val="00E47C67"/>
    <w:rsid w:val="00E50009"/>
    <w:rsid w:val="00E504A2"/>
    <w:rsid w:val="00E507FC"/>
    <w:rsid w:val="00E518DC"/>
    <w:rsid w:val="00E52E0C"/>
    <w:rsid w:val="00E531D2"/>
    <w:rsid w:val="00E54351"/>
    <w:rsid w:val="00E547C1"/>
    <w:rsid w:val="00E54F58"/>
    <w:rsid w:val="00E55028"/>
    <w:rsid w:val="00E55526"/>
    <w:rsid w:val="00E5778F"/>
    <w:rsid w:val="00E60346"/>
    <w:rsid w:val="00E60A96"/>
    <w:rsid w:val="00E61383"/>
    <w:rsid w:val="00E6258F"/>
    <w:rsid w:val="00E626E1"/>
    <w:rsid w:val="00E62F73"/>
    <w:rsid w:val="00E63554"/>
    <w:rsid w:val="00E64E0F"/>
    <w:rsid w:val="00E70C37"/>
    <w:rsid w:val="00E717B0"/>
    <w:rsid w:val="00E72DF1"/>
    <w:rsid w:val="00E73104"/>
    <w:rsid w:val="00E73E2F"/>
    <w:rsid w:val="00E74322"/>
    <w:rsid w:val="00E75EA0"/>
    <w:rsid w:val="00E7620C"/>
    <w:rsid w:val="00E768CF"/>
    <w:rsid w:val="00E8243E"/>
    <w:rsid w:val="00E82A67"/>
    <w:rsid w:val="00E848C9"/>
    <w:rsid w:val="00E85503"/>
    <w:rsid w:val="00E856F1"/>
    <w:rsid w:val="00E86217"/>
    <w:rsid w:val="00E86BE1"/>
    <w:rsid w:val="00E90A3B"/>
    <w:rsid w:val="00E90FE0"/>
    <w:rsid w:val="00E9329B"/>
    <w:rsid w:val="00E95383"/>
    <w:rsid w:val="00E95CF0"/>
    <w:rsid w:val="00E97407"/>
    <w:rsid w:val="00E97740"/>
    <w:rsid w:val="00EA2D4C"/>
    <w:rsid w:val="00EA510C"/>
    <w:rsid w:val="00EA582B"/>
    <w:rsid w:val="00EA6A06"/>
    <w:rsid w:val="00EA6C1C"/>
    <w:rsid w:val="00EA7BEB"/>
    <w:rsid w:val="00EB0954"/>
    <w:rsid w:val="00EB206A"/>
    <w:rsid w:val="00EB2B28"/>
    <w:rsid w:val="00EB3919"/>
    <w:rsid w:val="00EB4A4D"/>
    <w:rsid w:val="00EB507F"/>
    <w:rsid w:val="00EC51C5"/>
    <w:rsid w:val="00EC5FBD"/>
    <w:rsid w:val="00EC627D"/>
    <w:rsid w:val="00ED20C4"/>
    <w:rsid w:val="00ED4062"/>
    <w:rsid w:val="00ED42C6"/>
    <w:rsid w:val="00ED47A4"/>
    <w:rsid w:val="00ED51BE"/>
    <w:rsid w:val="00ED5339"/>
    <w:rsid w:val="00ED6BF6"/>
    <w:rsid w:val="00ED7724"/>
    <w:rsid w:val="00ED7D70"/>
    <w:rsid w:val="00EE0DB9"/>
    <w:rsid w:val="00EE0F65"/>
    <w:rsid w:val="00EE1380"/>
    <w:rsid w:val="00EE2343"/>
    <w:rsid w:val="00EE25E5"/>
    <w:rsid w:val="00EE5F62"/>
    <w:rsid w:val="00EE6049"/>
    <w:rsid w:val="00EE60D8"/>
    <w:rsid w:val="00EE615C"/>
    <w:rsid w:val="00EF07D4"/>
    <w:rsid w:val="00EF4904"/>
    <w:rsid w:val="00EF6112"/>
    <w:rsid w:val="00F00027"/>
    <w:rsid w:val="00F01498"/>
    <w:rsid w:val="00F01943"/>
    <w:rsid w:val="00F01F96"/>
    <w:rsid w:val="00F0263A"/>
    <w:rsid w:val="00F03784"/>
    <w:rsid w:val="00F03BA3"/>
    <w:rsid w:val="00F10909"/>
    <w:rsid w:val="00F13D17"/>
    <w:rsid w:val="00F14472"/>
    <w:rsid w:val="00F14F81"/>
    <w:rsid w:val="00F15C9C"/>
    <w:rsid w:val="00F16436"/>
    <w:rsid w:val="00F17AC8"/>
    <w:rsid w:val="00F22598"/>
    <w:rsid w:val="00F22836"/>
    <w:rsid w:val="00F231EE"/>
    <w:rsid w:val="00F23C9F"/>
    <w:rsid w:val="00F24B23"/>
    <w:rsid w:val="00F260E8"/>
    <w:rsid w:val="00F302CF"/>
    <w:rsid w:val="00F307D2"/>
    <w:rsid w:val="00F31146"/>
    <w:rsid w:val="00F31F61"/>
    <w:rsid w:val="00F3212D"/>
    <w:rsid w:val="00F3645B"/>
    <w:rsid w:val="00F428DF"/>
    <w:rsid w:val="00F452FD"/>
    <w:rsid w:val="00F46BDE"/>
    <w:rsid w:val="00F47603"/>
    <w:rsid w:val="00F511CC"/>
    <w:rsid w:val="00F53E5C"/>
    <w:rsid w:val="00F555D8"/>
    <w:rsid w:val="00F55891"/>
    <w:rsid w:val="00F559CF"/>
    <w:rsid w:val="00F6042B"/>
    <w:rsid w:val="00F60A94"/>
    <w:rsid w:val="00F60B2D"/>
    <w:rsid w:val="00F62B8F"/>
    <w:rsid w:val="00F62F2D"/>
    <w:rsid w:val="00F645FB"/>
    <w:rsid w:val="00F64A98"/>
    <w:rsid w:val="00F664C3"/>
    <w:rsid w:val="00F66E10"/>
    <w:rsid w:val="00F67388"/>
    <w:rsid w:val="00F67437"/>
    <w:rsid w:val="00F700C0"/>
    <w:rsid w:val="00F7020C"/>
    <w:rsid w:val="00F71216"/>
    <w:rsid w:val="00F71451"/>
    <w:rsid w:val="00F717A1"/>
    <w:rsid w:val="00F71F5F"/>
    <w:rsid w:val="00F724EF"/>
    <w:rsid w:val="00F72628"/>
    <w:rsid w:val="00F72638"/>
    <w:rsid w:val="00F72F7C"/>
    <w:rsid w:val="00F75A63"/>
    <w:rsid w:val="00F76AF9"/>
    <w:rsid w:val="00F8021C"/>
    <w:rsid w:val="00F80438"/>
    <w:rsid w:val="00F819D4"/>
    <w:rsid w:val="00F81C31"/>
    <w:rsid w:val="00F82ACB"/>
    <w:rsid w:val="00F83075"/>
    <w:rsid w:val="00F83553"/>
    <w:rsid w:val="00F83E9C"/>
    <w:rsid w:val="00F84624"/>
    <w:rsid w:val="00F86987"/>
    <w:rsid w:val="00F87DBC"/>
    <w:rsid w:val="00F87DF5"/>
    <w:rsid w:val="00F90B54"/>
    <w:rsid w:val="00F93B3F"/>
    <w:rsid w:val="00F93EB2"/>
    <w:rsid w:val="00F946DC"/>
    <w:rsid w:val="00F957C8"/>
    <w:rsid w:val="00F96F5A"/>
    <w:rsid w:val="00F974C3"/>
    <w:rsid w:val="00F97D7F"/>
    <w:rsid w:val="00FA059F"/>
    <w:rsid w:val="00FA5B8A"/>
    <w:rsid w:val="00FA6C6A"/>
    <w:rsid w:val="00FA75A3"/>
    <w:rsid w:val="00FA7C12"/>
    <w:rsid w:val="00FB0339"/>
    <w:rsid w:val="00FB274C"/>
    <w:rsid w:val="00FB29DB"/>
    <w:rsid w:val="00FB2E70"/>
    <w:rsid w:val="00FB5BF2"/>
    <w:rsid w:val="00FB6083"/>
    <w:rsid w:val="00FB74EE"/>
    <w:rsid w:val="00FB776B"/>
    <w:rsid w:val="00FB793A"/>
    <w:rsid w:val="00FC0028"/>
    <w:rsid w:val="00FC0DBD"/>
    <w:rsid w:val="00FC20D8"/>
    <w:rsid w:val="00FC2784"/>
    <w:rsid w:val="00FC312C"/>
    <w:rsid w:val="00FC3C63"/>
    <w:rsid w:val="00FC69BD"/>
    <w:rsid w:val="00FD0EBE"/>
    <w:rsid w:val="00FD2561"/>
    <w:rsid w:val="00FD3799"/>
    <w:rsid w:val="00FD3E56"/>
    <w:rsid w:val="00FD44C8"/>
    <w:rsid w:val="00FD4ABB"/>
    <w:rsid w:val="00FD55CD"/>
    <w:rsid w:val="00FD6B42"/>
    <w:rsid w:val="00FD7BE4"/>
    <w:rsid w:val="00FE1EBC"/>
    <w:rsid w:val="00FE2B85"/>
    <w:rsid w:val="00FE4C49"/>
    <w:rsid w:val="00FF0648"/>
    <w:rsid w:val="00FF1625"/>
    <w:rsid w:val="00FF1D70"/>
    <w:rsid w:val="00FF36A3"/>
    <w:rsid w:val="00FF4478"/>
    <w:rsid w:val="00FF457C"/>
    <w:rsid w:val="00FF5BC2"/>
    <w:rsid w:val="00FF6901"/>
    <w:rsid w:val="00FF6AA7"/>
    <w:rsid w:val="00FF7151"/>
    <w:rsid w:val="00FF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ABB2"/>
  <w15:chartTrackingRefBased/>
  <w15:docId w15:val="{EBE996C5-81FB-49B9-A8DC-5C5B2AD5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526B"/>
    <w:pPr>
      <w:tabs>
        <w:tab w:val="center" w:pos="4153"/>
        <w:tab w:val="right" w:pos="8306"/>
      </w:tabs>
      <w:snapToGrid w:val="0"/>
      <w:jc w:val="center"/>
    </w:pPr>
    <w:rPr>
      <w:sz w:val="18"/>
      <w:szCs w:val="18"/>
    </w:rPr>
  </w:style>
  <w:style w:type="character" w:customStyle="1" w:styleId="a4">
    <w:name w:val="页眉 字符"/>
    <w:basedOn w:val="a0"/>
    <w:link w:val="a3"/>
    <w:uiPriority w:val="99"/>
    <w:rsid w:val="00BA526B"/>
    <w:rPr>
      <w:sz w:val="18"/>
      <w:szCs w:val="18"/>
    </w:rPr>
  </w:style>
  <w:style w:type="paragraph" w:styleId="a5">
    <w:name w:val="footer"/>
    <w:basedOn w:val="a"/>
    <w:link w:val="a6"/>
    <w:uiPriority w:val="99"/>
    <w:unhideWhenUsed/>
    <w:rsid w:val="00BA526B"/>
    <w:pPr>
      <w:tabs>
        <w:tab w:val="center" w:pos="4153"/>
        <w:tab w:val="right" w:pos="8306"/>
      </w:tabs>
      <w:snapToGrid w:val="0"/>
      <w:jc w:val="left"/>
    </w:pPr>
    <w:rPr>
      <w:sz w:val="18"/>
      <w:szCs w:val="18"/>
    </w:rPr>
  </w:style>
  <w:style w:type="character" w:customStyle="1" w:styleId="a6">
    <w:name w:val="页脚 字符"/>
    <w:basedOn w:val="a0"/>
    <w:link w:val="a5"/>
    <w:uiPriority w:val="99"/>
    <w:rsid w:val="00BA526B"/>
    <w:rPr>
      <w:sz w:val="18"/>
      <w:szCs w:val="18"/>
    </w:rPr>
  </w:style>
  <w:style w:type="paragraph" w:styleId="a7">
    <w:name w:val="List Paragraph"/>
    <w:basedOn w:val="a"/>
    <w:uiPriority w:val="34"/>
    <w:qFormat/>
    <w:rsid w:val="001C631A"/>
    <w:pPr>
      <w:ind w:firstLineChars="200" w:firstLine="420"/>
    </w:pPr>
  </w:style>
  <w:style w:type="character" w:styleId="a8">
    <w:name w:val="Placeholder Text"/>
    <w:basedOn w:val="a0"/>
    <w:uiPriority w:val="99"/>
    <w:semiHidden/>
    <w:rsid w:val="0046120B"/>
    <w:rPr>
      <w:color w:val="666666"/>
    </w:rPr>
  </w:style>
  <w:style w:type="paragraph" w:styleId="a9">
    <w:name w:val="Revision"/>
    <w:hidden/>
    <w:uiPriority w:val="99"/>
    <w:semiHidden/>
    <w:rsid w:val="0083140E"/>
  </w:style>
  <w:style w:type="character" w:styleId="aa">
    <w:name w:val="annotation reference"/>
    <w:basedOn w:val="a0"/>
    <w:uiPriority w:val="99"/>
    <w:semiHidden/>
    <w:unhideWhenUsed/>
    <w:rsid w:val="0083140E"/>
    <w:rPr>
      <w:sz w:val="21"/>
      <w:szCs w:val="21"/>
    </w:rPr>
  </w:style>
  <w:style w:type="paragraph" w:styleId="ab">
    <w:name w:val="annotation text"/>
    <w:basedOn w:val="a"/>
    <w:link w:val="ac"/>
    <w:uiPriority w:val="99"/>
    <w:unhideWhenUsed/>
    <w:rsid w:val="0083140E"/>
    <w:pPr>
      <w:jc w:val="left"/>
    </w:pPr>
  </w:style>
  <w:style w:type="character" w:customStyle="1" w:styleId="ac">
    <w:name w:val="批注文字 字符"/>
    <w:basedOn w:val="a0"/>
    <w:link w:val="ab"/>
    <w:uiPriority w:val="99"/>
    <w:rsid w:val="0083140E"/>
  </w:style>
  <w:style w:type="paragraph" w:styleId="ad">
    <w:name w:val="annotation subject"/>
    <w:basedOn w:val="ab"/>
    <w:next w:val="ab"/>
    <w:link w:val="ae"/>
    <w:uiPriority w:val="99"/>
    <w:semiHidden/>
    <w:unhideWhenUsed/>
    <w:rsid w:val="0083140E"/>
    <w:rPr>
      <w:b/>
      <w:bCs/>
    </w:rPr>
  </w:style>
  <w:style w:type="character" w:customStyle="1" w:styleId="ae">
    <w:name w:val="批注主题 字符"/>
    <w:basedOn w:val="ac"/>
    <w:link w:val="ad"/>
    <w:uiPriority w:val="99"/>
    <w:semiHidden/>
    <w:rsid w:val="0083140E"/>
    <w:rPr>
      <w:b/>
      <w:bCs/>
    </w:rPr>
  </w:style>
  <w:style w:type="paragraph" w:styleId="af">
    <w:name w:val="No Spacing"/>
    <w:uiPriority w:val="1"/>
    <w:qFormat/>
    <w:rsid w:val="00EA6A06"/>
    <w:pPr>
      <w:widowControl w:val="0"/>
      <w:jc w:val="both"/>
    </w:pPr>
  </w:style>
  <w:style w:type="paragraph" w:styleId="af0">
    <w:name w:val="caption"/>
    <w:basedOn w:val="a"/>
    <w:next w:val="a"/>
    <w:uiPriority w:val="35"/>
    <w:unhideWhenUsed/>
    <w:qFormat/>
    <w:rsid w:val="00D93C21"/>
    <w:rPr>
      <w:rFonts w:asciiTheme="majorHAnsi" w:eastAsia="黑体" w:hAnsiTheme="majorHAnsi" w:cstheme="majorBidi"/>
      <w:sz w:val="20"/>
      <w:szCs w:val="20"/>
    </w:rPr>
  </w:style>
  <w:style w:type="paragraph" w:customStyle="1" w:styleId="ListParagraph1">
    <w:name w:val="List Paragraph1"/>
    <w:basedOn w:val="a"/>
    <w:qFormat/>
    <w:rsid w:val="00E21F0D"/>
    <w:pPr>
      <w:ind w:firstLine="420"/>
    </w:pPr>
    <w:rPr>
      <w:rFonts w:ascii="Times New Roman" w:eastAsia="宋体" w:hAnsi="Times New Roman" w:cs="Times New Roman"/>
      <w:kern w:val="0"/>
      <w:szCs w:val="20"/>
      <w14:ligatures w14:val="none"/>
    </w:rPr>
  </w:style>
  <w:style w:type="character" w:customStyle="1" w:styleId="mord">
    <w:name w:val="mord"/>
    <w:basedOn w:val="a0"/>
    <w:rsid w:val="009D2B76"/>
  </w:style>
  <w:style w:type="character" w:customStyle="1" w:styleId="vlist-s">
    <w:name w:val="vlist-s"/>
    <w:basedOn w:val="a0"/>
    <w:rsid w:val="009D2B76"/>
  </w:style>
  <w:style w:type="paragraph" w:customStyle="1" w:styleId="11">
    <w:name w:val="标题 11"/>
    <w:pPr>
      <w:outlineLvl w:val="0"/>
    </w:pPr>
    <w:rPr>
      <w:rFonts w:ascii="Times New Roman" w:eastAsia="黑体" w:hAnsi="Times New Roman"/>
      <w:b/>
      <w:color w:val="000000"/>
      <w:sz w:val="28"/>
    </w:rPr>
  </w:style>
  <w:style w:type="paragraph" w:customStyle="1" w:styleId="21">
    <w:name w:val="标题 21"/>
    <w:pPr>
      <w:outlineLvl w:val="1"/>
    </w:pPr>
    <w:rPr>
      <w:rFonts w:ascii="Times New Roman" w:eastAsia="黑体" w:hAnsi="Times New Roman"/>
      <w:b/>
      <w:color w:val="000000"/>
      <w:sz w:val="24"/>
    </w:rPr>
  </w:style>
  <w:style w:type="paragraph" w:customStyle="1" w:styleId="31">
    <w:name w:val="标题 31"/>
    <w:pPr>
      <w:outlineLvl w:val="2"/>
    </w:pPr>
    <w:rPr>
      <w:rFonts w:ascii="Times New Roman" w:eastAsia="黑体" w:hAnsi="Times New Roman"/>
      <w:b/>
      <w:color w:val="000000"/>
      <w:sz w:val="22"/>
    </w:rPr>
  </w:style>
  <w:style w:type="paragraph" w:customStyle="1" w:styleId="SourceCode">
    <w:name w:val="Source Code"/>
    <w:rsid w:val="009E6F54"/>
    <w:pPr>
      <w:wordWrap w:val="0"/>
    </w:pPr>
  </w:style>
  <w:style w:type="character" w:customStyle="1" w:styleId="KeywordTok">
    <w:name w:val="KeywordTok"/>
    <w:rsid w:val="009E6F54"/>
    <w:rPr>
      <w:b/>
      <w:color w:val="007020"/>
    </w:rPr>
  </w:style>
  <w:style w:type="character" w:customStyle="1" w:styleId="DataTypeTok">
    <w:name w:val="DataTypeTok"/>
    <w:rsid w:val="009E6F54"/>
    <w:rPr>
      <w:color w:val="902000"/>
    </w:rPr>
  </w:style>
  <w:style w:type="character" w:customStyle="1" w:styleId="DecValTok">
    <w:name w:val="DecValTok"/>
    <w:rsid w:val="009E6F54"/>
    <w:rPr>
      <w:color w:val="40A070"/>
    </w:rPr>
  </w:style>
  <w:style w:type="character" w:customStyle="1" w:styleId="BaseNTok">
    <w:name w:val="BaseNTok"/>
    <w:rsid w:val="009E6F54"/>
    <w:rPr>
      <w:color w:val="40A070"/>
    </w:rPr>
  </w:style>
  <w:style w:type="character" w:customStyle="1" w:styleId="FloatTok">
    <w:name w:val="FloatTok"/>
    <w:rsid w:val="009E6F54"/>
    <w:rPr>
      <w:color w:val="40A070"/>
    </w:rPr>
  </w:style>
  <w:style w:type="character" w:customStyle="1" w:styleId="ConstantTok">
    <w:name w:val="ConstantTok"/>
    <w:rsid w:val="009E6F54"/>
    <w:rPr>
      <w:color w:val="880000"/>
    </w:rPr>
  </w:style>
  <w:style w:type="character" w:customStyle="1" w:styleId="CharTok">
    <w:name w:val="CharTok"/>
    <w:rsid w:val="009E6F54"/>
    <w:rPr>
      <w:color w:val="4070A0"/>
    </w:rPr>
  </w:style>
  <w:style w:type="character" w:customStyle="1" w:styleId="SpecialCharTok">
    <w:name w:val="SpecialCharTok"/>
    <w:rsid w:val="009E6F54"/>
    <w:rPr>
      <w:color w:val="4070A0"/>
    </w:rPr>
  </w:style>
  <w:style w:type="character" w:customStyle="1" w:styleId="StringTok">
    <w:name w:val="StringTok"/>
    <w:rsid w:val="009E6F54"/>
    <w:rPr>
      <w:color w:val="4070A0"/>
    </w:rPr>
  </w:style>
  <w:style w:type="character" w:customStyle="1" w:styleId="VerbatimStringTok">
    <w:name w:val="VerbatimStringTok"/>
    <w:rsid w:val="009E6F54"/>
    <w:rPr>
      <w:color w:val="4070A0"/>
    </w:rPr>
  </w:style>
  <w:style w:type="character" w:customStyle="1" w:styleId="SpecialStringTok">
    <w:name w:val="SpecialStringTok"/>
    <w:rsid w:val="009E6F54"/>
    <w:rPr>
      <w:color w:val="BB6688"/>
    </w:rPr>
  </w:style>
  <w:style w:type="character" w:customStyle="1" w:styleId="ImportTok">
    <w:name w:val="ImportTok"/>
    <w:rsid w:val="009E6F54"/>
    <w:rPr>
      <w:b/>
      <w:color w:val="008000"/>
    </w:rPr>
  </w:style>
  <w:style w:type="character" w:customStyle="1" w:styleId="CommentTok">
    <w:name w:val="CommentTok"/>
    <w:rsid w:val="009E6F54"/>
    <w:rPr>
      <w:i/>
      <w:color w:val="60A0B0"/>
    </w:rPr>
  </w:style>
  <w:style w:type="character" w:customStyle="1" w:styleId="DocumentationTok">
    <w:name w:val="DocumentationTok"/>
    <w:rsid w:val="009E6F54"/>
    <w:rPr>
      <w:i/>
      <w:color w:val="BA2121"/>
    </w:rPr>
  </w:style>
  <w:style w:type="character" w:customStyle="1" w:styleId="AnnotationTok">
    <w:name w:val="AnnotationTok"/>
    <w:rsid w:val="009E6F54"/>
    <w:rPr>
      <w:b/>
      <w:i/>
      <w:color w:val="60A0B0"/>
    </w:rPr>
  </w:style>
  <w:style w:type="character" w:customStyle="1" w:styleId="CommentVarTok">
    <w:name w:val="CommentVarTok"/>
    <w:rsid w:val="009E6F54"/>
    <w:rPr>
      <w:b/>
      <w:i/>
      <w:color w:val="60A0B0"/>
    </w:rPr>
  </w:style>
  <w:style w:type="character" w:customStyle="1" w:styleId="OtherTok">
    <w:name w:val="OtherTok"/>
    <w:rsid w:val="009E6F54"/>
    <w:rPr>
      <w:color w:val="007020"/>
    </w:rPr>
  </w:style>
  <w:style w:type="character" w:customStyle="1" w:styleId="FunctionTok">
    <w:name w:val="FunctionTok"/>
    <w:rsid w:val="009E6F54"/>
    <w:rPr>
      <w:color w:val="06287E"/>
    </w:rPr>
  </w:style>
  <w:style w:type="character" w:customStyle="1" w:styleId="VariableTok">
    <w:name w:val="VariableTok"/>
    <w:rsid w:val="009E6F54"/>
    <w:rPr>
      <w:color w:val="19177C"/>
    </w:rPr>
  </w:style>
  <w:style w:type="character" w:customStyle="1" w:styleId="ControlFlowTok">
    <w:name w:val="ControlFlowTok"/>
    <w:rsid w:val="009E6F54"/>
    <w:rPr>
      <w:b/>
      <w:color w:val="007020"/>
    </w:rPr>
  </w:style>
  <w:style w:type="character" w:customStyle="1" w:styleId="OperatorTok">
    <w:name w:val="OperatorTok"/>
    <w:rsid w:val="009E6F54"/>
    <w:rPr>
      <w:color w:val="666666"/>
    </w:rPr>
  </w:style>
  <w:style w:type="character" w:customStyle="1" w:styleId="BuiltInTok">
    <w:name w:val="BuiltInTok"/>
    <w:rsid w:val="009E6F54"/>
    <w:rPr>
      <w:color w:val="008000"/>
    </w:rPr>
  </w:style>
  <w:style w:type="character" w:customStyle="1" w:styleId="ExtensionTok">
    <w:name w:val="ExtensionTok"/>
    <w:rsid w:val="009E6F54"/>
  </w:style>
  <w:style w:type="character" w:customStyle="1" w:styleId="PreprocessorTok">
    <w:name w:val="PreprocessorTok"/>
    <w:rsid w:val="009E6F54"/>
    <w:rPr>
      <w:color w:val="BC7A00"/>
    </w:rPr>
  </w:style>
  <w:style w:type="character" w:customStyle="1" w:styleId="AttributeTok">
    <w:name w:val="AttributeTok"/>
    <w:rsid w:val="009E6F54"/>
    <w:rPr>
      <w:color w:val="7D9029"/>
    </w:rPr>
  </w:style>
  <w:style w:type="character" w:customStyle="1" w:styleId="RegionMarkerTok">
    <w:name w:val="RegionMarkerTok"/>
    <w:rsid w:val="009E6F54"/>
  </w:style>
  <w:style w:type="character" w:customStyle="1" w:styleId="InformationTok">
    <w:name w:val="InformationTok"/>
    <w:rsid w:val="009E6F54"/>
    <w:rPr>
      <w:b/>
      <w:i/>
      <w:color w:val="60A0B0"/>
    </w:rPr>
  </w:style>
  <w:style w:type="character" w:customStyle="1" w:styleId="WarningTok">
    <w:name w:val="WarningTok"/>
    <w:rsid w:val="009E6F54"/>
    <w:rPr>
      <w:b/>
      <w:i/>
      <w:color w:val="60A0B0"/>
    </w:rPr>
  </w:style>
  <w:style w:type="character" w:customStyle="1" w:styleId="AlertTok">
    <w:name w:val="AlertTok"/>
    <w:rsid w:val="009E6F54"/>
    <w:rPr>
      <w:b/>
      <w:color w:val="FF0000"/>
    </w:rPr>
  </w:style>
  <w:style w:type="character" w:customStyle="1" w:styleId="ErrorTok">
    <w:name w:val="ErrorTok"/>
    <w:rsid w:val="009E6F54"/>
    <w:rPr>
      <w:b/>
      <w:color w:val="FF0000"/>
    </w:rPr>
  </w:style>
  <w:style w:type="character" w:customStyle="1" w:styleId="NormalTok">
    <w:name w:val="NormalTok"/>
    <w:rsid w:val="009E6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184414">
      <w:bodyDiv w:val="1"/>
      <w:marLeft w:val="0"/>
      <w:marRight w:val="0"/>
      <w:marTop w:val="0"/>
      <w:marBottom w:val="0"/>
      <w:divBdr>
        <w:top w:val="none" w:sz="0" w:space="0" w:color="auto"/>
        <w:left w:val="none" w:sz="0" w:space="0" w:color="auto"/>
        <w:bottom w:val="none" w:sz="0" w:space="0" w:color="auto"/>
        <w:right w:val="none" w:sz="0" w:space="0" w:color="auto"/>
      </w:divBdr>
    </w:div>
    <w:div w:id="200666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tents.google.com/patent/CN115907250A/zh"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tents.google.com/patent/CN112039742A/zh"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arxiv.org/abs/2209.10021" TargetMode="External"/><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N120308157A/zh" TargetMode="External"/><Relationship Id="rId24" Type="http://schemas.openxmlformats.org/officeDocument/2006/relationships/image" Target="media/image8.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atents.google.com/patent/US12007778B2/en" TargetMode="External"/><Relationship Id="rId23" Type="http://schemas.openxmlformats.org/officeDocument/2006/relationships/image" Target="media/image7.png"/><Relationship Id="rId28" Type="http://schemas.openxmlformats.org/officeDocument/2006/relationships/header" Target="header1.xml"/><Relationship Id="rId10" Type="http://schemas.openxmlformats.org/officeDocument/2006/relationships/hyperlink" Target="https://patents.google.com/patent/CN120517441A/zh" TargetMode="Externa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atents.google.com/patent/US11731648B2/en" TargetMode="External"/><Relationship Id="rId14" Type="http://schemas.openxmlformats.org/officeDocument/2006/relationships/hyperlink" Target="https://patents.google.com/patent/US20220171353A1/en"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patents.google.com/patent/CN119734760A/z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E2D74-1270-4362-A5DF-66F95F192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2443</Words>
  <Characters>13927</Characters>
  <Application>Microsoft Office Word</Application>
  <DocSecurity>0</DocSecurity>
  <Lines>116</Lines>
  <Paragraphs>32</Paragraphs>
  <ScaleCrop>false</ScaleCrop>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subject>专利技术交底书代理人正式稿</dc:subject>
  <dc:creator/>
  <cp:keywords>可微控制；参数整定；车辆动力学；横纵向控制；硬逻辑复验</cp:keywords>
  <dc:description/>
  <cp:lastModifiedBy>郑晨 武</cp:lastModifiedBy>
  <cp:revision>2</cp:revision>
  <dcterms:created xsi:type="dcterms:W3CDTF">2026-07-10T08:30:00Z</dcterms:created>
  <dcterms:modified xsi:type="dcterms:W3CDTF">2026-07-10T08:30:00Z</dcterms:modified>
</cp:coreProperties>
</file>