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：一种基于车辆动力学可微闭环仿真的车辆横纵向控制器参数自动整定方法</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20" w:line="276" w:lineRule="auto"/>
      </w:pPr>
      <w:r>
        <w:rPr>
          <w:rFonts w:ascii="宋体" w:hAnsi="宋体" w:eastAsia="宋体"/>
          <w:b/>
          <w:sz w:val="21"/>
        </w:rPr>
        <w:t>版本说明</w:t>
      </w:r>
      <w:r>
        <w:rPr>
          <w:rFonts w:ascii="宋体" w:hAnsi="宋体" w:eastAsia="宋体"/>
          <w:sz w:val="21"/>
        </w:rPr>
        <w:t>：V2；形成时间：2026-07-09；本版按照中国发明专利技术交底书常用章节结构、查新写法、迭代留档和保护点组织方式，对 V1 进行结构化重写。</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（1）交底书应使代理人能够看懂，尤其是背景技术和详细技术方案，应当写得全面、清楚、完整。</w:t>
      </w:r>
    </w:p>
    <w:p>
      <w:pPr>
        <w:spacing w:after="120" w:line="276" w:lineRule="auto"/>
      </w:pPr>
      <w:r>
        <w:rPr>
          <w:rFonts w:ascii="宋体" w:hAnsi="宋体" w:eastAsia="宋体"/>
          <w:sz w:val="21"/>
        </w:rPr>
        <w:t>（2）技术公开程度应以本领域普通技术人员不需付出创造性劳动即可实施为准。</w:t>
      </w:r>
    </w:p>
    <w:p>
      <w:pPr>
        <w:spacing w:after="120" w:line="276" w:lineRule="auto"/>
      </w:pPr>
      <w:r>
        <w:rPr>
          <w:rFonts w:ascii="宋体" w:hAnsi="宋体" w:eastAsia="宋体"/>
          <w:sz w:val="21"/>
        </w:rPr>
        <w:t>（3）本交底书中的实施例和参数取值用于说明可实施方式，不作为权利要求保护范围的限定。</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检索说明：在 Google Patents、arXiv 及论文公开页面中，以“differentiable controller tuning”“vehicle lateral control calibration”“autonomous driving parameter tuning”“vehicle dynamics model”“auto-differentiation controller tuning”等为检索词进行检索；与本案最接近的公开材料主要集中在可微物理系统、车辆横向控制参数选择、自动驾驶规划器调参、车辆动力学建模和控制器自动调参五个方向。</w:t>
      </w:r>
    </w:p>
    <w:p>
      <w:pPr>
        <w:spacing w:after="120" w:line="276" w:lineRule="auto"/>
      </w:pPr>
      <w:r>
        <w:rPr>
          <w:rFonts w:ascii="宋体" w:hAnsi="宋体" w:eastAsia="宋体"/>
          <w:sz w:val="21"/>
        </w:rPr>
        <w:t>（1）可微物理系统仿真与控制方向。美国专利公开 [US20220171353A1](https://patents.google.com/patent/US20220171353A1/en) 公开了面向物理系统的可微机器，用于对物理系统进行仿真或控制。该方向说明了“将物理系统做成可微计算对象”的通用思想，但其重点是通用物理系统的可微机器框架，并未针对自动驾驶车辆的横纵向串行控制器、工程限幅逻辑、轨迹查询和硬逻辑复验给出闭环参数整定流程。</w:t>
      </w:r>
    </w:p>
    <w:p>
      <w:pPr>
        <w:spacing w:after="120" w:line="276" w:lineRule="auto"/>
      </w:pPr>
      <w:r>
        <w:rPr>
          <w:rFonts w:ascii="宋体" w:hAnsi="宋体" w:eastAsia="宋体"/>
          <w:sz w:val="21"/>
        </w:rPr>
        <w:t>（2）车辆横向控制参数动态选择方向。美国专利 [US11731648B2](https://patents.google.com/patent/US11731648B2/en) 公开了车辆横向控制特征的动态可调标定方案，其根据天气、图像和车辆状态等信息选择横向调谐参数，以降低车道中心线误差或转向振荡。该方案属于运行时按工况选择或切换预定参数的思路，重点是根据外部环境和车辆状态选择已有标定，并未公开通过车辆动力学闭环时间链路对横向和纵向控制器参数自动求梯度、自动更新和硬逻辑复验。</w:t>
      </w:r>
    </w:p>
    <w:p>
      <w:pPr>
        <w:spacing w:after="120" w:line="276" w:lineRule="auto"/>
      </w:pPr>
      <w:r>
        <w:rPr>
          <w:rFonts w:ascii="宋体" w:hAnsi="宋体" w:eastAsia="宋体"/>
          <w:sz w:val="21"/>
        </w:rPr>
        <w:t>（3）自动驾驶规划器参数自动调节方向。美国专利公开 [US20230159047A1](https://patents.google.com/patent/US20230159047A1/en) 及其同族中国公开 [CN115907250A](https://patents.google.com/patent/CN115907250A/en) 公开了基于学习型评价器调节自动驾驶车辆运动规划器的方法。该方案使用学习型评价器构建目标函数并优化规划器参数，适用于运动规划层参数调节；本案关注低层车辆横纵向控制器参数，尤其是工程控制器中的查找表、预瞄时间、速度环增益、硬限幅和速率限制等逻辑，且训练后必须回到原始硬逻辑验证路径。</w:t>
      </w:r>
    </w:p>
    <w:p>
      <w:pPr>
        <w:spacing w:after="120" w:line="276" w:lineRule="auto"/>
      </w:pPr>
      <w:r>
        <w:rPr>
          <w:rFonts w:ascii="宋体" w:hAnsi="宋体" w:eastAsia="宋体"/>
          <w:sz w:val="21"/>
        </w:rPr>
        <w:t>（4）神经网络车辆动力学模型方向。美国专利 [US12007778B2](https://patents.google.com/patent/US12007778B2/en) 公开了基于神经网络的车辆动力学模型，用历史驾驶数据预测车辆加速度或扭矩，用于提高自动驾驶仿真结果的准确性。该方向解决的是被控对象建模精度问题，并未说明如何把车辆动力学、控制器、轨迹查询和损失函数组成可反传的闭环链路，也未公开可调控制器参数的分类、投影和硬逻辑部署一致性验证。</w:t>
      </w:r>
    </w:p>
    <w:p>
      <w:pPr>
        <w:spacing w:after="120" w:line="276" w:lineRule="auto"/>
      </w:pPr>
      <w:r>
        <w:rPr>
          <w:rFonts w:ascii="宋体" w:hAnsi="宋体" w:eastAsia="宋体"/>
          <w:sz w:val="21"/>
        </w:rPr>
        <w:t>（5）控制器自动微分调参方向。论文 [DiffTune: Auto-Tuning through Auto-Differentiation](https://arxiv.org/abs/2209.10021) 将控制器调参表述为参数优化问题，把动力学系统和控制器展开成计算图，并用梯度方法更新控制器参数。该方向与本案在“闭环展开并利用梯度调参”上较接近，但其公开对象主要为机器人系统中的可微动力学和控制器，不针对自动驾驶工程控制器中的最近点选择、条件分支、查找表、硬限幅、硬速率限制、横纵向串行控制和训练/验证双路径一致性问题。</w:t>
      </w:r>
    </w:p>
    <w:p>
      <w:pPr>
        <w:spacing w:after="120" w:line="276" w:lineRule="auto"/>
      </w:pPr>
      <w:r>
        <w:rPr>
          <w:rFonts w:ascii="宋体" w:hAnsi="宋体" w:eastAsia="宋体"/>
          <w:sz w:val="21"/>
        </w:rPr>
        <w:t>综合上述检索结果，现有技术或者关注通用可微物理系统，或者关注车辆工况下的参数选择，或者关注规划器调参和动力学模型建模。它们尚未公开一种将真实车辆横纵向工程控制器、车辆动力学、多轨迹多速度场景、非光滑工程逻辑可微处理、物理约束参数投影和硬逻辑复验组合为统一闭环整定流程的方法。</w:t>
      </w:r>
    </w:p>
    <w:p>
      <w:pPr>
        <w:pStyle w:val="Heading3"/>
      </w:pPr>
      <w:r>
        <w:rPr>
          <w:rFonts w:ascii="宋体" w:hAnsi="宋体" w:eastAsia="宋体"/>
        </w:rPr>
        <w:t>1.2 现有技术存在的缺点</w:t>
      </w:r>
    </w:p>
    <w:p>
      <w:pPr>
        <w:spacing w:after="120" w:line="276" w:lineRule="auto"/>
      </w:pPr>
      <w:r>
        <w:rPr>
          <w:rFonts w:ascii="宋体" w:hAnsi="宋体" w:eastAsia="宋体"/>
          <w:sz w:val="21"/>
        </w:rPr>
        <w:t>第一，现有车辆控制标定方案多依赖人工经验或预先标定的参数表，难以根据多场景跟踪误差自动给出参数更新方向。</w:t>
      </w:r>
    </w:p>
    <w:p>
      <w:pPr>
        <w:spacing w:after="120" w:line="276" w:lineRule="auto"/>
      </w:pPr>
      <w:r>
        <w:rPr>
          <w:rFonts w:ascii="宋体" w:hAnsi="宋体" w:eastAsia="宋体"/>
          <w:sz w:val="21"/>
        </w:rPr>
        <w:t>第二，已有可微调参方案通常假设动力学和控制器天然可微，难以直接处理工程控制器中的最近点选择、条件分支、硬限幅、速率限制和查找表等非光滑逻辑。</w:t>
      </w:r>
    </w:p>
    <w:p>
      <w:pPr>
        <w:spacing w:after="120" w:line="276" w:lineRule="auto"/>
      </w:pPr>
      <w:r>
        <w:rPr>
          <w:rFonts w:ascii="宋体" w:hAnsi="宋体" w:eastAsia="宋体"/>
          <w:sz w:val="21"/>
        </w:rPr>
        <w:t>第三，已有自动驾驶参数调节多集中在规划层或单一横向控制特征，缺少面向横向和纵向控制器耦合闭环的统一调参方式。</w:t>
      </w:r>
    </w:p>
    <w:p>
      <w:pPr>
        <w:spacing w:after="120" w:line="276" w:lineRule="auto"/>
      </w:pPr>
      <w:r>
        <w:rPr>
          <w:rFonts w:ascii="宋体" w:hAnsi="宋体" w:eastAsia="宋体"/>
          <w:sz w:val="21"/>
        </w:rPr>
        <w:t>第四，单一名义车辆模型上的参数优化容易过拟合，难以覆盖车辆质量、侧偏刚度、反馈噪声和执行器抖动等实车不确定性。</w:t>
      </w:r>
    </w:p>
    <w:p>
      <w:pPr>
        <w:spacing w:after="120" w:line="276" w:lineRule="auto"/>
      </w:pPr>
      <w:r>
        <w:rPr>
          <w:rFonts w:ascii="宋体" w:hAnsi="宋体" w:eastAsia="宋体"/>
          <w:sz w:val="21"/>
        </w:rPr>
        <w:t>第五，训练近似路径和工程部署路径之间可能存在行为差异，若缺少硬逻辑复验，调出的参数可能只在训练近似中有效。</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如何在保留车辆工程控制器物理含义和部署约束的前提下，将横向控制器、纵向控制器、车辆动力学和多场景评价指标连接为可自动求梯度的闭环时间链路，使控制器参数能够自动整定，并在整定后通过原始硬逻辑进行复验。</w:t>
      </w:r>
    </w:p>
    <w:p>
      <w:pPr>
        <w:spacing w:after="120" w:line="276" w:lineRule="auto"/>
      </w:pPr>
      <w:r>
        <w:rPr>
          <w:rFonts w:ascii="宋体" w:hAnsi="宋体" w:eastAsia="宋体"/>
          <w:sz w:val="21"/>
        </w:rPr>
        <w:t>具体包括以下问题：</w:t>
      </w:r>
    </w:p>
    <w:p>
      <w:pPr>
        <w:spacing w:after="120" w:line="276" w:lineRule="auto"/>
      </w:pPr>
      <w:r>
        <w:rPr>
          <w:rFonts w:ascii="宋体" w:hAnsi="宋体" w:eastAsia="宋体"/>
          <w:sz w:val="21"/>
        </w:rPr>
        <w:t>（1）如何将含查找表、条件分支、限幅和速率限制的工程控制器改造成训练时可回传梯度、验证时仍能保持工程行为的双模式控制器。</w:t>
      </w:r>
    </w:p>
    <w:p>
      <w:pPr>
        <w:spacing w:after="120" w:line="276" w:lineRule="auto"/>
      </w:pPr>
      <w:r>
        <w:rPr>
          <w:rFonts w:ascii="宋体" w:hAnsi="宋体" w:eastAsia="宋体"/>
          <w:sz w:val="21"/>
        </w:rPr>
        <w:t>（2）如何在横向控制器、纵向控制器和车辆动力学串行闭环中同时整定预瞄参数、反馈增益和速度切换参数，减少人工试验。</w:t>
      </w:r>
    </w:p>
    <w:p>
      <w:pPr>
        <w:spacing w:after="120" w:line="276" w:lineRule="auto"/>
      </w:pPr>
      <w:r>
        <w:rPr>
          <w:rFonts w:ascii="宋体" w:hAnsi="宋体" w:eastAsia="宋体"/>
          <w:sz w:val="21"/>
        </w:rPr>
        <w:t>（3）如何在多轨迹、多速度段和多车辆参数域中批量训练，使整定参数具有鲁棒性。</w:t>
      </w:r>
    </w:p>
    <w:p>
      <w:pPr>
        <w:spacing w:after="120" w:line="276" w:lineRule="auto"/>
      </w:pPr>
      <w:r>
        <w:rPr>
          <w:rFonts w:ascii="宋体" w:hAnsi="宋体" w:eastAsia="宋体"/>
          <w:sz w:val="21"/>
        </w:rPr>
        <w:t>（4）如何将整定结果导出为工程配置，并用硬分支、硬限幅和硬速率限制验证部署一致性。</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面向自动驾驶车辆控制模块。控制模块以固定周期运行，参考轨迹和参考速度由上游规划模块给出，横向控制器根据车辆位置、航向和轨迹几何关系生成转向指令，纵向控制器根据速度误差和站位误差生成加速度或驱动扭矩，车辆动力学模型根据控制指令更新车辆状态。</w:t>
      </w:r>
    </w:p>
    <w:p>
      <w:pPr>
        <w:spacing w:after="120" w:line="276" w:lineRule="auto"/>
      </w:pPr>
      <w:r>
        <w:rPr>
          <w:rFonts w:ascii="宋体" w:hAnsi="宋体" w:eastAsia="宋体"/>
          <w:sz w:val="21"/>
        </w:rPr>
        <w:t>在工程控制器中，横向部分通常包含预瞄时间、曲率前馈、横向误差反馈、航向误差反馈、查找表和转向速率限制；纵向部分通常包含站位环、速度环、低高速切换、积分环节、加速度包络和扭矩输出层。这些参数互相耦合，且在不同轨迹、速度和车辆参数下表现不同。</w:t>
      </w:r>
    </w:p>
    <w:p>
      <w:pPr>
        <w:spacing w:after="120" w:line="276" w:lineRule="auto"/>
      </w:pPr>
      <w:r>
        <w:rPr>
          <w:rFonts w:ascii="宋体" w:hAnsi="宋体" w:eastAsia="宋体"/>
          <w:sz w:val="21"/>
        </w:rPr>
        <w:t>本发明将上述闭环系统展开为时间序列计算链路，并将控制器参数作为待优化变量。训练阶段通过可微近似或直通估计处理非光滑工程逻辑，使综合损失可以对控制器参数求梯度；验证阶段恢复原始硬逻辑，以确认整定参数在真实工程行为下仍然有效。</w:t>
      </w:r>
    </w:p>
    <w:p>
      <w:pPr>
        <w:pStyle w:val="Heading3"/>
      </w:pPr>
      <w:r>
        <w:rPr>
          <w:rFonts w:ascii="宋体" w:hAnsi="宋体" w:eastAsia="宋体"/>
        </w:rPr>
        <w:t>3.2 系统框图</w:t>
      </w:r>
    </w:p>
    <w:p>
      <w:pPr>
        <w:spacing w:after="120" w:line="276" w:lineRule="auto"/>
      </w:pPr>
      <w:r>
        <w:rPr>
          <w:rFonts w:ascii="宋体" w:hAnsi="宋体" w:eastAsia="宋体"/>
          <w:sz w:val="21"/>
        </w:rPr>
        <w:t>图1示出了本发明的一种系统组成。系统包括原始控制器代码/参数表、双模式控制器、车辆动力学模型、多场景轨迹库、闭环展开模块、损失计算模块、自动微分模块、参数投影模块、产物生成模块和硬逻辑复验模块。各模块之间形成从工程控制器复现、闭环仿真、参数更新到部署验证的闭环流程。</w:t>
      </w:r>
    </w:p>
    <w:p>
      <w:pPr>
        <w:keepLines/>
        <w:spacing w:after="120"/>
        <w:ind w:left="288"/>
      </w:pPr>
      <w:r>
        <w:rPr>
          <w:rFonts w:ascii="Consolas" w:hAnsi="Consolas" w:eastAsia="Consolas"/>
          <w:color w:val="202020"/>
          <w:sz w:val="18"/>
        </w:rPr>
        <w:t>flowchart LR</w:t>
        <w:br/>
        <w:t xml:space="preserve">  A["原始控制器代码/参数表"] --&gt; B["双模式控制器\n可微训练/硬逻辑验证"]</w:t>
        <w:br/>
        <w:t xml:space="preserve">  B --&gt; C["车辆动力学模型\n机理/残差/双体"]</w:t>
        <w:br/>
        <w:t xml:space="preserve">  C --&gt; D["多场景轨迹库\n类型×速度段"]</w:t>
        <w:br/>
        <w:t xml:space="preserve">  B --&gt; E["50Hz闭环展开\n横向→纵向→车辆"]</w:t>
        <w:br/>
        <w:t xml:space="preserve">  C --&gt; E</w:t>
        <w:br/>
        <w:t xml:space="preserve">  D --&gt; E</w:t>
        <w:br/>
        <w:t xml:space="preserve">  E --&gt; F["跟踪与平滑\n联合损失"]</w:t>
        <w:br/>
        <w:t xml:space="preserve">  F --&gt; G["时间反传\n参数梯度"]</w:t>
        <w:br/>
        <w:t xml:space="preserve">  G --&gt; H["参数投影\n物理约束"]</w:t>
        <w:br/>
        <w:t xml:space="preserve">  H --&gt; I["导出整定参数\n配置文件"]</w:t>
        <w:br/>
        <w:t xml:space="preserve">  I --&gt; J["硬限幅验证\n结果图/日志"]</w:t>
        <w:br/>
        <w:t xml:space="preserve">  J -.未达标继续整定.-&gt; E</w:t>
      </w:r>
    </w:p>
    <w:p>
      <w:pPr>
        <w:spacing w:after="120" w:before="60"/>
      </w:pPr>
      <w:r>
        <w:rPr>
          <w:b w:val="0"/>
        </w:rPr>
        <w:drawing>
          <wp:inline xmlns:a="http://schemas.openxmlformats.org/drawingml/2006/main" xmlns:pic="http://schemas.openxmlformats.org/drawingml/2006/picture">
            <wp:extent cx="5486400" cy="359664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486400" cy="3596640"/>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sz w:val="21"/>
        </w:rPr>
        <w:t>（1）原始控制器代码/参数表用于提供待复现的横向和纵向工程控制逻辑，并给出初始标定参数、车辆物理常数和安全边界。</w:t>
      </w:r>
    </w:p>
    <w:p>
      <w:pPr>
        <w:spacing w:after="120" w:line="276" w:lineRule="auto"/>
      </w:pPr>
      <w:r>
        <w:rPr>
          <w:rFonts w:ascii="宋体" w:hAnsi="宋体" w:eastAsia="宋体"/>
          <w:sz w:val="21"/>
        </w:rPr>
        <w:t>（2）双模式控制器用于在训练模式下提供可微计算路径，在验证模式下提供与工程控制器一致的硬逻辑路径。同一组整定参数在两个模式中共享。</w:t>
      </w:r>
    </w:p>
    <w:p>
      <w:pPr>
        <w:spacing w:after="120" w:line="276" w:lineRule="auto"/>
      </w:pPr>
      <w:r>
        <w:rPr>
          <w:rFonts w:ascii="宋体" w:hAnsi="宋体" w:eastAsia="宋体"/>
          <w:sz w:val="21"/>
        </w:rPr>
        <w:t>（3）车辆动力学模型用于将转向、加速度或扭矩等控制指令转化为车辆状态变化。车辆动力学模型可以采用运动学自行车模型、动力学自行车模型、机理模型与残差模型组合，或牵引车与挂车双体模型。</w:t>
      </w:r>
    </w:p>
    <w:p>
      <w:pPr>
        <w:spacing w:after="120" w:line="276" w:lineRule="auto"/>
      </w:pPr>
      <w:r>
        <w:rPr>
          <w:rFonts w:ascii="宋体" w:hAnsi="宋体" w:eastAsia="宋体"/>
          <w:sz w:val="21"/>
        </w:rPr>
        <w:t>（4）多场景轨迹库用于提供换道、双换道、渐变曲率弯道、S弯、弯前减速和换道加减速等场景，并覆盖多个速度段。</w:t>
      </w:r>
    </w:p>
    <w:p>
      <w:pPr>
        <w:spacing w:after="120" w:line="276" w:lineRule="auto"/>
      </w:pPr>
      <w:r>
        <w:rPr>
          <w:rFonts w:ascii="宋体" w:hAnsi="宋体" w:eastAsia="宋体"/>
          <w:sz w:val="21"/>
        </w:rPr>
        <w:t>（5）闭环展开模块用于按控制周期串联横向控制器、纵向控制器和车辆动力学模型，使每一时刻的状态变化都依赖前一时刻的控制结果。</w:t>
      </w:r>
    </w:p>
    <w:p>
      <w:pPr>
        <w:spacing w:after="120" w:line="276" w:lineRule="auto"/>
      </w:pPr>
      <w:r>
        <w:rPr>
          <w:rFonts w:ascii="宋体" w:hAnsi="宋体" w:eastAsia="宋体"/>
          <w:sz w:val="21"/>
        </w:rPr>
        <w:t>（6）损失计算模块用于评价横向误差、航向误差、速度误差、转向平滑性、加速度平滑性和参数偏移，得到可优化的综合损失。</w:t>
      </w:r>
    </w:p>
    <w:p>
      <w:pPr>
        <w:spacing w:after="120" w:line="276" w:lineRule="auto"/>
      </w:pPr>
      <w:r>
        <w:rPr>
          <w:rFonts w:ascii="宋体" w:hAnsi="宋体" w:eastAsia="宋体"/>
          <w:sz w:val="21"/>
        </w:rPr>
        <w:t>（7）自动微分模块用于沿闭环时间链路计算综合损失对控制器参数的梯度。</w:t>
      </w:r>
    </w:p>
    <w:p>
      <w:pPr>
        <w:spacing w:after="120" w:line="276" w:lineRule="auto"/>
      </w:pPr>
      <w:r>
        <w:rPr>
          <w:rFonts w:ascii="宋体" w:hAnsi="宋体" w:eastAsia="宋体"/>
          <w:sz w:val="21"/>
        </w:rPr>
        <w:t>（8）参数投影模块用于将更新后的参数限制在预设物理范围、安全范围和工程可部署范围内。</w:t>
      </w:r>
    </w:p>
    <w:p>
      <w:pPr>
        <w:spacing w:after="120" w:line="276" w:lineRule="auto"/>
      </w:pPr>
      <w:r>
        <w:rPr>
          <w:rFonts w:ascii="宋体" w:hAnsi="宋体" w:eastAsia="宋体"/>
          <w:sz w:val="21"/>
        </w:rPr>
        <w:t>（9）产物生成模块用于输出整定后的配置文件、训练日志、参数变化图和调参前后对比图。</w:t>
      </w:r>
    </w:p>
    <w:p>
      <w:pPr>
        <w:spacing w:after="120" w:line="276" w:lineRule="auto"/>
      </w:pPr>
      <w:r>
        <w:rPr>
          <w:rFonts w:ascii="宋体" w:hAnsi="宋体" w:eastAsia="宋体"/>
          <w:sz w:val="21"/>
        </w:rPr>
        <w:t>（10）硬逻辑复验模块用于使用原始硬分支、硬限幅和硬速率限制重新运行全场景仿真，验证整定参数是否满足部署一致性要求。</w:t>
      </w:r>
    </w:p>
    <w:p>
      <w:pPr>
        <w:pStyle w:val="Heading3"/>
      </w:pPr>
      <w:r>
        <w:rPr>
          <w:rFonts w:ascii="宋体" w:hAnsi="宋体" w:eastAsia="宋体"/>
        </w:rPr>
        <w:t>3.4 系统流程说明</w:t>
      </w:r>
    </w:p>
    <w:p>
      <w:pPr>
        <w:spacing w:after="120" w:line="276" w:lineRule="auto"/>
      </w:pPr>
      <w:r>
        <w:rPr>
          <w:rFonts w:ascii="宋体" w:hAnsi="宋体" w:eastAsia="宋体"/>
          <w:sz w:val="21"/>
        </w:rPr>
        <w:t>图2示出了本发明的一种方法流程。</w:t>
      </w:r>
    </w:p>
    <w:p>
      <w:pPr>
        <w:keepLines/>
        <w:spacing w:after="120"/>
        <w:ind w:left="288"/>
      </w:pPr>
      <w:r>
        <w:rPr>
          <w:rFonts w:ascii="Consolas" w:hAnsi="Consolas" w:eastAsia="Consolas"/>
          <w:color w:val="202020"/>
          <w:sz w:val="18"/>
        </w:rPr>
        <w:t>flowchart TB</w:t>
        <w:br/>
        <w:t xml:space="preserve">  S1["S1 读取控制器逻辑并识别参数"]</w:t>
        <w:br/>
        <w:t xml:space="preserve">  S2["S2 构造双模式控制器"]</w:t>
        <w:br/>
        <w:t xml:space="preserve">  S3["S3 构造车辆动力学与参数域"]</w:t>
        <w:br/>
        <w:t xml:space="preserve">  S4["S4 构造多轨迹多速度训练集"]</w:t>
        <w:br/>
        <w:t xml:space="preserve">  S5["S5 按控制周期闭环展开"]</w:t>
        <w:br/>
        <w:t xml:space="preserve">  S6["S6 计算综合损失"]</w:t>
        <w:br/>
        <w:t xml:space="preserve">  S7["S7 反向传播并投影更新参数"]</w:t>
        <w:br/>
        <w:t xml:space="preserve">  S8["S8 硬逻辑复验并导出配置"]</w:t>
        <w:br/>
        <w:t xml:space="preserve">  S1 --&gt; S2 --&gt; S3 --&gt; S4 --&gt; S5 --&gt; S6 --&gt; S7 --&gt; S8</w:t>
        <w:br/>
        <w:t xml:space="preserve">  S8 --"不满足验收"--&gt; S5</w:t>
      </w:r>
    </w:p>
    <w:p>
      <w:pPr>
        <w:spacing w:after="120" w:before="60"/>
      </w:pPr>
      <w:r>
        <w:rPr>
          <w:b w:val="0"/>
        </w:rPr>
        <w:drawing>
          <wp:inline xmlns:a="http://schemas.openxmlformats.org/drawingml/2006/main" xmlns:pic="http://schemas.openxmlformats.org/drawingml/2006/picture">
            <wp:extent cx="5486400" cy="3901440"/>
            <wp:docPr id="2" name="Picture 2"/>
            <wp:cNvGraphicFramePr>
              <a:graphicFrameLocks noChangeAspect="1"/>
            </wp:cNvGraphicFramePr>
            <a:graphic>
              <a:graphicData uri="http://schemas.openxmlformats.org/drawingml/2006/picture">
                <pic:pic>
                  <pic:nvPicPr>
                    <pic:cNvPr id="0" name="fig2_method_flow.png"/>
                    <pic:cNvPicPr/>
                  </pic:nvPicPr>
                  <pic:blipFill>
                    <a:blip r:embed="rId10"/>
                    <a:stretch>
                      <a:fillRect/>
                    </a:stretch>
                  </pic:blipFill>
                  <pic:spPr>
                    <a:xfrm>
                      <a:off x="0" y="0"/>
                      <a:ext cx="5486400" cy="3901440"/>
                    </a:xfrm>
                    <a:prstGeom prst="rect"/>
                  </pic:spPr>
                </pic:pic>
              </a:graphicData>
            </a:graphic>
          </wp:inline>
        </w:drawing>
      </w:r>
    </w:p>
    <w:p>
      <w:pPr>
        <w:spacing w:after="120" w:line="276" w:lineRule="auto"/>
      </w:pPr>
      <w:r>
        <w:rPr>
          <w:rFonts w:ascii="宋体" w:hAnsi="宋体" w:eastAsia="宋体"/>
          <w:sz w:val="21"/>
        </w:rPr>
        <w:t>具体流程如下：</w:t>
      </w:r>
    </w:p>
    <w:p>
      <w:pPr>
        <w:spacing w:after="120" w:line="276" w:lineRule="auto"/>
      </w:pPr>
      <w:r>
        <w:rPr>
          <w:rFonts w:ascii="宋体" w:hAnsi="宋体" w:eastAsia="宋体"/>
          <w:sz w:val="21"/>
        </w:rPr>
        <w:t>S1，读取车辆控制器的原始代码和参数配置，识别可调参数、固定物理参数和安全约束参数。</w:t>
      </w:r>
    </w:p>
    <w:p>
      <w:pPr>
        <w:spacing w:after="120" w:line="276" w:lineRule="auto"/>
      </w:pPr>
      <w:r>
        <w:rPr>
          <w:rFonts w:ascii="宋体" w:hAnsi="宋体" w:eastAsia="宋体"/>
          <w:sz w:val="21"/>
        </w:rPr>
        <w:t>S2，将横向控制器和纵向控制器封装为双模式控制器。训练模式保留控制器主要物理关系，并对非光滑步骤采用可微近似；验证模式保留原始工程硬逻辑。</w:t>
      </w:r>
    </w:p>
    <w:p>
      <w:pPr>
        <w:spacing w:after="120" w:line="276" w:lineRule="auto"/>
      </w:pPr>
      <w:r>
        <w:rPr>
          <w:rFonts w:ascii="宋体" w:hAnsi="宋体" w:eastAsia="宋体"/>
          <w:sz w:val="21"/>
        </w:rPr>
        <w:t>S3，构建车辆动力学模型，并根据需要构建车辆物理参数域。物理参数域可包括牵引车质量、前轴侧偏刚度、后轴侧偏刚度和挂车相关参数。</w:t>
      </w:r>
    </w:p>
    <w:p>
      <w:pPr>
        <w:spacing w:after="120" w:line="276" w:lineRule="auto"/>
      </w:pPr>
      <w:r>
        <w:rPr>
          <w:rFonts w:ascii="宋体" w:hAnsi="宋体" w:eastAsia="宋体"/>
          <w:sz w:val="21"/>
        </w:rPr>
        <w:t>S4，构造多轨迹多速度训练集，并将轨迹场景、速度段和车辆参数域展开为批量样本。</w:t>
      </w:r>
    </w:p>
    <w:p>
      <w:pPr>
        <w:spacing w:after="120" w:line="276" w:lineRule="auto"/>
      </w:pPr>
      <w:r>
        <w:rPr>
          <w:rFonts w:ascii="宋体" w:hAnsi="宋体" w:eastAsia="宋体"/>
          <w:sz w:val="21"/>
        </w:rPr>
        <w:t>S5，在每一个控制周期内，按横向控制、纵向控制和车辆动力学更新的顺序推进闭环状态。</w:t>
      </w:r>
    </w:p>
    <w:p>
      <w:pPr>
        <w:spacing w:after="120" w:line="276" w:lineRule="auto"/>
      </w:pPr>
      <w:r>
        <w:rPr>
          <w:rFonts w:ascii="宋体" w:hAnsi="宋体" w:eastAsia="宋体"/>
          <w:sz w:val="21"/>
        </w:rPr>
        <w:t>S6，根据车辆状态和参考轨迹计算综合损失。</w:t>
      </w:r>
    </w:p>
    <w:p>
      <w:pPr>
        <w:spacing w:after="120" w:line="276" w:lineRule="auto"/>
      </w:pPr>
      <w:r>
        <w:rPr>
          <w:rFonts w:ascii="宋体" w:hAnsi="宋体" w:eastAsia="宋体"/>
          <w:sz w:val="21"/>
        </w:rPr>
        <w:t>S7，沿时间展开链路反向传播，获得损失对控制器参数的梯度，更新参数并执行物理约束投影。</w:t>
      </w:r>
    </w:p>
    <w:p>
      <w:pPr>
        <w:spacing w:after="120" w:line="276" w:lineRule="auto"/>
      </w:pPr>
      <w:r>
        <w:rPr>
          <w:rFonts w:ascii="宋体" w:hAnsi="宋体" w:eastAsia="宋体"/>
          <w:sz w:val="21"/>
        </w:rPr>
        <w:t>S8，导出整定后的参数配置，并在验证模式下进行硬逻辑复验；若复验不满足要求，则以上一轮参数为起点继续整定或调整训练场景。</w:t>
      </w:r>
    </w:p>
    <w:p>
      <w:pPr>
        <w:pStyle w:val="Heading3"/>
      </w:pPr>
      <w:r>
        <w:rPr>
          <w:rFonts w:ascii="宋体" w:hAnsi="宋体" w:eastAsia="宋体"/>
        </w:rPr>
        <w:t>3.4.1 符号与公式</w:t>
      </w:r>
    </w:p>
    <w:p>
      <w:pPr>
        <w:pStyle w:val="Heading4"/>
      </w:pPr>
      <w:r>
        <w:rPr>
          <w:rFonts w:ascii="宋体" w:hAnsi="宋体" w:eastAsia="宋体"/>
        </w:rPr>
        <w:t>（1）符号与变量定义</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91855" cy="155448"/>
                  <wp:docPr id="3" name="Picture 3"/>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91855"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控制周期索引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19048" cy="155448"/>
                  <wp:docPr id="4" name="Picture 4"/>
                  <wp:cNvGraphicFramePr>
                    <a:graphicFrameLocks noChangeAspect="1"/>
                  </wp:cNvGraphicFramePr>
                  <a:graphic>
                    <a:graphicData uri="http://schemas.openxmlformats.org/drawingml/2006/picture">
                      <pic:pic>
                        <pic:nvPicPr>
                          <pic:cNvPr id="0" name="inline_002.png"/>
                          <pic:cNvPicPr/>
                        </pic:nvPicPr>
                        <pic:blipFill>
                          <a:blip r:embed="rId12"/>
                          <a:stretch>
                            <a:fillRect/>
                          </a:stretch>
                        </pic:blipFill>
                        <pic:spPr>
                          <a:xfrm>
                            <a:off x="0" y="0"/>
                            <a:ext cx="1019048" cy="155448"/>
                          </a:xfrm>
                          <a:prstGeom prst="rect"/>
                        </pic:spPr>
                      </pic:pic>
                    </a:graphicData>
                  </a:graphic>
                </wp:inline>
              </w:drawing>
            </w:r>
            <w:r>
              <w:rPr>
                <w:rFonts w:ascii="宋体" w:hAnsi="宋体" w:eastAsia="宋体"/>
                <w:sz w:val="20"/>
              </w:rPr>
              <w:t>，周期可为 0.02 s</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90777" cy="155448"/>
                  <wp:docPr id="5" name="Picture 5"/>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907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91855" cy="155448"/>
                  <wp:docPr id="6" name="Picture 6"/>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91855" cy="155448"/>
                          </a:xfrm>
                          <a:prstGeom prst="rect"/>
                        </pic:spPr>
                      </pic:pic>
                    </a:graphicData>
                  </a:graphic>
                </wp:inline>
              </w:drawing>
            </w:r>
            <w:r>
              <w:rPr>
                <w:rFonts w:ascii="宋体" w:hAnsi="宋体" w:eastAsia="宋体"/>
                <w:sz w:val="20"/>
              </w:rPr>
              <w:t xml:space="preserve"> 个周期的车辆状态</w:t>
            </w:r>
          </w:p>
        </w:tc>
        <w:tc>
          <w:tcPr>
            <w:tcW w:type="dxa" w:w="2880"/>
          </w:tcPr>
          <w:p>
            <w:r>
              <w:rPr>
                <w:rFonts w:ascii="宋体" w:hAnsi="宋体" w:eastAsia="宋体"/>
                <w:sz w:val="20"/>
              </w:rPr>
            </w:r>
            <w:r>
              <w:rPr>
                <w:rFonts w:ascii="宋体" w:hAnsi="宋体" w:eastAsia="宋体"/>
                <w:sz w:val="20"/>
              </w:rPr>
              <w:t>包括位置、航向、速度、横摆角速度等</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7" name="Picture 7"/>
                  <wp:cNvGraphicFramePr>
                    <a:graphicFrameLocks noChangeAspect="1"/>
                  </wp:cNvGraphicFramePr>
                  <a:graphic>
                    <a:graphicData uri="http://schemas.openxmlformats.org/drawingml/2006/picture">
                      <pic:pic>
                        <pic:nvPicPr>
                          <pic:cNvPr id="0" name="inline_005.png"/>
                          <pic:cNvPicPr/>
                        </pic:nvPicPr>
                        <pic:blipFill>
                          <a:blip r:embed="rId14"/>
                          <a:stretch>
                            <a:fillRect/>
                          </a:stretch>
                        </pic:blipFill>
                        <pic:spPr>
                          <a:xfrm>
                            <a:off x="0" y="0"/>
                            <a:ext cx="15544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91855" cy="155448"/>
                  <wp:docPr id="8" name="Picture 8"/>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91855" cy="155448"/>
                          </a:xfrm>
                          <a:prstGeom prst="rect"/>
                        </pic:spPr>
                      </pic:pic>
                    </a:graphicData>
                  </a:graphic>
                </wp:inline>
              </w:drawing>
            </w:r>
            <w:r>
              <w:rPr>
                <w:rFonts w:ascii="宋体" w:hAnsi="宋体" w:eastAsia="宋体"/>
                <w:sz w:val="20"/>
              </w:rPr>
              <w:t xml:space="preserve"> 个周期查询到的参考轨迹状态</w:t>
            </w:r>
          </w:p>
        </w:tc>
        <w:tc>
          <w:tcPr>
            <w:tcW w:type="dxa" w:w="2880"/>
          </w:tcPr>
          <w:p>
            <w:r>
              <w:rPr>
                <w:rFonts w:ascii="宋体" w:hAnsi="宋体" w:eastAsia="宋体"/>
                <w:sz w:val="20"/>
              </w:rPr>
            </w:r>
            <w:r>
              <w:rPr>
                <w:rFonts w:ascii="宋体" w:hAnsi="宋体" w:eastAsia="宋体"/>
                <w:sz w:val="20"/>
              </w:rPr>
              <w:t>包括参考位置、航向、曲率和速度</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90777" cy="155448"/>
                  <wp:docPr id="9" name="Picture 9"/>
                  <wp:cNvGraphicFramePr>
                    <a:graphicFrameLocks noChangeAspect="1"/>
                  </wp:cNvGraphicFramePr>
                  <a:graphic>
                    <a:graphicData uri="http://schemas.openxmlformats.org/drawingml/2006/picture">
                      <pic:pic>
                        <pic:nvPicPr>
                          <pic:cNvPr id="0" name="inline_007.png"/>
                          <pic:cNvPicPr/>
                        </pic:nvPicPr>
                        <pic:blipFill>
                          <a:blip r:embed="rId15"/>
                          <a:stretch>
                            <a:fillRect/>
                          </a:stretch>
                        </pic:blipFill>
                        <pic:spPr>
                          <a:xfrm>
                            <a:off x="0" y="0"/>
                            <a:ext cx="1907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91855" cy="155448"/>
                  <wp:docPr id="10" name="Picture 10"/>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91855" cy="155448"/>
                          </a:xfrm>
                          <a:prstGeom prst="rect"/>
                        </pic:spPr>
                      </pic:pic>
                    </a:graphicData>
                  </a:graphic>
                </wp:inline>
              </w:drawing>
            </w:r>
            <w:r>
              <w:rPr>
                <w:rFonts w:ascii="宋体" w:hAnsi="宋体" w:eastAsia="宋体"/>
                <w:sz w:val="20"/>
              </w:rPr>
              <w:t xml:space="preserve"> 个周期的控制指令</w:t>
            </w:r>
          </w:p>
        </w:tc>
        <w:tc>
          <w:tcPr>
            <w:tcW w:type="dxa" w:w="2880"/>
          </w:tcPr>
          <w:p>
            <w:r>
              <w:rPr>
                <w:rFonts w:ascii="宋体" w:hAnsi="宋体" w:eastAsia="宋体"/>
                <w:sz w:val="20"/>
              </w:rPr>
            </w:r>
            <w:r>
              <w:rPr>
                <w:rFonts w:ascii="宋体" w:hAnsi="宋体" w:eastAsia="宋体"/>
                <w:sz w:val="20"/>
              </w:rPr>
              <w:t>包括转向、加速度或扭矩</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11" name="Picture 11"/>
                  <wp:cNvGraphicFramePr>
                    <a:graphicFrameLocks noChangeAspect="1"/>
                  </wp:cNvGraphicFramePr>
                  <a:graphic>
                    <a:graphicData uri="http://schemas.openxmlformats.org/drawingml/2006/picture">
                      <pic:pic>
                        <pic:nvPicPr>
                          <pic:cNvPr id="0" name="inline_009.png"/>
                          <pic:cNvPicPr/>
                        </pic:nvPicPr>
                        <pic:blipFill>
                          <a:blip r:embed="rId16"/>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待整定控制器参数集合</w:t>
            </w:r>
          </w:p>
        </w:tc>
        <w:tc>
          <w:tcPr>
            <w:tcW w:type="dxa" w:w="2880"/>
          </w:tcPr>
          <w:p>
            <w:r>
              <w:rPr>
                <w:rFonts w:ascii="宋体" w:hAnsi="宋体" w:eastAsia="宋体"/>
                <w:sz w:val="20"/>
              </w:rPr>
            </w:r>
            <w:r>
              <w:rPr>
                <w:rFonts w:ascii="宋体" w:hAnsi="宋体" w:eastAsia="宋体"/>
                <w:sz w:val="20"/>
              </w:rPr>
              <w:t xml:space="preserve">含横向参数 </w:t>
            </w:r>
            <w:r>
              <w:rPr>
                <w:rFonts w:ascii="宋体" w:hAnsi="宋体" w:eastAsia="宋体"/>
                <w:b w:val="0"/>
                <w:sz w:val="20"/>
              </w:rPr>
              <w:drawing>
                <wp:inline xmlns:a="http://schemas.openxmlformats.org/drawingml/2006/main" xmlns:pic="http://schemas.openxmlformats.org/drawingml/2006/picture">
                  <wp:extent cx="243535" cy="155448"/>
                  <wp:docPr id="12" name="Picture 12"/>
                  <wp:cNvGraphicFramePr>
                    <a:graphicFrameLocks noChangeAspect="1"/>
                  </wp:cNvGraphicFramePr>
                  <a:graphic>
                    <a:graphicData uri="http://schemas.openxmlformats.org/drawingml/2006/picture">
                      <pic:pic>
                        <pic:nvPicPr>
                          <pic:cNvPr id="0" name="inline_010.png"/>
                          <pic:cNvPicPr/>
                        </pic:nvPicPr>
                        <pic:blipFill>
                          <a:blip r:embed="rId17"/>
                          <a:stretch>
                            <a:fillRect/>
                          </a:stretch>
                        </pic:blipFill>
                        <pic:spPr>
                          <a:xfrm>
                            <a:off x="0" y="0"/>
                            <a:ext cx="243535" cy="155448"/>
                          </a:xfrm>
                          <a:prstGeom prst="rect"/>
                        </pic:spPr>
                      </pic:pic>
                    </a:graphicData>
                  </a:graphic>
                </wp:inline>
              </w:drawing>
            </w:r>
            <w:r>
              <w:rPr>
                <w:rFonts w:ascii="宋体" w:hAnsi="宋体" w:eastAsia="宋体"/>
                <w:sz w:val="20"/>
              </w:rPr>
              <w:t xml:space="preserve"> 与纵向参数 </w:t>
            </w:r>
            <w:r>
              <w:rPr>
                <w:rFonts w:ascii="宋体" w:hAnsi="宋体" w:eastAsia="宋体"/>
                <w:b w:val="0"/>
                <w:sz w:val="20"/>
              </w:rPr>
              <w:drawing>
                <wp:inline xmlns:a="http://schemas.openxmlformats.org/drawingml/2006/main" xmlns:pic="http://schemas.openxmlformats.org/drawingml/2006/picture">
                  <wp:extent cx="259080" cy="155448"/>
                  <wp:docPr id="13" name="Picture 13"/>
                  <wp:cNvGraphicFramePr>
                    <a:graphicFrameLocks noChangeAspect="1"/>
                  </wp:cNvGraphicFramePr>
                  <a:graphic>
                    <a:graphicData uri="http://schemas.openxmlformats.org/drawingml/2006/picture">
                      <pic:pic>
                        <pic:nvPicPr>
                          <pic:cNvPr id="0" name="inline_011.png"/>
                          <pic:cNvPicPr/>
                        </pic:nvPicPr>
                        <pic:blipFill>
                          <a:blip r:embed="rId18"/>
                          <a:stretch>
                            <a:fillRect/>
                          </a:stretch>
                        </pic:blipFill>
                        <pic:spPr>
                          <a:xfrm>
                            <a:off x="0" y="0"/>
                            <a:ext cx="25908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98450" cy="155448"/>
                  <wp:docPr id="14" name="Picture 14"/>
                  <wp:cNvGraphicFramePr>
                    <a:graphicFrameLocks noChangeAspect="1"/>
                  </wp:cNvGraphicFramePr>
                  <a:graphic>
                    <a:graphicData uri="http://schemas.openxmlformats.org/drawingml/2006/picture">
                      <pic:pic>
                        <pic:nvPicPr>
                          <pic:cNvPr id="0" name="inline_012.png"/>
                          <pic:cNvPicPr/>
                        </pic:nvPicPr>
                        <pic:blipFill>
                          <a:blip r:embed="rId19"/>
                          <a:stretch>
                            <a:fillRect/>
                          </a:stretch>
                        </pic:blipFill>
                        <pic:spPr>
                          <a:xfrm>
                            <a:off x="0" y="0"/>
                            <a:ext cx="9845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车辆动力学参数集合</w:t>
            </w:r>
          </w:p>
        </w:tc>
        <w:tc>
          <w:tcPr>
            <w:tcW w:type="dxa" w:w="2880"/>
          </w:tcPr>
          <w:p>
            <w:r>
              <w:rPr>
                <w:rFonts w:ascii="宋体" w:hAnsi="宋体" w:eastAsia="宋体"/>
                <w:sz w:val="20"/>
              </w:rPr>
            </w:r>
            <w:r>
              <w:rPr>
                <w:rFonts w:ascii="宋体" w:hAnsi="宋体" w:eastAsia="宋体"/>
                <w:sz w:val="20"/>
              </w:rPr>
              <w:t>质量、侧偏刚度、轮胎半径等</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91728" cy="155448"/>
                  <wp:docPr id="15" name="Picture 15"/>
                  <wp:cNvGraphicFramePr>
                    <a:graphicFrameLocks noChangeAspect="1"/>
                  </wp:cNvGraphicFramePr>
                  <a:graphic>
                    <a:graphicData uri="http://schemas.openxmlformats.org/drawingml/2006/picture">
                      <pic:pic>
                        <pic:nvPicPr>
                          <pic:cNvPr id="0" name="inline_013.png"/>
                          <pic:cNvPicPr/>
                        </pic:nvPicPr>
                        <pic:blipFill>
                          <a:blip r:embed="rId20"/>
                          <a:stretch>
                            <a:fillRect/>
                          </a:stretch>
                        </pic:blipFill>
                        <pic:spPr>
                          <a:xfrm>
                            <a:off x="0" y="0"/>
                            <a:ext cx="39172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横向跟踪误差</w:t>
            </w:r>
          </w:p>
        </w:tc>
        <w:tc>
          <w:tcPr>
            <w:tcW w:type="dxa" w:w="2880"/>
          </w:tcPr>
          <w:p>
            <w:r>
              <w:rPr>
                <w:rFonts w:ascii="宋体" w:hAnsi="宋体" w:eastAsia="宋体"/>
                <w:sz w:val="20"/>
              </w:rPr>
            </w:r>
            <w:r>
              <w:rPr>
                <w:rFonts w:ascii="宋体" w:hAnsi="宋体" w:eastAsia="宋体"/>
                <w:sz w:val="20"/>
              </w:rPr>
              <w:t>单位 m</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547176" cy="155448"/>
                  <wp:docPr id="16" name="Picture 16"/>
                  <wp:cNvGraphicFramePr>
                    <a:graphicFrameLocks noChangeAspect="1"/>
                  </wp:cNvGraphicFramePr>
                  <a:graphic>
                    <a:graphicData uri="http://schemas.openxmlformats.org/drawingml/2006/picture">
                      <pic:pic>
                        <pic:nvPicPr>
                          <pic:cNvPr id="0" name="inline_014.png"/>
                          <pic:cNvPicPr/>
                        </pic:nvPicPr>
                        <pic:blipFill>
                          <a:blip r:embed="rId21"/>
                          <a:stretch>
                            <a:fillRect/>
                          </a:stretch>
                        </pic:blipFill>
                        <pic:spPr>
                          <a:xfrm>
                            <a:off x="0" y="0"/>
                            <a:ext cx="547176"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航向误差</w:t>
            </w:r>
          </w:p>
        </w:tc>
        <w:tc>
          <w:tcPr>
            <w:tcW w:type="dxa" w:w="2880"/>
          </w:tcPr>
          <w:p>
            <w:r>
              <w:rPr>
                <w:rFonts w:ascii="宋体" w:hAnsi="宋体" w:eastAsia="宋体"/>
                <w:sz w:val="20"/>
              </w:rPr>
            </w:r>
            <w:r>
              <w:rPr>
                <w:rFonts w:ascii="宋体" w:hAnsi="宋体" w:eastAsia="宋体"/>
                <w:sz w:val="20"/>
              </w:rPr>
              <w:t>单位 rad</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31800" cy="155448"/>
                  <wp:docPr id="17" name="Picture 17"/>
                  <wp:cNvGraphicFramePr>
                    <a:graphicFrameLocks noChangeAspect="1"/>
                  </wp:cNvGraphicFramePr>
                  <a:graphic>
                    <a:graphicData uri="http://schemas.openxmlformats.org/drawingml/2006/picture">
                      <pic:pic>
                        <pic:nvPicPr>
                          <pic:cNvPr id="0" name="inline_015.png"/>
                          <pic:cNvPicPr/>
                        </pic:nvPicPr>
                        <pic:blipFill>
                          <a:blip r:embed="rId22"/>
                          <a:stretch>
                            <a:fillRect/>
                          </a:stretch>
                        </pic:blipFill>
                        <pic:spPr>
                          <a:xfrm>
                            <a:off x="0" y="0"/>
                            <a:ext cx="43180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速度误差</w:t>
            </w:r>
          </w:p>
        </w:tc>
        <w:tc>
          <w:tcPr>
            <w:tcW w:type="dxa" w:w="2880"/>
          </w:tcPr>
          <w:p>
            <w:r>
              <w:rPr>
                <w:rFonts w:ascii="宋体" w:hAnsi="宋体" w:eastAsia="宋体"/>
                <w:sz w:val="20"/>
              </w:rPr>
            </w:r>
            <w:r>
              <w:rPr>
                <w:rFonts w:ascii="宋体" w:hAnsi="宋体" w:eastAsia="宋体"/>
                <w:sz w:val="20"/>
              </w:rPr>
              <w:t>单位 m/s</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7866" cy="155448"/>
                  <wp:docPr id="18" name="Picture 18"/>
                  <wp:cNvGraphicFramePr>
                    <a:graphicFrameLocks noChangeAspect="1"/>
                  </wp:cNvGraphicFramePr>
                  <a:graphic>
                    <a:graphicData uri="http://schemas.openxmlformats.org/drawingml/2006/picture">
                      <pic:pic>
                        <pic:nvPicPr>
                          <pic:cNvPr id="0" name="inline_016.png"/>
                          <pic:cNvPicPr/>
                        </pic:nvPicPr>
                        <pic:blipFill>
                          <a:blip r:embed="rId23"/>
                          <a:stretch>
                            <a:fillRect/>
                          </a:stretch>
                        </pic:blipFill>
                        <pic:spPr>
                          <a:xfrm>
                            <a:off x="0" y="0"/>
                            <a:ext cx="287866"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相邻周期控制指令变化</w:t>
            </w:r>
          </w:p>
        </w:tc>
        <w:tc>
          <w:tcPr>
            <w:tcW w:type="dxa" w:w="2880"/>
          </w:tcPr>
          <w:p>
            <w:r>
              <w:rPr>
                <w:rFonts w:ascii="宋体" w:hAnsi="宋体" w:eastAsia="宋体"/>
                <w:sz w:val="20"/>
              </w:rPr>
            </w:r>
            <w:r>
              <w:rPr>
                <w:rFonts w:ascii="宋体" w:hAnsi="宋体" w:eastAsia="宋体"/>
                <w:sz w:val="20"/>
              </w:rPr>
              <w:t>用于平滑性约束</w:t>
            </w:r>
          </w:p>
        </w:tc>
      </w:tr>
      <w:tr>
        <w:tc>
          <w:tcPr>
            <w:tcW w:type="dxa" w:w="2880"/>
          </w:tcPr>
          <w:p>
            <w:r>
              <w:rPr>
                <w:rFonts w:ascii="宋体" w:hAnsi="宋体" w:eastAsia="宋体"/>
                <w:sz w:val="20"/>
              </w:rPr>
            </w:r>
            <w:r>
              <w:rPr>
                <w:rFonts w:ascii="宋体" w:hAnsi="宋体" w:eastAsia="宋体"/>
                <w:sz w:val="20"/>
              </w:rPr>
              <w:t>\(J(\theta)\)</w:t>
            </w:r>
          </w:p>
        </w:tc>
        <w:tc>
          <w:tcPr>
            <w:tcW w:type="dxa" w:w="2880"/>
          </w:tcPr>
          <w:p>
            <w:r>
              <w:rPr>
                <w:rFonts w:ascii="宋体" w:hAnsi="宋体" w:eastAsia="宋体"/>
                <w:sz w:val="20"/>
              </w:rPr>
            </w:r>
            <w:r>
              <w:rPr>
                <w:rFonts w:ascii="宋体" w:hAnsi="宋体" w:eastAsia="宋体"/>
                <w:sz w:val="20"/>
              </w:rPr>
              <w:t>综合损失函数</w:t>
            </w:r>
          </w:p>
        </w:tc>
        <w:tc>
          <w:tcPr>
            <w:tcW w:type="dxa" w:w="2880"/>
          </w:tcPr>
          <w:p>
            <w:r>
              <w:rPr>
                <w:rFonts w:ascii="宋体" w:hAnsi="宋体" w:eastAsia="宋体"/>
                <w:sz w:val="20"/>
              </w:rPr>
            </w:r>
            <w:r>
              <w:rPr>
                <w:rFonts w:ascii="宋体" w:hAnsi="宋体" w:eastAsia="宋体"/>
                <w:sz w:val="20"/>
              </w:rPr>
              <w:t>无量纲或按归一化后加权</w:t>
            </w:r>
          </w:p>
        </w:tc>
      </w:tr>
      <w:tr>
        <w:tc>
          <w:tcPr>
            <w:tcW w:type="dxa" w:w="2880"/>
          </w:tcPr>
          <w:p>
            <w:r>
              <w:rPr>
                <w:rFonts w:ascii="宋体" w:hAnsi="宋体" w:eastAsia="宋体"/>
                <w:sz w:val="20"/>
              </w:rPr>
            </w:r>
            <w:r>
              <w:rPr>
                <w:rFonts w:ascii="宋体" w:hAnsi="宋体" w:eastAsia="宋体"/>
                <w:sz w:val="20"/>
              </w:rPr>
              <w:t>\(\Pi_{\Theta}(\cdot)\)</w:t>
            </w:r>
          </w:p>
        </w:tc>
        <w:tc>
          <w:tcPr>
            <w:tcW w:type="dxa" w:w="2880"/>
          </w:tcPr>
          <w:p>
            <w:r>
              <w:rPr>
                <w:rFonts w:ascii="宋体" w:hAnsi="宋体" w:eastAsia="宋体"/>
                <w:sz w:val="20"/>
              </w:rPr>
            </w:r>
            <w:r>
              <w:rPr>
                <w:rFonts w:ascii="宋体" w:hAnsi="宋体" w:eastAsia="宋体"/>
                <w:sz w:val="20"/>
              </w:rPr>
              <w:t>参数投影算子</w:t>
            </w:r>
          </w:p>
        </w:tc>
        <w:tc>
          <w:tcPr>
            <w:tcW w:type="dxa" w:w="2880"/>
          </w:tcPr>
          <w:p>
            <w:r>
              <w:rPr>
                <w:rFonts w:ascii="宋体" w:hAnsi="宋体" w:eastAsia="宋体"/>
                <w:sz w:val="20"/>
              </w:rPr>
            </w:r>
            <w:r>
              <w:rPr>
                <w:rFonts w:ascii="宋体" w:hAnsi="宋体" w:eastAsia="宋体"/>
                <w:sz w:val="20"/>
              </w:rPr>
              <w:t xml:space="preserve">将参数限制在集合 </w:t>
            </w:r>
            <w:r>
              <w:rPr>
                <w:rFonts w:ascii="宋体" w:hAnsi="宋体" w:eastAsia="宋体"/>
                <w:b w:val="0"/>
                <w:sz w:val="20"/>
              </w:rPr>
              <w:drawing>
                <wp:inline xmlns:a="http://schemas.openxmlformats.org/drawingml/2006/main" xmlns:pic="http://schemas.openxmlformats.org/drawingml/2006/picture">
                  <wp:extent cx="155448" cy="155448"/>
                  <wp:docPr id="19" name="Picture 19"/>
                  <wp:cNvGraphicFramePr>
                    <a:graphicFrameLocks noChangeAspect="1"/>
                  </wp:cNvGraphicFramePr>
                  <a:graphic>
                    <a:graphicData uri="http://schemas.openxmlformats.org/drawingml/2006/picture">
                      <pic:pic>
                        <pic:nvPicPr>
                          <pic:cNvPr id="0" name="inline_017.png"/>
                          <pic:cNvPicPr/>
                        </pic:nvPicPr>
                        <pic:blipFill>
                          <a:blip r:embed="rId24"/>
                          <a:stretch>
                            <a:fillRect/>
                          </a:stretch>
                        </pic:blipFill>
                        <pic:spPr>
                          <a:xfrm>
                            <a:off x="0" y="0"/>
                            <a:ext cx="155448" cy="155448"/>
                          </a:xfrm>
                          <a:prstGeom prst="rect"/>
                        </pic:spPr>
                      </pic:pic>
                    </a:graphicData>
                  </a:graphic>
                </wp:inline>
              </w:drawing>
            </w:r>
            <w:r>
              <w:rPr>
                <w:rFonts w:ascii="宋体" w:hAnsi="宋体" w:eastAsia="宋体"/>
                <w:sz w:val="20"/>
              </w:rPr>
              <w:t xml:space="preserve"> 内</w:t>
            </w:r>
          </w:p>
        </w:tc>
      </w:tr>
    </w:tbl>
    <w:p>
      <w:pPr>
        <w:pStyle w:val="Heading4"/>
      </w:pPr>
      <w:r>
        <w:rPr>
          <w:rFonts w:ascii="宋体" w:hAnsi="宋体" w:eastAsia="宋体"/>
        </w:rPr>
        <w:t>（2）闭环状态更新</w:t>
      </w:r>
    </w:p>
    <w:p>
      <w:pPr>
        <w:spacing w:after="120" w:line="276" w:lineRule="auto"/>
      </w:pPr>
      <w:r>
        <w:rPr>
          <w:rFonts w:ascii="宋体" w:hAnsi="宋体" w:eastAsia="宋体"/>
          <w:sz w:val="21"/>
        </w:rPr>
        <w:t>控制器和车辆动力学在每一周期形成如下关系。公式（1）为控制器映射：</w:t>
      </w:r>
    </w:p>
    <w:p>
      <w:pPr>
        <w:spacing w:after="120" w:before="60"/>
      </w:pPr>
      <w:r>
        <w:rPr>
          <w:b w:val="0"/>
        </w:rPr>
        <w:drawing>
          <wp:inline xmlns:a="http://schemas.openxmlformats.org/drawingml/2006/main" xmlns:pic="http://schemas.openxmlformats.org/drawingml/2006/picture">
            <wp:extent cx="942109" cy="155448"/>
            <wp:docPr id="20" name="Picture 20"/>
            <wp:cNvGraphicFramePr>
              <a:graphicFrameLocks noChangeAspect="1"/>
            </wp:cNvGraphicFramePr>
            <a:graphic>
              <a:graphicData uri="http://schemas.openxmlformats.org/drawingml/2006/picture">
                <pic:pic>
                  <pic:nvPicPr>
                    <pic:cNvPr id="0" name="eq_001.png"/>
                    <pic:cNvPicPr/>
                  </pic:nvPicPr>
                  <pic:blipFill>
                    <a:blip r:embed="rId25"/>
                    <a:stretch>
                      <a:fillRect/>
                    </a:stretch>
                  </pic:blipFill>
                  <pic:spPr>
                    <a:xfrm>
                      <a:off x="0" y="0"/>
                      <a:ext cx="942109" cy="155448"/>
                    </a:xfrm>
                    <a:prstGeom prst="rect"/>
                  </pic:spPr>
                </pic:pic>
              </a:graphicData>
            </a:graphic>
          </wp:inline>
        </w:drawing>
      </w:r>
    </w:p>
    <w:p>
      <w:pPr>
        <w:spacing w:after="120" w:line="276" w:lineRule="auto"/>
      </w:pPr>
      <w:r>
        <w:rPr>
          <w:rFonts w:ascii="宋体" w:hAnsi="宋体" w:eastAsia="宋体"/>
          <w:sz w:val="21"/>
        </w:rPr>
        <w:t>公式（2）为车辆动力学更新：</w:t>
      </w:r>
    </w:p>
    <w:p>
      <w:pPr>
        <w:spacing w:after="120" w:before="60"/>
      </w:pPr>
      <w:r>
        <w:rPr>
          <w:b w:val="0"/>
        </w:rPr>
        <w:drawing>
          <wp:inline xmlns:a="http://schemas.openxmlformats.org/drawingml/2006/main" xmlns:pic="http://schemas.openxmlformats.org/drawingml/2006/picture">
            <wp:extent cx="1222857" cy="155448"/>
            <wp:docPr id="21" name="Picture 21"/>
            <wp:cNvGraphicFramePr>
              <a:graphicFrameLocks noChangeAspect="1"/>
            </wp:cNvGraphicFramePr>
            <a:graphic>
              <a:graphicData uri="http://schemas.openxmlformats.org/drawingml/2006/picture">
                <pic:pic>
                  <pic:nvPicPr>
                    <pic:cNvPr id="0" name="eq_002.png"/>
                    <pic:cNvPicPr/>
                  </pic:nvPicPr>
                  <pic:blipFill>
                    <a:blip r:embed="rId26"/>
                    <a:stretch>
                      <a:fillRect/>
                    </a:stretch>
                  </pic:blipFill>
                  <pic:spPr>
                    <a:xfrm>
                      <a:off x="0" y="0"/>
                      <a:ext cx="1222857" cy="155448"/>
                    </a:xfrm>
                    <a:prstGeom prst="rect"/>
                  </pic:spPr>
                </pic:pic>
              </a:graphicData>
            </a:graphic>
          </wp:inline>
        </w:drawing>
      </w:r>
    </w:p>
    <w:p>
      <w:pPr>
        <w:spacing w:after="120" w:line="276" w:lineRule="auto"/>
      </w:pPr>
      <w:r>
        <w:rPr>
          <w:rFonts w:ascii="宋体" w:hAnsi="宋体" w:eastAsia="宋体"/>
          <w:sz w:val="21"/>
        </w:rPr>
        <w:t xml:space="preserve">其中，\(g(\cdot)\) 表示双模式控制器在训练路径中的可微形式，\(f(\cdot)\) 表示车辆动力学模型。由于 </w:t>
      </w:r>
      <w:r>
        <w:rPr>
          <w:rFonts w:ascii="宋体" w:hAnsi="宋体" w:eastAsia="宋体"/>
          <w:b w:val="0"/>
          <w:sz w:val="21"/>
        </w:rPr>
        <w:drawing>
          <wp:inline xmlns:a="http://schemas.openxmlformats.org/drawingml/2006/main" xmlns:pic="http://schemas.openxmlformats.org/drawingml/2006/picture">
            <wp:extent cx="466344" cy="155448"/>
            <wp:docPr id="22" name="Picture 22"/>
            <wp:cNvGraphicFramePr>
              <a:graphicFrameLocks noChangeAspect="1"/>
            </wp:cNvGraphicFramePr>
            <a:graphic>
              <a:graphicData uri="http://schemas.openxmlformats.org/drawingml/2006/picture">
                <pic:pic>
                  <pic:nvPicPr>
                    <pic:cNvPr id="0" name="inline_018.png"/>
                    <pic:cNvPicPr/>
                  </pic:nvPicPr>
                  <pic:blipFill>
                    <a:blip r:embed="rId27"/>
                    <a:stretch>
                      <a:fillRect/>
                    </a:stretch>
                  </pic:blipFill>
                  <pic:spPr>
                    <a:xfrm>
                      <a:off x="0" y="0"/>
                      <a:ext cx="466344" cy="155448"/>
                    </a:xfrm>
                    <a:prstGeom prst="rect"/>
                  </pic:spPr>
                </pic:pic>
              </a:graphicData>
            </a:graphic>
          </wp:inline>
        </w:drawing>
      </w:r>
      <w:r>
        <w:rPr>
          <w:rFonts w:ascii="宋体" w:hAnsi="宋体" w:eastAsia="宋体"/>
          <w:sz w:val="21"/>
        </w:rPr>
        <w:t xml:space="preserve"> 依赖 </w:t>
      </w:r>
      <w:r>
        <w:rPr>
          <w:rFonts w:ascii="宋体" w:hAnsi="宋体" w:eastAsia="宋体"/>
          <w:b w:val="0"/>
          <w:sz w:val="21"/>
        </w:rPr>
        <w:drawing>
          <wp:inline xmlns:a="http://schemas.openxmlformats.org/drawingml/2006/main" xmlns:pic="http://schemas.openxmlformats.org/drawingml/2006/picture">
            <wp:extent cx="190777" cy="155448"/>
            <wp:docPr id="23" name="Picture 23"/>
            <wp:cNvGraphicFramePr>
              <a:graphicFrameLocks noChangeAspect="1"/>
            </wp:cNvGraphicFramePr>
            <a:graphic>
              <a:graphicData uri="http://schemas.openxmlformats.org/drawingml/2006/picture">
                <pic:pic>
                  <pic:nvPicPr>
                    <pic:cNvPr id="0" name="inline_007.png"/>
                    <pic:cNvPicPr/>
                  </pic:nvPicPr>
                  <pic:blipFill>
                    <a:blip r:embed="rId15"/>
                    <a:stretch>
                      <a:fillRect/>
                    </a:stretch>
                  </pic:blipFill>
                  <pic:spPr>
                    <a:xfrm>
                      <a:off x="0" y="0"/>
                      <a:ext cx="190777" cy="155448"/>
                    </a:xfrm>
                    <a:prstGeom prst="rect"/>
                  </pic:spPr>
                </pic:pic>
              </a:graphicData>
            </a:graphic>
          </wp:inline>
        </w:drawing>
      </w:r>
      <w:r>
        <w:rPr>
          <w:rFonts w:ascii="宋体" w:hAnsi="宋体" w:eastAsia="宋体"/>
          <w:sz w:val="21"/>
        </w:rPr>
        <w:t xml:space="preserve">，而 </w:t>
      </w:r>
      <w:r>
        <w:rPr>
          <w:rFonts w:ascii="宋体" w:hAnsi="宋体" w:eastAsia="宋体"/>
          <w:b w:val="0"/>
          <w:sz w:val="21"/>
        </w:rPr>
        <w:drawing>
          <wp:inline xmlns:a="http://schemas.openxmlformats.org/drawingml/2006/main" xmlns:pic="http://schemas.openxmlformats.org/drawingml/2006/picture">
            <wp:extent cx="190777" cy="155448"/>
            <wp:docPr id="24" name="Picture 24"/>
            <wp:cNvGraphicFramePr>
              <a:graphicFrameLocks noChangeAspect="1"/>
            </wp:cNvGraphicFramePr>
            <a:graphic>
              <a:graphicData uri="http://schemas.openxmlformats.org/drawingml/2006/picture">
                <pic:pic>
                  <pic:nvPicPr>
                    <pic:cNvPr id="0" name="inline_007.png"/>
                    <pic:cNvPicPr/>
                  </pic:nvPicPr>
                  <pic:blipFill>
                    <a:blip r:embed="rId15"/>
                    <a:stretch>
                      <a:fillRect/>
                    </a:stretch>
                  </pic:blipFill>
                  <pic:spPr>
                    <a:xfrm>
                      <a:off x="0" y="0"/>
                      <a:ext cx="190777" cy="155448"/>
                    </a:xfrm>
                    <a:prstGeom prst="rect"/>
                  </pic:spPr>
                </pic:pic>
              </a:graphicData>
            </a:graphic>
          </wp:inline>
        </w:drawing>
      </w:r>
      <w:r>
        <w:rPr>
          <w:rFonts w:ascii="宋体" w:hAnsi="宋体" w:eastAsia="宋体"/>
          <w:sz w:val="21"/>
        </w:rPr>
        <w:t xml:space="preserve"> 依赖 </w:t>
      </w:r>
      <w:r>
        <w:rPr>
          <w:rFonts w:ascii="宋体" w:hAnsi="宋体" w:eastAsia="宋体"/>
          <w:b w:val="0"/>
          <w:sz w:val="21"/>
        </w:rPr>
        <w:drawing>
          <wp:inline xmlns:a="http://schemas.openxmlformats.org/drawingml/2006/main" xmlns:pic="http://schemas.openxmlformats.org/drawingml/2006/picture">
            <wp:extent cx="109389" cy="155448"/>
            <wp:docPr id="25" name="Picture 25"/>
            <wp:cNvGraphicFramePr>
              <a:graphicFrameLocks noChangeAspect="1"/>
            </wp:cNvGraphicFramePr>
            <a:graphic>
              <a:graphicData uri="http://schemas.openxmlformats.org/drawingml/2006/picture">
                <pic:pic>
                  <pic:nvPicPr>
                    <pic:cNvPr id="0" name="inline_009.png"/>
                    <pic:cNvPicPr/>
                  </pic:nvPicPr>
                  <pic:blipFill>
                    <a:blip r:embed="rId16"/>
                    <a:stretch>
                      <a:fillRect/>
                    </a:stretch>
                  </pic:blipFill>
                  <pic:spPr>
                    <a:xfrm>
                      <a:off x="0" y="0"/>
                      <a:ext cx="109389" cy="155448"/>
                    </a:xfrm>
                    <a:prstGeom prst="rect"/>
                  </pic:spPr>
                </pic:pic>
              </a:graphicData>
            </a:graphic>
          </wp:inline>
        </w:drawing>
      </w:r>
      <w:r>
        <w:rPr>
          <w:rFonts w:ascii="宋体" w:hAnsi="宋体" w:eastAsia="宋体"/>
          <w:sz w:val="21"/>
        </w:rPr>
        <w:t xml:space="preserve">，因此多周期跟踪误差可以沿时间链路对 </w:t>
      </w:r>
      <w:r>
        <w:rPr>
          <w:rFonts w:ascii="宋体" w:hAnsi="宋体" w:eastAsia="宋体"/>
          <w:b w:val="0"/>
          <w:sz w:val="21"/>
        </w:rPr>
        <w:drawing>
          <wp:inline xmlns:a="http://schemas.openxmlformats.org/drawingml/2006/main" xmlns:pic="http://schemas.openxmlformats.org/drawingml/2006/picture">
            <wp:extent cx="109389" cy="155448"/>
            <wp:docPr id="26" name="Picture 26"/>
            <wp:cNvGraphicFramePr>
              <a:graphicFrameLocks noChangeAspect="1"/>
            </wp:cNvGraphicFramePr>
            <a:graphic>
              <a:graphicData uri="http://schemas.openxmlformats.org/drawingml/2006/picture">
                <pic:pic>
                  <pic:nvPicPr>
                    <pic:cNvPr id="0" name="inline_009.png"/>
                    <pic:cNvPicPr/>
                  </pic:nvPicPr>
                  <pic:blipFill>
                    <a:blip r:embed="rId16"/>
                    <a:stretch>
                      <a:fillRect/>
                    </a:stretch>
                  </pic:blipFill>
                  <pic:spPr>
                    <a:xfrm>
                      <a:off x="0" y="0"/>
                      <a:ext cx="109389" cy="155448"/>
                    </a:xfrm>
                    <a:prstGeom prst="rect"/>
                  </pic:spPr>
                </pic:pic>
              </a:graphicData>
            </a:graphic>
          </wp:inline>
        </w:drawing>
      </w:r>
      <w:r>
        <w:rPr>
          <w:rFonts w:ascii="宋体" w:hAnsi="宋体" w:eastAsia="宋体"/>
          <w:sz w:val="21"/>
        </w:rPr>
        <w:t xml:space="preserve"> 求梯度。</w:t>
      </w:r>
    </w:p>
    <w:p>
      <w:pPr>
        <w:pStyle w:val="Heading4"/>
      </w:pPr>
      <w:r>
        <w:rPr>
          <w:rFonts w:ascii="宋体" w:hAnsi="宋体" w:eastAsia="宋体"/>
        </w:rPr>
        <w:t>（3）综合损失</w:t>
      </w:r>
    </w:p>
    <w:p>
      <w:pPr>
        <w:spacing w:after="120" w:line="276" w:lineRule="auto"/>
      </w:pPr>
      <w:r>
        <w:rPr>
          <w:rFonts w:ascii="宋体" w:hAnsi="宋体" w:eastAsia="宋体"/>
          <w:sz w:val="21"/>
        </w:rPr>
        <w:t>训练阶段可采用如下综合损失。公式（3）为多目标加权损失：</w:t>
      </w:r>
    </w:p>
    <w:p>
      <w:pPr>
        <w:spacing w:after="120" w:before="60"/>
      </w:pPr>
      <w:r>
        <w:rPr>
          <w:b w:val="0"/>
        </w:rPr>
        <w:drawing>
          <wp:inline xmlns:a="http://schemas.openxmlformats.org/drawingml/2006/main" xmlns:pic="http://schemas.openxmlformats.org/drawingml/2006/picture">
            <wp:extent cx="2131580" cy="155448"/>
            <wp:docPr id="27" name="Picture 27"/>
            <wp:cNvGraphicFramePr>
              <a:graphicFrameLocks noChangeAspect="1"/>
            </wp:cNvGraphicFramePr>
            <a:graphic>
              <a:graphicData uri="http://schemas.openxmlformats.org/drawingml/2006/picture">
                <pic:pic>
                  <pic:nvPicPr>
                    <pic:cNvPr id="0" name="eq_003.png"/>
                    <pic:cNvPicPr/>
                  </pic:nvPicPr>
                  <pic:blipFill>
                    <a:blip r:embed="rId28"/>
                    <a:stretch>
                      <a:fillRect/>
                    </a:stretch>
                  </pic:blipFill>
                  <pic:spPr>
                    <a:xfrm>
                      <a:off x="0" y="0"/>
                      <a:ext cx="2131580"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170992" cy="155448"/>
            <wp:docPr id="28" name="Picture 28"/>
            <wp:cNvGraphicFramePr>
              <a:graphicFrameLocks noChangeAspect="1"/>
            </wp:cNvGraphicFramePr>
            <a:graphic>
              <a:graphicData uri="http://schemas.openxmlformats.org/drawingml/2006/picture">
                <pic:pic>
                  <pic:nvPicPr>
                    <pic:cNvPr id="0" name="inline_023.png"/>
                    <pic:cNvPicPr/>
                  </pic:nvPicPr>
                  <pic:blipFill>
                    <a:blip r:embed="rId29"/>
                    <a:stretch>
                      <a:fillRect/>
                    </a:stretch>
                  </pic:blipFill>
                  <pic:spPr>
                    <a:xfrm>
                      <a:off x="0" y="0"/>
                      <a:ext cx="170992" cy="155448"/>
                    </a:xfrm>
                    <a:prstGeom prst="rect"/>
                  </pic:spPr>
                </pic:pic>
              </a:graphicData>
            </a:graphic>
          </wp:inline>
        </w:drawing>
      </w:r>
      <w:r>
        <w:rPr>
          <w:rFonts w:ascii="宋体" w:hAnsi="宋体" w:eastAsia="宋体"/>
          <w:sz w:val="21"/>
        </w:rPr>
        <w:t xml:space="preserve"> 为初始工程标定参数。上述损失可以按轨迹长度、速度段和车辆参数域进行归一化，避免长轨迹或高误差场景支配训练。</w:t>
      </w:r>
    </w:p>
    <w:p>
      <w:pPr>
        <w:pStyle w:val="Heading4"/>
      </w:pPr>
      <w:r>
        <w:rPr>
          <w:rFonts w:ascii="宋体" w:hAnsi="宋体" w:eastAsia="宋体"/>
        </w:rPr>
        <w:t>（4）参数更新与硬逻辑复验</w:t>
      </w:r>
    </w:p>
    <w:p>
      <w:pPr>
        <w:spacing w:after="120" w:line="276" w:lineRule="auto"/>
      </w:pPr>
      <w:r>
        <w:rPr>
          <w:rFonts w:ascii="宋体" w:hAnsi="宋体" w:eastAsia="宋体"/>
          <w:sz w:val="21"/>
        </w:rPr>
        <w:t>参数更新可表示为公式（4）：</w:t>
      </w:r>
    </w:p>
    <w:p>
      <w:pPr>
        <w:spacing w:after="120" w:before="60"/>
      </w:pPr>
      <w:r>
        <w:rPr>
          <w:b w:val="0"/>
        </w:rPr>
        <w:drawing>
          <wp:inline xmlns:a="http://schemas.openxmlformats.org/drawingml/2006/main" xmlns:pic="http://schemas.openxmlformats.org/drawingml/2006/picture">
            <wp:extent cx="1532890" cy="155448"/>
            <wp:docPr id="29" name="Picture 29"/>
            <wp:cNvGraphicFramePr>
              <a:graphicFrameLocks noChangeAspect="1"/>
            </wp:cNvGraphicFramePr>
            <a:graphic>
              <a:graphicData uri="http://schemas.openxmlformats.org/drawingml/2006/picture">
                <pic:pic>
                  <pic:nvPicPr>
                    <pic:cNvPr id="0" name="eq_004.png"/>
                    <pic:cNvPicPr/>
                  </pic:nvPicPr>
                  <pic:blipFill>
                    <a:blip r:embed="rId30"/>
                    <a:stretch>
                      <a:fillRect/>
                    </a:stretch>
                  </pic:blipFill>
                  <pic:spPr>
                    <a:xfrm>
                      <a:off x="0" y="0"/>
                      <a:ext cx="1532890" cy="155448"/>
                    </a:xfrm>
                    <a:prstGeom prst="rect"/>
                  </pic:spPr>
                </pic:pic>
              </a:graphicData>
            </a:graphic>
          </wp:inline>
        </w:drawing>
      </w:r>
    </w:p>
    <w:p>
      <w:pPr>
        <w:spacing w:after="120" w:line="276" w:lineRule="auto"/>
      </w:pPr>
      <w:r>
        <w:rPr>
          <w:rFonts w:ascii="宋体" w:hAnsi="宋体" w:eastAsia="宋体"/>
          <w:sz w:val="21"/>
        </w:rPr>
        <w:t xml:space="preserve">训练结束得到 </w:t>
      </w:r>
      <w:r>
        <w:rPr>
          <w:rFonts w:ascii="宋体" w:hAnsi="宋体" w:eastAsia="宋体"/>
          <w:b w:val="0"/>
          <w:sz w:val="21"/>
        </w:rPr>
        <w:drawing>
          <wp:inline xmlns:a="http://schemas.openxmlformats.org/drawingml/2006/main" xmlns:pic="http://schemas.openxmlformats.org/drawingml/2006/picture">
            <wp:extent cx="212445" cy="155448"/>
            <wp:docPr id="30" name="Picture 30"/>
            <wp:cNvGraphicFramePr>
              <a:graphicFrameLocks noChangeAspect="1"/>
            </wp:cNvGraphicFramePr>
            <a:graphic>
              <a:graphicData uri="http://schemas.openxmlformats.org/drawingml/2006/picture">
                <pic:pic>
                  <pic:nvPicPr>
                    <pic:cNvPr id="0" name="inline_024.png"/>
                    <pic:cNvPicPr/>
                  </pic:nvPicPr>
                  <pic:blipFill>
                    <a:blip r:embed="rId31"/>
                    <a:stretch>
                      <a:fillRect/>
                    </a:stretch>
                  </pic:blipFill>
                  <pic:spPr>
                    <a:xfrm>
                      <a:off x="0" y="0"/>
                      <a:ext cx="212445" cy="155448"/>
                    </a:xfrm>
                    <a:prstGeom prst="rect"/>
                  </pic:spPr>
                </pic:pic>
              </a:graphicData>
            </a:graphic>
          </wp:inline>
        </w:drawing>
      </w:r>
      <w:r>
        <w:rPr>
          <w:rFonts w:ascii="宋体" w:hAnsi="宋体" w:eastAsia="宋体"/>
          <w:sz w:val="21"/>
        </w:rPr>
        <w:t xml:space="preserve"> 后，将其放入验证模式，如公式（5）：</w:t>
      </w:r>
    </w:p>
    <w:p>
      <w:pPr>
        <w:spacing w:after="120" w:before="60"/>
      </w:pPr>
      <w:r>
        <w:rPr>
          <w:b w:val="0"/>
        </w:rPr>
        <w:drawing>
          <wp:inline xmlns:a="http://schemas.openxmlformats.org/drawingml/2006/main" xmlns:pic="http://schemas.openxmlformats.org/drawingml/2006/picture">
            <wp:extent cx="2841244" cy="155448"/>
            <wp:docPr id="31" name="Picture 31"/>
            <wp:cNvGraphicFramePr>
              <a:graphicFrameLocks noChangeAspect="1"/>
            </wp:cNvGraphicFramePr>
            <a:graphic>
              <a:graphicData uri="http://schemas.openxmlformats.org/drawingml/2006/picture">
                <pic:pic>
                  <pic:nvPicPr>
                    <pic:cNvPr id="0" name="eq_005.png"/>
                    <pic:cNvPicPr/>
                  </pic:nvPicPr>
                  <pic:blipFill>
                    <a:blip r:embed="rId32"/>
                    <a:stretch>
                      <a:fillRect/>
                    </a:stretch>
                  </pic:blipFill>
                  <pic:spPr>
                    <a:xfrm>
                      <a:off x="0" y="0"/>
                      <a:ext cx="2841244" cy="155448"/>
                    </a:xfrm>
                    <a:prstGeom prst="rect"/>
                  </pic:spPr>
                </pic:pic>
              </a:graphicData>
            </a:graphic>
          </wp:inline>
        </w:drawing>
      </w:r>
    </w:p>
    <w:p>
      <w:pPr>
        <w:spacing w:after="120" w:line="276" w:lineRule="auto"/>
      </w:pPr>
      <w:r>
        <w:rPr>
          <w:rFonts w:ascii="宋体" w:hAnsi="宋体" w:eastAsia="宋体"/>
          <w:sz w:val="21"/>
        </w:rPr>
        <w:t>式 (5) 表示用原始硬分支、硬限幅和硬速率限制运行全场景验证，并输出轨迹、误差、控制指令和日志。只有当验证结果满足预设要求时，整定参数才作为可部署配置输出。</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符号或类别</w:t>
            </w:r>
          </w:p>
        </w:tc>
        <w:tc>
          <w:tcPr>
            <w:tcW w:type="dxa" w:w="1728"/>
          </w:tcPr>
          <w:p>
            <w:r>
              <w:rPr>
                <w:rFonts w:ascii="宋体" w:hAnsi="宋体" w:eastAsia="宋体"/>
                <w:sz w:val="20"/>
              </w:rPr>
            </w:r>
            <w:r>
              <w:rPr>
                <w:rFonts w:ascii="宋体" w:hAnsi="宋体" w:eastAsia="宋体"/>
                <w:sz w:val="20"/>
              </w:rPr>
              <w:t>示例参数</w:t>
            </w:r>
          </w:p>
        </w:tc>
        <w:tc>
          <w:tcPr>
            <w:tcW w:type="dxa" w:w="1728"/>
          </w:tcPr>
          <w:p>
            <w:r>
              <w:rPr>
                <w:rFonts w:ascii="宋体" w:hAnsi="宋体" w:eastAsia="宋体"/>
                <w:sz w:val="20"/>
              </w:rPr>
            </w:r>
            <w:r>
              <w:rPr>
                <w:rFonts w:ascii="宋体" w:hAnsi="宋体" w:eastAsia="宋体"/>
                <w:sz w:val="20"/>
              </w:rPr>
              <w:t>取值或约束</w:t>
            </w:r>
          </w:p>
        </w:tc>
        <w:tc>
          <w:tcPr>
            <w:tcW w:type="dxa" w:w="1728"/>
          </w:tcPr>
          <w:p>
            <w:r>
              <w:rPr>
                <w:rFonts w:ascii="宋体" w:hAnsi="宋体" w:eastAsia="宋体"/>
                <w:sz w:val="20"/>
              </w:rPr>
            </w:r>
            <w:r>
              <w:rPr>
                <w:rFonts w:ascii="宋体" w:hAnsi="宋体" w:eastAsia="宋体"/>
                <w:sz w:val="20"/>
              </w:rPr>
              <w:t>可调性</w:t>
            </w:r>
          </w:p>
        </w:tc>
        <w:tc>
          <w:tcPr>
            <w:tcW w:type="dxa" w:w="1728"/>
          </w:tcPr>
          <w:p>
            <w:r>
              <w:rPr>
                <w:rFonts w:ascii="宋体" w:hAnsi="宋体" w:eastAsia="宋体"/>
                <w:sz w:val="20"/>
              </w:rPr>
            </w:r>
            <w:r>
              <w:rPr>
                <w:rFonts w:ascii="宋体" w:hAnsi="宋体" w:eastAsia="宋体"/>
                <w:sz w:val="20"/>
              </w:rPr>
              <w:t>说明</w:t>
            </w:r>
          </w:p>
        </w:tc>
      </w:tr>
      <w:tr>
        <w:tc>
          <w:tcPr>
            <w:tcW w:type="dxa" w:w="1728"/>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43535" cy="155448"/>
                  <wp:docPr id="32" name="Picture 32"/>
                  <wp:cNvGraphicFramePr>
                    <a:graphicFrameLocks noChangeAspect="1"/>
                  </wp:cNvGraphicFramePr>
                  <a:graphic>
                    <a:graphicData uri="http://schemas.openxmlformats.org/drawingml/2006/picture">
                      <pic:pic>
                        <pic:nvPicPr>
                          <pic:cNvPr id="0" name="inline_010.png"/>
                          <pic:cNvPicPr/>
                        </pic:nvPicPr>
                        <pic:blipFill>
                          <a:blip r:embed="rId17"/>
                          <a:stretch>
                            <a:fillRect/>
                          </a:stretch>
                        </pic:blipFill>
                        <pic:spPr>
                          <a:xfrm>
                            <a:off x="0" y="0"/>
                            <a:ext cx="243535" cy="155448"/>
                          </a:xfrm>
                          <a:prstGeom prst="rect"/>
                        </pic:spPr>
                      </pic:pic>
                    </a:graphicData>
                  </a:graphic>
                </wp:inline>
              </w:drawing>
            </w:r>
          </w:p>
        </w:tc>
        <w:tc>
          <w:tcPr>
            <w:tcW w:type="dxa" w:w="1728"/>
          </w:tcPr>
          <w:p>
            <w:r>
              <w:rPr>
                <w:rFonts w:ascii="宋体" w:hAnsi="宋体" w:eastAsia="宋体"/>
                <w:sz w:val="20"/>
              </w:rPr>
            </w:r>
            <w:r>
              <w:rPr>
                <w:rFonts w:ascii="宋体" w:hAnsi="宋体" w:eastAsia="宋体"/>
                <w:sz w:val="20"/>
              </w:rPr>
              <w:t>横向预瞄时间、收敛时间、角速度误差预瞄时间、远预瞄时间查找表节点</w:t>
            </w:r>
          </w:p>
        </w:tc>
        <w:tc>
          <w:tcPr>
            <w:tcW w:type="dxa" w:w="1728"/>
          </w:tcPr>
          <w:p>
            <w:r>
              <w:rPr>
                <w:rFonts w:ascii="宋体" w:hAnsi="宋体" w:eastAsia="宋体"/>
                <w:sz w:val="20"/>
              </w:rPr>
            </w:r>
            <w:r>
              <w:rPr>
                <w:rFonts w:ascii="宋体" w:hAnsi="宋体" w:eastAsia="宋体"/>
                <w:sz w:val="20"/>
              </w:rPr>
              <w:t>受速度段和转向稳定性约束</w:t>
            </w:r>
          </w:p>
        </w:tc>
        <w:tc>
          <w:tcPr>
            <w:tcW w:type="dxa" w:w="1728"/>
          </w:tcPr>
          <w:p>
            <w:r>
              <w:rPr>
                <w:rFonts w:ascii="宋体" w:hAnsi="宋体" w:eastAsia="宋体"/>
                <w:sz w:val="20"/>
              </w:rPr>
            </w:r>
            <w:r>
              <w:rPr>
                <w:rFonts w:ascii="宋体" w:hAnsi="宋体" w:eastAsia="宋体"/>
                <w:sz w:val="20"/>
              </w:rPr>
              <w:t>可调</w:t>
            </w:r>
          </w:p>
        </w:tc>
        <w:tc>
          <w:tcPr>
            <w:tcW w:type="dxa" w:w="1728"/>
          </w:tcPr>
          <w:p>
            <w:r>
              <w:rPr>
                <w:rFonts w:ascii="宋体" w:hAnsi="宋体" w:eastAsia="宋体"/>
                <w:sz w:val="20"/>
              </w:rPr>
            </w:r>
            <w:r>
              <w:rPr>
                <w:rFonts w:ascii="宋体" w:hAnsi="宋体" w:eastAsia="宋体"/>
                <w:sz w:val="20"/>
              </w:rPr>
              <w:t>对应横向控制器跟踪精度和转向平滑性</w:t>
            </w:r>
          </w:p>
        </w:tc>
      </w:tr>
      <w:tr>
        <w:tc>
          <w:tcPr>
            <w:tcW w:type="dxa" w:w="1728"/>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59080" cy="155448"/>
                  <wp:docPr id="33" name="Picture 33"/>
                  <wp:cNvGraphicFramePr>
                    <a:graphicFrameLocks noChangeAspect="1"/>
                  </wp:cNvGraphicFramePr>
                  <a:graphic>
                    <a:graphicData uri="http://schemas.openxmlformats.org/drawingml/2006/picture">
                      <pic:pic>
                        <pic:nvPicPr>
                          <pic:cNvPr id="0" name="inline_011.png"/>
                          <pic:cNvPicPr/>
                        </pic:nvPicPr>
                        <pic:blipFill>
                          <a:blip r:embed="rId18"/>
                          <a:stretch>
                            <a:fillRect/>
                          </a:stretch>
                        </pic:blipFill>
                        <pic:spPr>
                          <a:xfrm>
                            <a:off x="0" y="0"/>
                            <a:ext cx="259080" cy="155448"/>
                          </a:xfrm>
                          <a:prstGeom prst="rect"/>
                        </pic:spPr>
                      </pic:pic>
                    </a:graphicData>
                  </a:graphic>
                </wp:inline>
              </w:drawing>
            </w:r>
          </w:p>
        </w:tc>
        <w:tc>
          <w:tcPr>
            <w:tcW w:type="dxa" w:w="1728"/>
          </w:tcPr>
          <w:p>
            <w:r>
              <w:rPr>
                <w:rFonts w:ascii="宋体" w:hAnsi="宋体" w:eastAsia="宋体"/>
                <w:sz w:val="20"/>
              </w:rPr>
            </w:r>
            <w:r>
              <w:rPr>
                <w:rFonts w:ascii="宋体" w:hAnsi="宋体" w:eastAsia="宋体"/>
                <w:sz w:val="20"/>
              </w:rPr>
              <w:t>站位环增益、低速速度环增益、高速速度环增益、低高速切换速度</w:t>
            </w:r>
          </w:p>
        </w:tc>
        <w:tc>
          <w:tcPr>
            <w:tcW w:type="dxa" w:w="1728"/>
          </w:tcPr>
          <w:p>
            <w:r>
              <w:rPr>
                <w:rFonts w:ascii="宋体" w:hAnsi="宋体" w:eastAsia="宋体"/>
                <w:sz w:val="20"/>
              </w:rPr>
            </w:r>
            <w:r>
              <w:rPr>
                <w:rFonts w:ascii="宋体" w:hAnsi="宋体" w:eastAsia="宋体"/>
                <w:sz w:val="20"/>
              </w:rPr>
              <w:t>增益非负，切换速度位于工程范围内</w:t>
            </w:r>
          </w:p>
        </w:tc>
        <w:tc>
          <w:tcPr>
            <w:tcW w:type="dxa" w:w="1728"/>
          </w:tcPr>
          <w:p>
            <w:r>
              <w:rPr>
                <w:rFonts w:ascii="宋体" w:hAnsi="宋体" w:eastAsia="宋体"/>
                <w:sz w:val="20"/>
              </w:rPr>
            </w:r>
            <w:r>
              <w:rPr>
                <w:rFonts w:ascii="宋体" w:hAnsi="宋体" w:eastAsia="宋体"/>
                <w:sz w:val="20"/>
              </w:rPr>
              <w:t>可调</w:t>
            </w:r>
          </w:p>
        </w:tc>
        <w:tc>
          <w:tcPr>
            <w:tcW w:type="dxa" w:w="1728"/>
          </w:tcPr>
          <w:p>
            <w:r>
              <w:rPr>
                <w:rFonts w:ascii="宋体" w:hAnsi="宋体" w:eastAsia="宋体"/>
                <w:sz w:val="20"/>
              </w:rPr>
            </w:r>
            <w:r>
              <w:rPr>
                <w:rFonts w:ascii="宋体" w:hAnsi="宋体" w:eastAsia="宋体"/>
                <w:sz w:val="20"/>
              </w:rPr>
              <w:t>对应速度跟踪和加减速响应</w:t>
            </w:r>
          </w:p>
        </w:tc>
      </w:tr>
      <w:tr>
        <w:tc>
          <w:tcPr>
            <w:tcW w:type="dxa" w:w="1728"/>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98450" cy="155448"/>
                  <wp:docPr id="34" name="Picture 34"/>
                  <wp:cNvGraphicFramePr>
                    <a:graphicFrameLocks noChangeAspect="1"/>
                  </wp:cNvGraphicFramePr>
                  <a:graphic>
                    <a:graphicData uri="http://schemas.openxmlformats.org/drawingml/2006/picture">
                      <pic:pic>
                        <pic:nvPicPr>
                          <pic:cNvPr id="0" name="inline_012.png"/>
                          <pic:cNvPicPr/>
                        </pic:nvPicPr>
                        <pic:blipFill>
                          <a:blip r:embed="rId19"/>
                          <a:stretch>
                            <a:fillRect/>
                          </a:stretch>
                        </pic:blipFill>
                        <pic:spPr>
                          <a:xfrm>
                            <a:off x="0" y="0"/>
                            <a:ext cx="98450" cy="155448"/>
                          </a:xfrm>
                          <a:prstGeom prst="rect"/>
                        </pic:spPr>
                      </pic:pic>
                    </a:graphicData>
                  </a:graphic>
                </wp:inline>
              </w:drawing>
            </w:r>
          </w:p>
        </w:tc>
        <w:tc>
          <w:tcPr>
            <w:tcW w:type="dxa" w:w="1728"/>
          </w:tcPr>
          <w:p>
            <w:r>
              <w:rPr>
                <w:rFonts w:ascii="宋体" w:hAnsi="宋体" w:eastAsia="宋体"/>
                <w:sz w:val="20"/>
              </w:rPr>
            </w:r>
            <w:r>
              <w:rPr>
                <w:rFonts w:ascii="宋体" w:hAnsi="宋体" w:eastAsia="宋体"/>
                <w:sz w:val="20"/>
              </w:rPr>
              <w:t>质量、前后轴侧偏刚度、轮胎半径、传动效率</w:t>
            </w:r>
          </w:p>
        </w:tc>
        <w:tc>
          <w:tcPr>
            <w:tcW w:type="dxa" w:w="1728"/>
          </w:tcPr>
          <w:p>
            <w:r>
              <w:rPr>
                <w:rFonts w:ascii="宋体" w:hAnsi="宋体" w:eastAsia="宋体"/>
                <w:sz w:val="20"/>
              </w:rPr>
            </w:r>
            <w:r>
              <w:rPr>
                <w:rFonts w:ascii="宋体" w:hAnsi="宋体" w:eastAsia="宋体"/>
                <w:sz w:val="20"/>
              </w:rPr>
              <w:t>名义值或采样范围</w:t>
            </w:r>
          </w:p>
        </w:tc>
        <w:tc>
          <w:tcPr>
            <w:tcW w:type="dxa" w:w="1728"/>
          </w:tcPr>
          <w:p>
            <w:r>
              <w:rPr>
                <w:rFonts w:ascii="宋体" w:hAnsi="宋体" w:eastAsia="宋体"/>
                <w:sz w:val="20"/>
              </w:rPr>
            </w:r>
            <w:r>
              <w:rPr>
                <w:rFonts w:ascii="宋体" w:hAnsi="宋体" w:eastAsia="宋体"/>
                <w:sz w:val="20"/>
              </w:rPr>
              <w:t>固定或采样</w:t>
            </w:r>
          </w:p>
        </w:tc>
        <w:tc>
          <w:tcPr>
            <w:tcW w:type="dxa" w:w="1728"/>
          </w:tcPr>
          <w:p>
            <w:r>
              <w:rPr>
                <w:rFonts w:ascii="宋体" w:hAnsi="宋体" w:eastAsia="宋体"/>
                <w:sz w:val="20"/>
              </w:rPr>
            </w:r>
            <w:r>
              <w:rPr>
                <w:rFonts w:ascii="宋体" w:hAnsi="宋体" w:eastAsia="宋体"/>
                <w:sz w:val="20"/>
              </w:rPr>
              <w:t>用于车辆动力学与域随机化</w:t>
            </w:r>
          </w:p>
        </w:tc>
      </w:tr>
      <w:tr>
        <w:tc>
          <w:tcPr>
            <w:tcW w:type="dxa" w:w="1728"/>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260856" cy="155448"/>
                  <wp:docPr id="35" name="Picture 35"/>
                  <wp:cNvGraphicFramePr>
                    <a:graphicFrameLocks noChangeAspect="1"/>
                  </wp:cNvGraphicFramePr>
                  <a:graphic>
                    <a:graphicData uri="http://schemas.openxmlformats.org/drawingml/2006/picture">
                      <pic:pic>
                        <pic:nvPicPr>
                          <pic:cNvPr id="0" name="inline_028.png"/>
                          <pic:cNvPicPr/>
                        </pic:nvPicPr>
                        <pic:blipFill>
                          <a:blip r:embed="rId33"/>
                          <a:stretch>
                            <a:fillRect/>
                          </a:stretch>
                        </pic:blipFill>
                        <pic:spPr>
                          <a:xfrm>
                            <a:off x="0" y="0"/>
                            <a:ext cx="1260856" cy="155448"/>
                          </a:xfrm>
                          <a:prstGeom prst="rect"/>
                        </pic:spPr>
                      </pic:pic>
                    </a:graphicData>
                  </a:graphic>
                </wp:inline>
              </w:drawing>
            </w:r>
          </w:p>
        </w:tc>
        <w:tc>
          <w:tcPr>
            <w:tcW w:type="dxa" w:w="1728"/>
          </w:tcPr>
          <w:p>
            <w:r>
              <w:rPr>
                <w:rFonts w:ascii="宋体" w:hAnsi="宋体" w:eastAsia="宋体"/>
                <w:sz w:val="20"/>
              </w:rPr>
            </w:r>
            <w:r>
              <w:rPr>
                <w:rFonts w:ascii="宋体" w:hAnsi="宋体" w:eastAsia="宋体"/>
                <w:sz w:val="20"/>
              </w:rPr>
              <w:t>跟踪误差权重</w:t>
            </w:r>
          </w:p>
        </w:tc>
        <w:tc>
          <w:tcPr>
            <w:tcW w:type="dxa" w:w="1728"/>
          </w:tcPr>
          <w:p>
            <w:r>
              <w:rPr>
                <w:rFonts w:ascii="宋体" w:hAnsi="宋体" w:eastAsia="宋体"/>
                <w:sz w:val="20"/>
              </w:rPr>
            </w:r>
            <w:r>
              <w:rPr>
                <w:rFonts w:ascii="宋体" w:hAnsi="宋体" w:eastAsia="宋体"/>
                <w:sz w:val="20"/>
              </w:rPr>
              <w:t>正数</w:t>
            </w:r>
          </w:p>
        </w:tc>
        <w:tc>
          <w:tcPr>
            <w:tcW w:type="dxa" w:w="1728"/>
          </w:tcPr>
          <w:p>
            <w:r>
              <w:rPr>
                <w:rFonts w:ascii="宋体" w:hAnsi="宋体" w:eastAsia="宋体"/>
                <w:sz w:val="20"/>
              </w:rPr>
            </w:r>
            <w:r>
              <w:rPr>
                <w:rFonts w:ascii="宋体" w:hAnsi="宋体" w:eastAsia="宋体"/>
                <w:sz w:val="20"/>
              </w:rPr>
              <w:t>预设</w:t>
            </w:r>
          </w:p>
        </w:tc>
        <w:tc>
          <w:tcPr>
            <w:tcW w:type="dxa" w:w="1728"/>
          </w:tcPr>
          <w:p>
            <w:r>
              <w:rPr>
                <w:rFonts w:ascii="宋体" w:hAnsi="宋体" w:eastAsia="宋体"/>
                <w:sz w:val="20"/>
              </w:rPr>
            </w:r>
            <w:r>
              <w:rPr>
                <w:rFonts w:ascii="宋体" w:hAnsi="宋体" w:eastAsia="宋体"/>
                <w:sz w:val="20"/>
              </w:rPr>
              <w:t>用于平衡横向、航向和速度目标</w:t>
            </w:r>
          </w:p>
        </w:tc>
      </w:tr>
      <w:tr>
        <w:tc>
          <w:tcPr>
            <w:tcW w:type="dxa" w:w="1728"/>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20713" cy="155448"/>
                  <wp:docPr id="36" name="Picture 36"/>
                  <wp:cNvGraphicFramePr>
                    <a:graphicFrameLocks noChangeAspect="1"/>
                  </wp:cNvGraphicFramePr>
                  <a:graphic>
                    <a:graphicData uri="http://schemas.openxmlformats.org/drawingml/2006/picture">
                      <pic:pic>
                        <pic:nvPicPr>
                          <pic:cNvPr id="0" name="inline_029.png"/>
                          <pic:cNvPicPr/>
                        </pic:nvPicPr>
                        <pic:blipFill>
                          <a:blip r:embed="rId34"/>
                          <a:stretch>
                            <a:fillRect/>
                          </a:stretch>
                        </pic:blipFill>
                        <pic:spPr>
                          <a:xfrm>
                            <a:off x="0" y="0"/>
                            <a:ext cx="720713" cy="155448"/>
                          </a:xfrm>
                          <a:prstGeom prst="rect"/>
                        </pic:spPr>
                      </pic:pic>
                    </a:graphicData>
                  </a:graphic>
                </wp:inline>
              </w:drawing>
            </w:r>
          </w:p>
        </w:tc>
        <w:tc>
          <w:tcPr>
            <w:tcW w:type="dxa" w:w="1728"/>
          </w:tcPr>
          <w:p>
            <w:r>
              <w:rPr>
                <w:rFonts w:ascii="宋体" w:hAnsi="宋体" w:eastAsia="宋体"/>
                <w:sz w:val="20"/>
              </w:rPr>
            </w:r>
            <w:r>
              <w:rPr>
                <w:rFonts w:ascii="宋体" w:hAnsi="宋体" w:eastAsia="宋体"/>
                <w:sz w:val="20"/>
              </w:rPr>
              <w:t>控制指令平滑权重</w:t>
            </w:r>
          </w:p>
        </w:tc>
        <w:tc>
          <w:tcPr>
            <w:tcW w:type="dxa" w:w="1728"/>
          </w:tcPr>
          <w:p>
            <w:r>
              <w:rPr>
                <w:rFonts w:ascii="宋体" w:hAnsi="宋体" w:eastAsia="宋体"/>
                <w:sz w:val="20"/>
              </w:rPr>
            </w:r>
            <w:r>
              <w:rPr>
                <w:rFonts w:ascii="宋体" w:hAnsi="宋体" w:eastAsia="宋体"/>
                <w:sz w:val="20"/>
              </w:rPr>
              <w:t>正数</w:t>
            </w:r>
          </w:p>
        </w:tc>
        <w:tc>
          <w:tcPr>
            <w:tcW w:type="dxa" w:w="1728"/>
          </w:tcPr>
          <w:p>
            <w:r>
              <w:rPr>
                <w:rFonts w:ascii="宋体" w:hAnsi="宋体" w:eastAsia="宋体"/>
                <w:sz w:val="20"/>
              </w:rPr>
            </w:r>
            <w:r>
              <w:rPr>
                <w:rFonts w:ascii="宋体" w:hAnsi="宋体" w:eastAsia="宋体"/>
                <w:sz w:val="20"/>
              </w:rPr>
              <w:t>预设</w:t>
            </w:r>
          </w:p>
        </w:tc>
        <w:tc>
          <w:tcPr>
            <w:tcW w:type="dxa" w:w="1728"/>
          </w:tcPr>
          <w:p>
            <w:r>
              <w:rPr>
                <w:rFonts w:ascii="宋体" w:hAnsi="宋体" w:eastAsia="宋体"/>
                <w:sz w:val="20"/>
              </w:rPr>
            </w:r>
            <w:r>
              <w:rPr>
                <w:rFonts w:ascii="宋体" w:hAnsi="宋体" w:eastAsia="宋体"/>
                <w:sz w:val="20"/>
              </w:rPr>
              <w:t>用于抑制转向和加速度突变</w:t>
            </w:r>
          </w:p>
        </w:tc>
      </w:tr>
      <w:tr>
        <w:tc>
          <w:tcPr>
            <w:tcW w:type="dxa" w:w="1728"/>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36050" cy="155448"/>
                  <wp:docPr id="37" name="Picture 37"/>
                  <wp:cNvGraphicFramePr>
                    <a:graphicFrameLocks noChangeAspect="1"/>
                  </wp:cNvGraphicFramePr>
                  <a:graphic>
                    <a:graphicData uri="http://schemas.openxmlformats.org/drawingml/2006/picture">
                      <pic:pic>
                        <pic:nvPicPr>
                          <pic:cNvPr id="0" name="inline_030.png"/>
                          <pic:cNvPicPr/>
                        </pic:nvPicPr>
                        <pic:blipFill>
                          <a:blip r:embed="rId35"/>
                          <a:stretch>
                            <a:fillRect/>
                          </a:stretch>
                        </pic:blipFill>
                        <pic:spPr>
                          <a:xfrm>
                            <a:off x="0" y="0"/>
                            <a:ext cx="236050" cy="155448"/>
                          </a:xfrm>
                          <a:prstGeom prst="rect"/>
                        </pic:spPr>
                      </pic:pic>
                    </a:graphicData>
                  </a:graphic>
                </wp:inline>
              </w:drawing>
            </w:r>
          </w:p>
        </w:tc>
        <w:tc>
          <w:tcPr>
            <w:tcW w:type="dxa" w:w="1728"/>
          </w:tcPr>
          <w:p>
            <w:r>
              <w:rPr>
                <w:rFonts w:ascii="宋体" w:hAnsi="宋体" w:eastAsia="宋体"/>
                <w:sz w:val="20"/>
              </w:rPr>
            </w:r>
            <w:r>
              <w:rPr>
                <w:rFonts w:ascii="宋体" w:hAnsi="宋体" w:eastAsia="宋体"/>
                <w:sz w:val="20"/>
              </w:rPr>
              <w:t>参数投影范围</w:t>
            </w:r>
          </w:p>
        </w:tc>
        <w:tc>
          <w:tcPr>
            <w:tcW w:type="dxa" w:w="1728"/>
          </w:tcPr>
          <w:p>
            <w:r>
              <w:rPr>
                <w:rFonts w:ascii="宋体" w:hAnsi="宋体" w:eastAsia="宋体"/>
                <w:sz w:val="20"/>
              </w:rPr>
            </w:r>
            <w:r>
              <w:rPr>
                <w:rFonts w:ascii="宋体" w:hAnsi="宋体" w:eastAsia="宋体"/>
                <w:sz w:val="20"/>
              </w:rPr>
              <w:t>上下界由车辆物理和安全约束确定</w:t>
            </w:r>
          </w:p>
        </w:tc>
        <w:tc>
          <w:tcPr>
            <w:tcW w:type="dxa" w:w="1728"/>
          </w:tcPr>
          <w:p>
            <w:r>
              <w:rPr>
                <w:rFonts w:ascii="宋体" w:hAnsi="宋体" w:eastAsia="宋体"/>
                <w:sz w:val="20"/>
              </w:rPr>
            </w:r>
            <w:r>
              <w:rPr>
                <w:rFonts w:ascii="宋体" w:hAnsi="宋体" w:eastAsia="宋体"/>
                <w:sz w:val="20"/>
              </w:rPr>
              <w:t>固定</w:t>
            </w:r>
          </w:p>
        </w:tc>
        <w:tc>
          <w:tcPr>
            <w:tcW w:type="dxa" w:w="1728"/>
          </w:tcPr>
          <w:p>
            <w:r>
              <w:rPr>
                <w:rFonts w:ascii="宋体" w:hAnsi="宋体" w:eastAsia="宋体"/>
                <w:sz w:val="20"/>
              </w:rPr>
            </w:r>
            <w:r>
              <w:rPr>
                <w:rFonts w:ascii="宋体" w:hAnsi="宋体" w:eastAsia="宋体"/>
                <w:sz w:val="20"/>
              </w:rPr>
              <w:t>防止自动更新越过可部署范围</w:t>
            </w:r>
          </w:p>
        </w:tc>
      </w:tr>
    </w:tbl>
    <w:p>
      <w:pPr>
        <w:pStyle w:val="Heading2"/>
      </w:pPr>
      <w:r>
        <w:rPr>
          <w:rFonts w:ascii="黑体" w:hAnsi="黑体" w:eastAsia="黑体"/>
        </w:rPr>
        <w:t>四、与现有技术相比，本发明具有哪些优点？</w:t>
      </w:r>
    </w:p>
    <w:p>
      <w:pPr>
        <w:spacing w:after="120" w:line="276" w:lineRule="auto"/>
      </w:pPr>
      <w:r>
        <w:rPr>
          <w:rFonts w:ascii="宋体" w:hAnsi="宋体" w:eastAsia="宋体"/>
          <w:sz w:val="21"/>
        </w:rPr>
        <w:t>第一，本发明将车辆横向控制器、纵向控制器、车辆动力学和评价指标统一到闭环时间链路中，使参数更新方向来自多周期跟踪误差，而不是依赖人工逐项试验。</w:t>
      </w:r>
    </w:p>
    <w:p>
      <w:pPr>
        <w:spacing w:after="120" w:line="276" w:lineRule="auto"/>
      </w:pPr>
      <w:r>
        <w:rPr>
          <w:rFonts w:ascii="宋体" w:hAnsi="宋体" w:eastAsia="宋体"/>
          <w:sz w:val="21"/>
        </w:rPr>
        <w:t>第二，本发明采用训练模式和验证模式共享参数的双模式控制器，训练模式解决梯度回传问题，验证模式保留原始硬逻辑，从而降低训练近似与工程部署行为不一致的风险。</w:t>
      </w:r>
    </w:p>
    <w:p>
      <w:pPr>
        <w:spacing w:after="120" w:line="276" w:lineRule="auto"/>
      </w:pPr>
      <w:r>
        <w:rPr>
          <w:rFonts w:ascii="宋体" w:hAnsi="宋体" w:eastAsia="宋体"/>
          <w:sz w:val="21"/>
        </w:rPr>
        <w:t>第三，本发明针对查找表、限幅、速率限制、条件分支和最近点选择等工程非光滑逻辑给出组合处理方式，使真实工程控制器可以被纳入可微整定流程。</w:t>
      </w:r>
    </w:p>
    <w:p>
      <w:pPr>
        <w:spacing w:after="120" w:line="276" w:lineRule="auto"/>
      </w:pPr>
      <w:r>
        <w:rPr>
          <w:rFonts w:ascii="宋体" w:hAnsi="宋体" w:eastAsia="宋体"/>
          <w:sz w:val="21"/>
        </w:rPr>
        <w:t>第四，本发明将轨迹类型、速度段和车辆物理参数域展开为批量样本，可以在一次训练中同时覆盖多场景和多车辆状态，提高整定参数的鲁棒性。</w:t>
      </w:r>
    </w:p>
    <w:p>
      <w:pPr>
        <w:spacing w:after="120" w:line="276" w:lineRule="auto"/>
      </w:pPr>
      <w:r>
        <w:rPr>
          <w:rFonts w:ascii="宋体" w:hAnsi="宋体" w:eastAsia="宋体"/>
          <w:sz w:val="21"/>
        </w:rPr>
        <w:t>第五，本发明整定后自动生成配置文件、训练曲线、参数变化图、轨迹对比图和硬逻辑验证日志，便于工程复核和后续部署。</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sz w:val="21"/>
        </w:rPr>
        <w:t>（1）一种车辆横纵向控制器闭环可微参数整定方法：将轨迹查询、横向控制器、纵向控制器、车辆动力学和损失函数按控制周期展开，基于综合损失对控制器参数自动求梯度并更新。</w:t>
      </w:r>
    </w:p>
    <w:p>
      <w:pPr>
        <w:spacing w:after="120" w:line="276" w:lineRule="auto"/>
      </w:pPr>
      <w:r>
        <w:rPr>
          <w:rFonts w:ascii="宋体" w:hAnsi="宋体" w:eastAsia="宋体"/>
          <w:sz w:val="21"/>
        </w:rPr>
        <w:t>（2）一种双模式控制器复现方法：同一组控制器参数在训练模式下采用可微处理，在验证模式下采用原始硬分支、硬限幅和硬速率限制，以兼顾训练可行性和工程一致性。</w:t>
      </w:r>
    </w:p>
    <w:p>
      <w:pPr>
        <w:spacing w:after="120" w:line="276" w:lineRule="auto"/>
      </w:pPr>
      <w:r>
        <w:rPr>
          <w:rFonts w:ascii="宋体" w:hAnsi="宋体" w:eastAsia="宋体"/>
          <w:sz w:val="21"/>
        </w:rPr>
        <w:t>（3）一种工程非光滑逻辑的可微处理组合：包括查找表线性插值、速率限制直通估计、条件分支平滑混合、最近点选择隔离、时间预瞄插值和参数范围投影。</w:t>
      </w:r>
    </w:p>
    <w:p>
      <w:pPr>
        <w:spacing w:after="120" w:line="276" w:lineRule="auto"/>
      </w:pPr>
      <w:r>
        <w:rPr>
          <w:rFonts w:ascii="宋体" w:hAnsi="宋体" w:eastAsia="宋体"/>
          <w:sz w:val="21"/>
        </w:rPr>
        <w:t>（4）一种横向和纵向控制器参数联合分类整定方法：将预瞄时间、收敛时间、控制增益和切换速度作为可调参数，将车辆物理常数、安全边界和监控参数作为固定参数或车辆域样本，避免把不可部署或不应学习的量误作为整定对象。</w:t>
      </w:r>
    </w:p>
    <w:p>
      <w:pPr>
        <w:spacing w:after="120" w:line="276" w:lineRule="auto"/>
      </w:pPr>
      <w:r>
        <w:rPr>
          <w:rFonts w:ascii="宋体" w:hAnsi="宋体" w:eastAsia="宋体"/>
          <w:sz w:val="21"/>
        </w:rPr>
        <w:t>（5）一种多轨迹、多速度段、多车辆参数域的批量鲁棒整定方法：将轨迹和车辆物理参数域展开为批量样本，同步推进闭环仿真并按场景归一化损失。</w:t>
      </w:r>
    </w:p>
    <w:p>
      <w:pPr>
        <w:spacing w:after="120" w:line="276" w:lineRule="auto"/>
      </w:pPr>
      <w:r>
        <w:rPr>
          <w:rFonts w:ascii="宋体" w:hAnsi="宋体" w:eastAsia="宋体"/>
          <w:sz w:val="21"/>
        </w:rPr>
        <w:t>（6）一种训练后硬逻辑复验与产物生成方法：将整定参数导出为工程配置，并自动生成损失曲线、参数变化、轨迹对比、误差对比和验证日志；若硬逻辑复验不满足要求，则继续闭环整定。</w:t>
      </w:r>
    </w:p>
    <w:p>
      <w:pPr>
        <w:spacing w:after="120" w:line="276" w:lineRule="auto"/>
      </w:pPr>
      <w:r>
        <w:rPr>
          <w:rFonts w:ascii="宋体" w:hAnsi="宋体" w:eastAsia="宋体"/>
          <w:sz w:val="21"/>
        </w:rPr>
        <w:t>（7）上述方法在牵引车与挂车双体动力学模型、机理模型与残差模型组合以及低层车辆控制器可微复现中的应用。</w:t>
      </w:r>
    </w:p>
    <w:p>
      <w:pPr>
        <w:spacing w:after="120" w:line="276" w:lineRule="auto"/>
      </w:pPr>
      <w:r>
        <w:rPr>
          <w:rFonts w:ascii="宋体" w:hAnsi="宋体" w:eastAsia="宋体"/>
          <w:sz w:val="21"/>
        </w:rPr>
        <w:t>（8）一种实现上述方法的系统，包括控制器双模式复现模块、车辆动力学模块、轨迹库模块、闭环展开模块、损失计算模块、自动微分模块、参数投影模块、硬逻辑复验模块和产物生成模块。</w:t>
      </w:r>
    </w:p>
    <w:p>
      <w:pPr>
        <w:spacing w:after="120" w:line="276" w:lineRule="auto"/>
      </w:pPr>
      <w:r>
        <w:rPr>
          <w:rFonts w:ascii="宋体" w:hAnsi="宋体" w:eastAsia="宋体"/>
          <w:sz w:val="21"/>
        </w:rPr>
        <w:t>（9）一种计算机可读存储介质，其上存储的程序被执行时实现上述车辆横纵向控制器参数自动整定方法。</w:t>
      </w:r>
    </w:p>
    <w:p>
      <w:pPr>
        <w:pStyle w:val="Heading2"/>
      </w:pPr>
      <w:r>
        <w:rPr>
          <w:rFonts w:ascii="黑体" w:hAnsi="黑体" w:eastAsia="黑体"/>
        </w:rPr>
        <w:t>六、其它（实施例、技术效果、参数示例）</w:t>
      </w:r>
    </w:p>
    <w:p>
      <w:pPr>
        <w:pStyle w:val="Heading3"/>
      </w:pPr>
      <w:r>
        <w:rPr>
          <w:rFonts w:ascii="宋体" w:hAnsi="宋体" w:eastAsia="宋体"/>
        </w:rPr>
        <w:t>6.1 实施例一：基于牵引车动力学和残差模型的闭环整定</w:t>
      </w:r>
    </w:p>
    <w:p>
      <w:pPr>
        <w:spacing w:after="120" w:line="276" w:lineRule="auto"/>
      </w:pPr>
      <w:r>
        <w:rPr>
          <w:rFonts w:ascii="宋体" w:hAnsi="宋体" w:eastAsia="宋体"/>
          <w:sz w:val="21"/>
        </w:rPr>
        <w:t>在一个实施例中，被控对象为牵引车动力学模型，车辆动力学采用机理模型和冻结的残差模型组合。控制器为横向多点预瞄控制器和纵向级联控制器，控制周期为 50Hz，训练轨迹为 8 类轨迹和 6 个速度段，共 48 条训练轨迹。训练轮数为 6，时间截断窗口为 150 步。</w:t>
      </w:r>
    </w:p>
    <w:p>
      <w:pPr>
        <w:spacing w:after="120" w:line="276" w:lineRule="auto"/>
      </w:pPr>
      <w:r>
        <w:rPr>
          <w:rFonts w:ascii="宋体" w:hAnsi="宋体" w:eastAsia="宋体"/>
          <w:sz w:val="21"/>
        </w:rPr>
        <w:t>训练结果显示，综合损失从 3.9303 下降到 3.0535，下降约 22.31%。使用硬逻辑验证路径在 49 个场景中对比调参前后表现，其中 38 个场景横向误差均方根下降，43 个场景航向误差均方根下降；横向误差变化的平均值为 -11.20%，航向误差变化的平均值为 -15.11%。</w:t>
      </w:r>
    </w:p>
    <w:p>
      <w:pPr>
        <w:spacing w:after="120" w:line="276" w:lineRule="auto"/>
      </w:pPr>
      <w:r>
        <w:rPr>
          <w:rFonts w:ascii="宋体" w:hAnsi="宋体" w:eastAsia="宋体"/>
          <w:sz w:val="21"/>
        </w:rPr>
        <w:t>参数变化显示，横向 4 组查找表均发生非零调整；纵向低速和高速速度环增益、站位环增益和切换速度也发生调整。该结果说明，损失能够同时穿过横向预瞄、纵向速度环和车辆动力学链路回到控制器参数。</w:t>
      </w:r>
    </w:p>
    <w:p>
      <w:pPr>
        <w:spacing w:after="120" w:line="276" w:lineRule="auto"/>
      </w:pPr>
      <w:r>
        <w:rPr>
          <w:rFonts w:ascii="宋体" w:hAnsi="宋体" w:eastAsia="宋体"/>
          <w:sz w:val="21"/>
        </w:rPr>
        <w:t>图3示出了训练损失曲线。</w:t>
      </w:r>
    </w:p>
    <w:p>
      <w:pPr>
        <w:spacing w:after="120" w:before="60"/>
      </w:pPr>
      <w:r>
        <w:rPr>
          <w:b w:val="0"/>
        </w:rPr>
        <w:drawing>
          <wp:inline xmlns:a="http://schemas.openxmlformats.org/drawingml/2006/main" xmlns:pic="http://schemas.openxmlformats.org/drawingml/2006/picture">
            <wp:extent cx="5486400" cy="4572000"/>
            <wp:docPr id="38" name="Picture 38"/>
            <wp:cNvGraphicFramePr>
              <a:graphicFrameLocks noChangeAspect="1"/>
            </wp:cNvGraphicFramePr>
            <a:graphic>
              <a:graphicData uri="http://schemas.openxmlformats.org/drawingml/2006/picture">
                <pic:pic>
                  <pic:nvPicPr>
                    <pic:cNvPr id="0" name="fig3_loss_curve.png"/>
                    <pic:cNvPicPr/>
                  </pic:nvPicPr>
                  <pic:blipFill>
                    <a:blip r:embed="rId36"/>
                    <a:stretch>
                      <a:fillRect/>
                    </a:stretch>
                  </pic:blipFill>
                  <pic:spPr>
                    <a:xfrm>
                      <a:off x="0" y="0"/>
                      <a:ext cx="5486400" cy="4572000"/>
                    </a:xfrm>
                    <a:prstGeom prst="rect"/>
                  </pic:spPr>
                </pic:pic>
              </a:graphicData>
            </a:graphic>
          </wp:inline>
        </w:drawing>
      </w:r>
    </w:p>
    <w:p>
      <w:pPr>
        <w:spacing w:after="120" w:line="276" w:lineRule="auto"/>
      </w:pPr>
      <w:r>
        <w:rPr>
          <w:rFonts w:ascii="宋体" w:hAnsi="宋体" w:eastAsia="宋体"/>
          <w:sz w:val="21"/>
        </w:rPr>
        <w:t>图4示出了调参前后控制器参数变化。</w:t>
      </w:r>
    </w:p>
    <w:p>
      <w:pPr>
        <w:spacing w:after="120" w:before="60"/>
      </w:pPr>
      <w:r>
        <w:rPr>
          <w:b w:val="0"/>
        </w:rPr>
        <w:drawing>
          <wp:inline xmlns:a="http://schemas.openxmlformats.org/drawingml/2006/main" xmlns:pic="http://schemas.openxmlformats.org/drawingml/2006/picture">
            <wp:extent cx="5486400" cy="4242208"/>
            <wp:docPr id="39" name="Picture 39"/>
            <wp:cNvGraphicFramePr>
              <a:graphicFrameLocks noChangeAspect="1"/>
            </wp:cNvGraphicFramePr>
            <a:graphic>
              <a:graphicData uri="http://schemas.openxmlformats.org/drawingml/2006/picture">
                <pic:pic>
                  <pic:nvPicPr>
                    <pic:cNvPr id="0" name="fig4_parameter_changes.png"/>
                    <pic:cNvPicPr/>
                  </pic:nvPicPr>
                  <pic:blipFill>
                    <a:blip r:embed="rId37"/>
                    <a:stretch>
                      <a:fillRect/>
                    </a:stretch>
                  </pic:blipFill>
                  <pic:spPr>
                    <a:xfrm>
                      <a:off x="0" y="0"/>
                      <a:ext cx="5486400" cy="4242208"/>
                    </a:xfrm>
                    <a:prstGeom prst="rect"/>
                  </pic:spPr>
                </pic:pic>
              </a:graphicData>
            </a:graphic>
          </wp:inline>
        </w:drawing>
      </w:r>
    </w:p>
    <w:p>
      <w:pPr>
        <w:spacing w:after="120" w:line="276" w:lineRule="auto"/>
      </w:pPr>
      <w:r>
        <w:rPr>
          <w:rFonts w:ascii="宋体" w:hAnsi="宋体" w:eastAsia="宋体"/>
          <w:sz w:val="21"/>
        </w:rPr>
        <w:t>图5示出了训练摘要和硬逻辑验证统计。</w:t>
      </w:r>
    </w:p>
    <w:p>
      <w:pPr>
        <w:spacing w:after="120" w:before="60"/>
      </w:pPr>
      <w:r>
        <w:rPr>
          <w:b w:val="0"/>
        </w:rPr>
        <w:drawing>
          <wp:inline xmlns:a="http://schemas.openxmlformats.org/drawingml/2006/main" xmlns:pic="http://schemas.openxmlformats.org/drawingml/2006/picture">
            <wp:extent cx="4848512" cy="7498079"/>
            <wp:docPr id="40" name="Picture 40"/>
            <wp:cNvGraphicFramePr>
              <a:graphicFrameLocks noChangeAspect="1"/>
            </wp:cNvGraphicFramePr>
            <a:graphic>
              <a:graphicData uri="http://schemas.openxmlformats.org/drawingml/2006/picture">
                <pic:pic>
                  <pic:nvPicPr>
                    <pic:cNvPr id="0" name="fig5_training_summary.png"/>
                    <pic:cNvPicPr/>
                  </pic:nvPicPr>
                  <pic:blipFill>
                    <a:blip r:embed="rId38"/>
                    <a:stretch>
                      <a:fillRect/>
                    </a:stretch>
                  </pic:blipFill>
                  <pic:spPr>
                    <a:xfrm>
                      <a:off x="0" y="0"/>
                      <a:ext cx="4848512" cy="7498079"/>
                    </a:xfrm>
                    <a:prstGeom prst="rect"/>
                  </pic:spPr>
                </pic:pic>
              </a:graphicData>
            </a:graphic>
          </wp:inline>
        </w:drawing>
      </w:r>
    </w:p>
    <w:p>
      <w:pPr>
        <w:spacing w:after="120" w:line="276" w:lineRule="auto"/>
      </w:pPr>
      <w:r>
        <w:rPr>
          <w:rFonts w:ascii="宋体" w:hAnsi="宋体" w:eastAsia="宋体"/>
          <w:sz w:val="21"/>
        </w:rPr>
        <w:t>图6和图7示出了代表场景的轨迹跟踪和横向误差对比；完整结果保留在项目结果目录中。</w:t>
      </w:r>
    </w:p>
    <w:p>
      <w:pPr>
        <w:spacing w:after="120" w:before="60"/>
      </w:pPr>
      <w:r>
        <w:rPr>
          <w:b w:val="0"/>
        </w:rPr>
        <w:drawing>
          <wp:inline xmlns:a="http://schemas.openxmlformats.org/drawingml/2006/main" xmlns:pic="http://schemas.openxmlformats.org/drawingml/2006/picture">
            <wp:extent cx="5486400" cy="5933440"/>
            <wp:docPr id="41" name="Picture 41"/>
            <wp:cNvGraphicFramePr>
              <a:graphicFrameLocks noChangeAspect="1"/>
            </wp:cNvGraphicFramePr>
            <a:graphic>
              <a:graphicData uri="http://schemas.openxmlformats.org/drawingml/2006/picture">
                <pic:pic>
                  <pic:nvPicPr>
                    <pic:cNvPr id="0" name="fig6_comparison_trajectory.png"/>
                    <pic:cNvPicPr/>
                  </pic:nvPicPr>
                  <pic:blipFill>
                    <a:blip r:embed="rId39"/>
                    <a:stretch>
                      <a:fillRect/>
                    </a:stretch>
                  </pic:blipFill>
                  <pic:spPr>
                    <a:xfrm>
                      <a:off x="0" y="0"/>
                      <a:ext cx="5486400" cy="5933440"/>
                    </a:xfrm>
                    <a:prstGeom prst="rect"/>
                  </pic:spPr>
                </pic:pic>
              </a:graphicData>
            </a:graphic>
          </wp:inline>
        </w:drawing>
      </w:r>
    </w:p>
    <w:p>
      <w:pPr>
        <w:spacing w:after="120" w:before="60"/>
      </w:pPr>
      <w:r>
        <w:rPr>
          <w:b w:val="0"/>
        </w:rPr>
        <w:drawing>
          <wp:inline xmlns:a="http://schemas.openxmlformats.org/drawingml/2006/main" xmlns:pic="http://schemas.openxmlformats.org/drawingml/2006/picture">
            <wp:extent cx="5486400" cy="5933440"/>
            <wp:docPr id="42" name="Picture 42"/>
            <wp:cNvGraphicFramePr>
              <a:graphicFrameLocks noChangeAspect="1"/>
            </wp:cNvGraphicFramePr>
            <a:graphic>
              <a:graphicData uri="http://schemas.openxmlformats.org/drawingml/2006/picture">
                <pic:pic>
                  <pic:nvPicPr>
                    <pic:cNvPr id="0" name="fig7_comparison_lateral_error.png"/>
                    <pic:cNvPicPr/>
                  </pic:nvPicPr>
                  <pic:blipFill>
                    <a:blip r:embed="rId40"/>
                    <a:stretch>
                      <a:fillRect/>
                    </a:stretch>
                  </pic:blipFill>
                  <pic:spPr>
                    <a:xfrm>
                      <a:off x="0" y="0"/>
                      <a:ext cx="5486400" cy="5933440"/>
                    </a:xfrm>
                    <a:prstGeom prst="rect"/>
                  </pic:spPr>
                </pic:pic>
              </a:graphicData>
            </a:graphic>
          </wp:inline>
        </w:drawing>
      </w:r>
    </w:p>
    <w:p>
      <w:pPr>
        <w:pStyle w:val="Heading3"/>
      </w:pPr>
      <w:r>
        <w:rPr>
          <w:rFonts w:ascii="宋体" w:hAnsi="宋体" w:eastAsia="宋体"/>
        </w:rPr>
        <w:t>6.2 实施例二：车辆物理参数域随机化整定</w:t>
      </w:r>
    </w:p>
    <w:p>
      <w:pPr>
        <w:spacing w:after="120" w:line="276" w:lineRule="auto"/>
      </w:pPr>
      <w:r>
        <w:rPr>
          <w:rFonts w:ascii="宋体" w:hAnsi="宋体" w:eastAsia="宋体"/>
          <w:sz w:val="21"/>
        </w:rPr>
        <w:t>在另一个实施例中，每轮训练采样 4 组车辆物理参数，将 48 条轨迹复制到 4 个车辆域，共形成 192 条批量闭环仿真样本。牵引车质量采样范围为名义值的正负 10%，前后轴侧偏刚度采样范围为名义值的正负 20%。</w:t>
      </w:r>
    </w:p>
    <w:p>
      <w:pPr>
        <w:spacing w:after="120" w:line="276" w:lineRule="auto"/>
      </w:pPr>
      <w:r>
        <w:rPr>
          <w:rFonts w:ascii="宋体" w:hAnsi="宋体" w:eastAsia="宋体"/>
          <w:sz w:val="21"/>
        </w:rPr>
        <w:t>纯机理模型实施例中，综合损失从 2.7083 下降到 1.5639，下降约 42.26%。硬逻辑验证路径中，49 个场景里有 47 个场景横向误差下降，47 个场景航向误差下降；横向误差变化平均值为 -29.32%，航向误差变化平均值为 -24.87%。该实施例说明，通过训练中暴露车辆物理参数不确定性，控制器参数不是只适配单一名义车辆。</w:t>
      </w:r>
    </w:p>
    <w:p>
      <w:pPr>
        <w:pStyle w:val="Heading3"/>
      </w:pPr>
      <w:r>
        <w:rPr>
          <w:rFonts w:ascii="宋体" w:hAnsi="宋体" w:eastAsia="宋体"/>
        </w:rPr>
        <w:t>6.3 实施例三：叠加反馈噪声和指令抖动的鲁棒整定</w:t>
      </w:r>
    </w:p>
    <w:p>
      <w:pPr>
        <w:spacing w:after="120" w:line="276" w:lineRule="auto"/>
      </w:pPr>
      <w:r>
        <w:rPr>
          <w:rFonts w:ascii="宋体" w:hAnsi="宋体" w:eastAsia="宋体"/>
          <w:sz w:val="21"/>
        </w:rPr>
        <w:t>在另一个实施例中，车辆参数域随机化与反馈噪声、指令抖动同时启用。反馈噪声作用在位置、航向、速度和横摆角速度等控制器输入上，指令抖动作用在转向和扭矩执行指令上。</w:t>
      </w:r>
    </w:p>
    <w:p>
      <w:pPr>
        <w:spacing w:after="120" w:line="276" w:lineRule="auto"/>
      </w:pPr>
      <w:r>
        <w:rPr>
          <w:rFonts w:ascii="宋体" w:hAnsi="宋体" w:eastAsia="宋体"/>
          <w:sz w:val="21"/>
        </w:rPr>
        <w:t>训练结果显示，综合损失从 4.6378 下降到 3.5931，下降约 22.53%。硬逻辑验证路径中，49 个场景里有 43 个场景横向误差下降，33 个场景航向误差下降；横向误差变化平均值为 -17.61%。该结果说明，本发明能够把外部扰动纳入训练环境，同时仍通过无扰动硬逻辑路径评估整定效果。</w:t>
      </w:r>
    </w:p>
    <w:p>
      <w:pPr>
        <w:pStyle w:val="Heading3"/>
      </w:pPr>
      <w:r>
        <w:rPr>
          <w:rFonts w:ascii="宋体" w:hAnsi="宋体" w:eastAsia="宋体"/>
        </w:rPr>
        <w:t>6.4 项目实现依据</w:t>
      </w:r>
    </w:p>
    <w:p>
      <w:pPr>
        <w:spacing w:after="120" w:line="276" w:lineRule="auto"/>
      </w:pPr>
      <w:r>
        <w:rPr>
          <w:rFonts w:ascii="宋体" w:hAnsi="宋体" w:eastAsia="宋体"/>
          <w:sz w:val="21"/>
        </w:rPr>
        <w:t>控制器复现和参数分类可参考项目文件：</w:t>
      </w:r>
      <w:r>
        <w:rPr>
          <w:rFonts w:ascii="Consolas" w:hAnsi="Consolas" w:eastAsia="Consolas"/>
          <w:color w:val="333333"/>
          <w:sz w:val="18"/>
        </w:rPr>
        <w:t>sim/controller/lat_truck.py</w:t>
      </w:r>
      <w:r>
        <w:rPr>
          <w:rFonts w:ascii="宋体" w:hAnsi="宋体" w:eastAsia="宋体"/>
          <w:sz w:val="21"/>
        </w:rPr>
        <w:t>、</w:t>
      </w:r>
      <w:r>
        <w:rPr>
          <w:rFonts w:ascii="Consolas" w:hAnsi="Consolas" w:eastAsia="Consolas"/>
          <w:color w:val="333333"/>
          <w:sz w:val="18"/>
        </w:rPr>
        <w:t>sim/controller/lon.py</w:t>
      </w:r>
      <w:r>
        <w:rPr>
          <w:rFonts w:ascii="宋体" w:hAnsi="宋体" w:eastAsia="宋体"/>
          <w:sz w:val="21"/>
        </w:rPr>
        <w:t>、</w:t>
      </w:r>
      <w:r>
        <w:rPr>
          <w:rFonts w:ascii="Consolas" w:hAnsi="Consolas" w:eastAsia="Consolas"/>
          <w:color w:val="333333"/>
          <w:sz w:val="18"/>
        </w:rPr>
        <w:t>docs/tunable_params_analysis.md</w:t>
      </w:r>
      <w:r>
        <w:rPr>
          <w:rFonts w:ascii="宋体" w:hAnsi="宋体" w:eastAsia="宋体"/>
          <w:sz w:val="21"/>
        </w:rPr>
        <w:t>。</w:t>
      </w:r>
    </w:p>
    <w:p>
      <w:pPr>
        <w:spacing w:after="120" w:line="276" w:lineRule="auto"/>
      </w:pPr>
      <w:r>
        <w:rPr>
          <w:rFonts w:ascii="宋体" w:hAnsi="宋体" w:eastAsia="宋体"/>
          <w:sz w:val="21"/>
        </w:rPr>
        <w:t>闭环仿真和双路径验证可参考项目文件：</w:t>
      </w:r>
      <w:r>
        <w:rPr>
          <w:rFonts w:ascii="Consolas" w:hAnsi="Consolas" w:eastAsia="Consolas"/>
          <w:color w:val="333333"/>
          <w:sz w:val="18"/>
        </w:rPr>
        <w:t>sim/sim_loop.py</w:t>
      </w:r>
      <w:r>
        <w:rPr>
          <w:rFonts w:ascii="宋体" w:hAnsi="宋体" w:eastAsia="宋体"/>
          <w:sz w:val="21"/>
        </w:rPr>
        <w:t>、</w:t>
      </w:r>
      <w:r>
        <w:rPr>
          <w:rFonts w:ascii="Consolas" w:hAnsi="Consolas" w:eastAsia="Consolas"/>
          <w:color w:val="333333"/>
          <w:sz w:val="18"/>
        </w:rPr>
        <w:t>sim/common.py</w:t>
      </w:r>
      <w:r>
        <w:rPr>
          <w:rFonts w:ascii="宋体" w:hAnsi="宋体" w:eastAsia="宋体"/>
          <w:sz w:val="21"/>
        </w:rPr>
        <w:t>、</w:t>
      </w:r>
      <w:r>
        <w:rPr>
          <w:rFonts w:ascii="Consolas" w:hAnsi="Consolas" w:eastAsia="Consolas"/>
          <w:color w:val="333333"/>
          <w:sz w:val="18"/>
        </w:rPr>
        <w:t>sim/optim/post_training.py</w:t>
      </w:r>
      <w:r>
        <w:rPr>
          <w:rFonts w:ascii="宋体" w:hAnsi="宋体" w:eastAsia="宋体"/>
          <w:sz w:val="21"/>
        </w:rPr>
        <w:t>。</w:t>
      </w:r>
    </w:p>
    <w:p>
      <w:pPr>
        <w:spacing w:after="120" w:line="276" w:lineRule="auto"/>
      </w:pPr>
      <w:r>
        <w:rPr>
          <w:rFonts w:ascii="宋体" w:hAnsi="宋体" w:eastAsia="宋体"/>
          <w:sz w:val="21"/>
        </w:rPr>
        <w:t>批量并行训练、域随机化、反馈噪声和指令抖动可参考项目文件：</w:t>
      </w:r>
      <w:r>
        <w:rPr>
          <w:rFonts w:ascii="Consolas" w:hAnsi="Consolas" w:eastAsia="Consolas"/>
          <w:color w:val="333333"/>
          <w:sz w:val="18"/>
        </w:rPr>
        <w:t>sim/optim/train_batch.py</w:t>
      </w:r>
      <w:r>
        <w:rPr>
          <w:rFonts w:ascii="宋体" w:hAnsi="宋体" w:eastAsia="宋体"/>
          <w:sz w:val="21"/>
        </w:rPr>
        <w:t>、</w:t>
      </w:r>
      <w:r>
        <w:rPr>
          <w:rFonts w:ascii="Consolas" w:hAnsi="Consolas" w:eastAsia="Consolas"/>
          <w:color w:val="333333"/>
          <w:sz w:val="18"/>
        </w:rPr>
        <w:t>docs/plans/2026-05-08-domain-randomization-design.md</w:t>
      </w:r>
      <w:r>
        <w:rPr>
          <w:rFonts w:ascii="宋体" w:hAnsi="宋体" w:eastAsia="宋体"/>
          <w:sz w:val="21"/>
        </w:rPr>
        <w:t>、</w:t>
      </w:r>
      <w:r>
        <w:rPr>
          <w:rFonts w:ascii="Consolas" w:hAnsi="Consolas" w:eastAsia="Consolas"/>
          <w:color w:val="333333"/>
          <w:sz w:val="18"/>
        </w:rPr>
        <w:t>docs/plans/2026-05-08-aggressive-dr-noise-dither-design.md</w:t>
      </w:r>
      <w:r>
        <w:rPr>
          <w:rFonts w:ascii="宋体" w:hAnsi="宋体" w:eastAsia="宋体"/>
          <w:sz w:val="21"/>
        </w:rPr>
        <w:t>。</w:t>
      </w:r>
    </w:p>
    <w:p>
      <w:pPr>
        <w:spacing w:after="120" w:line="276" w:lineRule="auto"/>
      </w:pPr>
      <w:r>
        <w:rPr>
          <w:rFonts w:ascii="宋体" w:hAnsi="宋体" w:eastAsia="宋体"/>
          <w:sz w:val="21"/>
        </w:rPr>
        <w:t>实验结果图和日志可参考项目目录：</w:t>
      </w:r>
      <w:r>
        <w:rPr>
          <w:rFonts w:ascii="Consolas" w:hAnsi="Consolas" w:eastAsia="Consolas"/>
          <w:color w:val="333333"/>
          <w:sz w:val="18"/>
        </w:rPr>
        <w:t>sim/results/training/truck_trailer/20260526_123421_mlp0525</w:t>
      </w:r>
      <w:r>
        <w:rPr>
          <w:rFonts w:ascii="宋体" w:hAnsi="宋体" w:eastAsia="宋体"/>
          <w:sz w:val="21"/>
        </w:rPr>
        <w:t>、</w:t>
      </w:r>
      <w:r>
        <w:rPr>
          <w:rFonts w:ascii="Consolas" w:hAnsi="Consolas" w:eastAsia="Consolas"/>
          <w:color w:val="333333"/>
          <w:sz w:val="18"/>
        </w:rPr>
        <w:t>sim/results/training/truck_trailer/20260508_133208_nomlp_dr</w:t>
      </w:r>
      <w:r>
        <w:rPr>
          <w:rFonts w:ascii="宋体" w:hAnsi="宋体" w:eastAsia="宋体"/>
          <w:sz w:val="21"/>
        </w:rPr>
        <w:t>、</w:t>
      </w:r>
      <w:r>
        <w:rPr>
          <w:rFonts w:ascii="Consolas" w:hAnsi="Consolas" w:eastAsia="Consolas"/>
          <w:color w:val="333333"/>
          <w:sz w:val="18"/>
        </w:rPr>
        <w:t>sim/results/training/truck_trailer/20260509_181719_mlp0509_dr+noise+dither</w:t>
      </w:r>
      <w:r>
        <w:rPr>
          <w:rFonts w:ascii="宋体" w:hAnsi="宋体" w:eastAsia="宋体"/>
          <w:sz w:val="21"/>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