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专利技术交底书"/>
    <w:p>
      <w:pPr>
        <w:spacing w:lineRule="exact" w:line="460" w:before="0" w:after="0"/>
        <w:ind w:firstLine="0"/>
        <w:jc w:val="center"/>
      </w:pPr>
      <w:r>
        <w:rPr>
          <w:rFonts w:hint="eastAsia" w:ascii="Times New Roman" w:hAnsi="Times New Roman" w:eastAsia="宋体"/>
          <w:b/>
          <w:sz w:val="36"/>
        </w:rPr>
        <w:t xml:space="preserve">专利技术交底书</w:t>
      </w:r>
    </w:p>
    <w:p>
      <w:pPr>
        <w:spacing w:lineRule="exact" w:line="260" w:after="360"/>
        <w:pBdr>
          <w:bottom w:val="single" w:sz="18" w:space="1" w:color="000000"/>
        </w:pBdr>
      </w:pPr>
      <w:r>
        <w:rPr>
          <w:rFonts w:ascii="Times New Roman" w:hAnsi="Times New Roman" w:eastAsia="宋体"/>
          <w:sz w:val="21"/>
        </w:rPr>
        <w:t xml:space="preserve"> </w:t>
      </w:r>
    </w:p>
    <w:tbl>
      <w:tblPr>
        <w:tblW w:type="auto" w:w="0"/>
        <w:jc w:val="center"/>
        <w:tblLayout w:type="fixed"/>
        <w:tblLook w:firstColumn="1" w:firstRow="1" w:lastColumn="0" w:lastRow="0" w:noHBand="0" w:noVBand="1" w:val="04A0"/>
        <w:tblBorders>
          <w:top w:val="single" w:sz="8" w:color="000000" w:space="0"/>
          <w:left w:val="single" w:sz="8" w:color="000000" w:space="0"/>
          <w:bottom w:val="single" w:sz="8" w:color="000000" w:space="0"/>
          <w:right w:val="single" w:sz="8" w:color="000000" w:space="0"/>
          <w:insideH w:val="single" w:sz="8" w:color="000000" w:space="0"/>
          <w:insideV w:val="single" w:sz="8" w:color="000000" w:space="0"/>
        </w:tblBorders>
      </w:tblPr>
      <w:tblGrid>
        <w:gridCol w:w="1755"/>
        <w:gridCol w:w="794"/>
        <w:gridCol w:w="1665"/>
        <w:gridCol w:w="2000"/>
        <w:gridCol w:w="2475"/>
      </w:tblGrid>
      <w:tr>
        <w:trPr>
          <w:trHeight w:val="395" w:hRule="atLeast"/>
          <w:cantSplit/>
        </w:trPr>
        <w:tc>
          <w:tcPr>
            <w:tcW w:type="dxa" w:w="2549"/>
            <w:gridSpan w:val="2"/>
            <w:tcMar>
              <w:top w:w="60" w:type="dxa"/>
              <w:start w:w="80" w:type="dxa"/>
              <w:bottom w:w="60" w:type="dxa"/>
              <w:end w:w="80" w:type="dxa"/>
            </w:tcMar>
            <w:vAlign w:val="center"/>
          </w:tcPr>
          <w:p>
            <w:pPr>
              <w:spacing w:before="0" w:after="0" w:line="240" w:lineRule="auto"/>
              <w:jc w:val="left"/>
            </w:pPr>
            <w:r/>
            <w:r>
              <w:rPr>
                <w:rFonts w:ascii="Times New Roman" w:hAnsi="Times New Roman" w:eastAsia="宋体"/>
                <w:sz w:val="21"/>
              </w:rPr>
              <w:t>第一发明人（</w:t>
            </w:r>
            <w:r>
              <w:rPr>
                <w:rFonts w:ascii="Times New Roman" w:hAnsi="Times New Roman" w:eastAsia="宋体"/>
                <w:sz w:val="18"/>
              </w:rPr>
              <w:t>必填</w:t>
            </w:r>
            <w:r>
              <w:rPr>
                <w:rFonts w:ascii="Times New Roman" w:hAnsi="Times New Roman" w:eastAsia="宋体"/>
                <w:sz w:val="21"/>
              </w:rPr>
              <w:t>）</w:t>
            </w:r>
          </w:p>
        </w:tc>
        <w:tc>
          <w:tcPr>
            <w:tcW w:type="dxa" w:w="166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c>
          <w:tcPr>
            <w:tcW w:type="dxa" w:w="4475"/>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  校招  /  ☐  社招  （必选）</w:t>
            </w:r>
          </w:p>
        </w:tc>
      </w:tr>
      <w:tr>
        <w:trPr>
          <w:trHeight w:val="458" w:hRule="atLeast"/>
          <w:cantSplit/>
        </w:trPr>
        <w:tc>
          <w:tcPr>
            <w:tcW w:type="dxa" w:w="2549"/>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sz w:val="21"/>
              </w:rPr>
              <w:t>其他发明人（</w:t>
            </w:r>
            <w:r>
              <w:rPr>
                <w:rFonts w:ascii="Times New Roman" w:hAnsi="Times New Roman" w:eastAsia="宋体"/>
                <w:sz w:val="18"/>
              </w:rPr>
              <w:t>不超过3人</w:t>
            </w:r>
            <w:r>
              <w:rPr>
                <w:rFonts w:ascii="Times New Roman" w:hAnsi="Times New Roman" w:eastAsia="宋体"/>
                <w:sz w:val="21"/>
              </w:rPr>
              <w:t>）</w:t>
            </w:r>
          </w:p>
        </w:tc>
        <w:tc>
          <w:tcPr>
            <w:tcW w:type="dxa" w:w="6140"/>
            <w:gridSpan w:val="3"/>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r>
      <w:tr>
        <w:trPr>
          <w:trHeight w:val="307" w:hRule="atLeast"/>
          <w:cantSplit/>
        </w:trPr>
        <w:tc>
          <w:tcPr>
            <w:tcW w:type="dxa" w:w="4214"/>
            <w:gridSpan w:val="3"/>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18"/>
              </w:rPr>
              <w:t>（以下由交底书撰写人填写）</w:t>
            </w:r>
          </w:p>
        </w:tc>
        <w:tc>
          <w:tcPr>
            <w:tcW w:type="dxa" w:w="4475"/>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18"/>
              </w:rPr>
              <w:t>（以下由知识产权部填写）</w:t>
            </w:r>
          </w:p>
        </w:tc>
      </w:tr>
      <w:tr>
        <w:trPr>
          <w:trHeight w:val="455" w:hRule="atLeast"/>
          <w:cantSplit/>
        </w:trPr>
        <w:tc>
          <w:tcPr>
            <w:tcW w:type="dxa" w:w="175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撰写人</w:t>
            </w:r>
          </w:p>
        </w:tc>
        <w:tc>
          <w:tcPr>
            <w:tcW w:type="dxa" w:w="2459"/>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c>
          <w:tcPr>
            <w:tcW w:type="dxa" w:w="2000"/>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专利类型</w:t>
            </w:r>
          </w:p>
        </w:tc>
        <w:tc>
          <w:tcPr>
            <w:tcW w:type="dxa" w:w="247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r>
      <w:tr>
        <w:trPr>
          <w:trHeight w:val="455" w:hRule="atLeast"/>
          <w:cantSplit/>
        </w:trPr>
        <w:tc>
          <w:tcPr>
            <w:tcW w:type="dxa" w:w="175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手机</w:t>
            </w:r>
          </w:p>
        </w:tc>
        <w:tc>
          <w:tcPr>
            <w:tcW w:type="dxa" w:w="2459"/>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c>
          <w:tcPr>
            <w:tcW w:type="dxa" w:w="2000"/>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知识产权负责人</w:t>
            </w:r>
          </w:p>
        </w:tc>
        <w:tc>
          <w:tcPr>
            <w:tcW w:type="dxa" w:w="247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r>
      <w:tr>
        <w:trPr>
          <w:trHeight w:val="462" w:hRule="atLeast"/>
          <w:cantSplit/>
        </w:trPr>
        <w:tc>
          <w:tcPr>
            <w:tcW w:type="dxa" w:w="175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座机</w:t>
            </w:r>
          </w:p>
        </w:tc>
        <w:tc>
          <w:tcPr>
            <w:tcW w:type="dxa" w:w="2459"/>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c>
          <w:tcPr>
            <w:tcW w:type="dxa" w:w="2000"/>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联系电话</w:t>
            </w:r>
          </w:p>
        </w:tc>
        <w:tc>
          <w:tcPr>
            <w:tcW w:type="dxa" w:w="247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r>
      <w:tr>
        <w:trPr>
          <w:trHeight w:val="455" w:hRule="atLeast"/>
          <w:cantSplit/>
        </w:trPr>
        <w:tc>
          <w:tcPr>
            <w:tcW w:type="dxa" w:w="175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E－mail</w:t>
            </w:r>
          </w:p>
        </w:tc>
        <w:tc>
          <w:tcPr>
            <w:tcW w:type="dxa" w:w="2459"/>
            <w:gridSpan w:val="2"/>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c>
          <w:tcPr>
            <w:tcW w:type="dxa" w:w="2000"/>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t>E－mail</w:t>
            </w:r>
          </w:p>
        </w:tc>
        <w:tc>
          <w:tcPr>
            <w:tcW w:type="dxa" w:w="2475"/>
            <w:tcMar>
              <w:top w:w="60" w:type="dxa"/>
              <w:start w:w="80" w:type="dxa"/>
              <w:bottom w:w="60" w:type="dxa"/>
              <w:end w:w="80" w:type="dxa"/>
            </w:tcMar>
            <w:vAlign w:val="center"/>
          </w:tcPr>
          <w:p>
            <w:pPr>
              <w:spacing w:before="0" w:after="0" w:line="240" w:lineRule="auto"/>
              <w:jc w:val="center"/>
            </w:pPr>
            <w:r/>
            <w:r>
              <w:rPr>
                <w:rFonts w:ascii="Times New Roman" w:hAnsi="Times New Roman" w:eastAsia="宋体"/>
                <w:b w:val="0"/>
                <w:sz w:val="21"/>
              </w:rPr>
            </w:r>
          </w:p>
        </w:tc>
      </w:tr>
    </w:tbl>
    <w:p>
      <w:pPr>
        <w:keepNext/>
        <w:spacing w:before="280" w:after="200" w:line="252" w:lineRule="auto"/>
        <w:ind w:firstLine="0"/>
        <w:jc w:val="center"/>
      </w:pPr>
      <w:r>
        <w:rPr>
          <w:rFonts w:hint="eastAsia" w:ascii="Times New Roman" w:hAnsi="Times New Roman" w:eastAsia="宋体"/>
          <w:b/>
          <w:bCs/>
          <w:sz w:val="28"/>
        </w:rPr>
        <w:t xml:space="preserve">一种基于车辆动力学可微闭环仿真的车辆横纵向控制器参数自动整定方法</w:t>
      </w:r>
    </w:p>
    <w:bookmarkStart w:id="29" w:name="一技术背景最接近现有技术及现有技术缺点"/>
    <w:p>
      <w:pPr>
        <w:pStyle w:val="Heading2"/>
        <w:ind w:firstLine="0"/>
        <w:jc w:val="left"/>
      </w:pPr>
      <w:r>
        <w:rPr>
          <w:rFonts w:hint="eastAsia" w:ascii="Times New Roman" w:hAnsi="Times New Roman" w:eastAsia="黑体"/>
          <w:b/>
          <w:i w:val="0"/>
          <w:sz w:val="28"/>
        </w:rPr>
        <w:t xml:space="preserve">一、技术背景、最接近现有技术及现有技术缺点</w:t>
      </w:r>
    </w:p>
    <w:bookmarkStart w:id="27" w:name="现有技术"/>
    <w:p>
      <w:pPr>
        <w:pStyle w:val="Heading3"/>
        <w:ind w:firstLine="0"/>
        <w:jc w:val="left"/>
      </w:pPr>
      <w:r>
        <w:rPr>
          <w:rFonts w:ascii="Times New Roman" w:hAnsi="Times New Roman" w:eastAsia="黑体"/>
          <w:b/>
          <w:i w:val="0"/>
          <w:sz w:val="24"/>
        </w:rPr>
        <w:t xml:space="preserve">1.1 </w:t>
      </w:r>
      <w:r>
        <w:rPr>
          <w:rFonts w:hint="eastAsia" w:ascii="Times New Roman" w:hAnsi="Times New Roman" w:eastAsia="黑体"/>
          <w:b/>
          <w:i w:val="0"/>
          <w:sz w:val="24"/>
        </w:rPr>
        <w:t xml:space="preserve">现有技术</w:t>
      </w:r>
    </w:p>
    <w:p>
      <w:pPr>
        <w:pStyle w:val="FirstParagraph"/>
        <w:spacing w:line="276" w:lineRule="auto" w:after="120"/>
        <w:ind w:firstLine="420"/>
        <w:jc w:val="both"/>
      </w:pPr>
      <w:r>
        <w:rPr>
          <w:rFonts w:hint="eastAsia" w:ascii="Times New Roman" w:hAnsi="Times New Roman" w:eastAsia="宋体"/>
          <w:sz w:val="21"/>
        </w:rPr>
        <w:t xml:space="preserve">检索说明：本次复核围绕“车辆控制器参数调节”“横纵向控制”“车辆动力学闭环”“可微仿真”“自动微分调参”“控制器标定”和“神经网络车辆动力学模型”等主题，在国家知识产权局专利公布公告系统、Google</w:t>
      </w:r>
      <w:r>
        <w:rPr>
          <w:rFonts w:ascii="Times New Roman" w:hAnsi="Times New Roman" w:eastAsia="宋体"/>
          <w:sz w:val="21"/>
        </w:rPr>
        <w:t xml:space="preserve"> Patents </w:t>
      </w:r>
      <w:r>
        <w:rPr>
          <w:rFonts w:hint="eastAsia" w:ascii="Times New Roman" w:hAnsi="Times New Roman" w:eastAsia="宋体"/>
          <w:sz w:val="21"/>
        </w:rPr>
        <w:t xml:space="preserve">及公开论文页面中核验公开材料。以下内容按与本案技术链路的相关方向归纳，公开链接用于代理人复核著录项目和原始公开内容。</w:t>
      </w:r>
    </w:p>
    <w:bookmarkStart w:id="10" w:name="车辆横向控制参数在线调节"/>
    <w:p>
      <w:pPr>
        <w:pStyle w:val="Heading4"/>
        <w:ind w:firstLine="0"/>
        <w:jc w:val="left"/>
      </w:pPr>
      <w:r>
        <w:rPr>
          <w:rFonts w:ascii="Times New Roman" w:hAnsi="Times New Roman" w:eastAsia="黑体"/>
          <w:b/>
          <w:i w:val="0"/>
          <w:sz w:val="22"/>
        </w:rPr>
        <w:t xml:space="preserve">1.1.1 </w:t>
      </w:r>
      <w:r>
        <w:rPr>
          <w:rFonts w:hint="eastAsia" w:ascii="Times New Roman" w:hAnsi="Times New Roman" w:eastAsia="黑体"/>
          <w:b/>
          <w:i w:val="0"/>
          <w:sz w:val="22"/>
        </w:rPr>
        <w:t xml:space="preserve">车辆横向控制参数在线调节</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hint="eastAsia" w:ascii="Times New Roman" w:hAnsi="Times New Roman" w:eastAsia="宋体"/>
          <w:sz w:val="21"/>
        </w:rPr>
        <w:t xml:space="preserve">CN119734760A《一种车辆横向控制参数调节方法及系统》。</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该方案实时比较目标位置与实际位置以获得横向偏差，并结合车辆动态状态和道路环境计算前馈转角与</w:t>
      </w:r>
      <w:r>
        <w:rPr>
          <w:rFonts w:ascii="Times New Roman" w:hAnsi="Times New Roman" w:eastAsia="宋体"/>
          <w:sz w:val="21"/>
        </w:rPr>
        <w:t xml:space="preserve"> LQR </w:t>
      </w:r>
      <w:r>
        <w:rPr>
          <w:rFonts w:hint="eastAsia" w:ascii="Times New Roman" w:hAnsi="Times New Roman" w:eastAsia="宋体"/>
          <w:sz w:val="21"/>
        </w:rPr>
        <w:t xml:space="preserve">调整转角，随后对方向盘综合转角进行约束并执行横向控制。</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针对车辆运行过程中的横向控制量和补偿转角进行在线调节，未涉及把既有横向、纵向工程控制器内部的预瞄表节点、位置环和速度环增益等标定参数作为待优化变量，也未公开多场景车辆动力学闭环的时间展开、自动微分更新、参数投影、原始硬逻辑复验和配置导出链路。</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9">
        <w:r>
          <w:rPr>
            <w:rFonts w:ascii="Times New Roman" w:hAnsi="Times New Roman" w:eastAsia="宋体"/>
            <w:rStyle w:val="Hyperlink"/>
            <w:color w:val="0563C1"/>
            <w:u w:val="single"/>
            <w:sz w:val="21"/>
          </w:rPr>
          <w:t xml:space="preserve">https://patents.google.com/patent/CN119734760A/zh</w:t>
        </w:r>
      </w:hyperlink>
    </w:p>
    <w:bookmarkEnd w:id="10"/>
    <w:bookmarkStart w:id="12" w:name="基于载重辨识的车辆纵向参数优化"/>
    <w:p>
      <w:pPr>
        <w:pStyle w:val="Heading4"/>
        <w:ind w:firstLine="0"/>
        <w:jc w:val="left"/>
      </w:pPr>
      <w:r>
        <w:rPr>
          <w:rFonts w:ascii="Times New Roman" w:hAnsi="Times New Roman" w:eastAsia="黑体"/>
          <w:b/>
          <w:i w:val="0"/>
          <w:sz w:val="22"/>
        </w:rPr>
        <w:t xml:space="preserve">1.1.2 </w:t>
      </w:r>
      <w:r>
        <w:rPr>
          <w:rFonts w:hint="eastAsia" w:ascii="Times New Roman" w:hAnsi="Times New Roman" w:eastAsia="黑体"/>
          <w:b/>
          <w:i w:val="0"/>
          <w:sz w:val="22"/>
        </w:rPr>
        <w:t xml:space="preserve">基于载重辨识的车辆纵向参数优化</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hint="eastAsia" w:ascii="Times New Roman" w:hAnsi="Times New Roman" w:eastAsia="宋体"/>
          <w:sz w:val="21"/>
        </w:rPr>
        <w:t xml:space="preserve">CN120517441A《一种基于载重辨识的车辆纵向控制参数优化方法及装置》。</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该方案基于纵向动力学关系和车辆实际响应更新载重量，并利用更新后的载重信息修正油门控制量和制动控制量，以降低载重变化对纵向控制的影响。</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该方案的重点是在线载重辨识及纵向控制量修正，没有将横向与纵向工程控制器的多组标定参数放入同一可微闭环中联合整定，也没有训练路径与原始硬逻辑验证路径共享参数的结构。</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11">
        <w:r>
          <w:rPr>
            <w:rFonts w:ascii="Times New Roman" w:hAnsi="Times New Roman" w:eastAsia="宋体"/>
            <w:rStyle w:val="Hyperlink"/>
            <w:color w:val="0563C1"/>
            <w:u w:val="single"/>
            <w:sz w:val="21"/>
          </w:rPr>
          <w:t xml:space="preserve">https://patents.google.com/patent/CN120517441A/zh</w:t>
        </w:r>
      </w:hyperlink>
    </w:p>
    <w:bookmarkEnd w:id="12"/>
    <w:bookmarkStart w:id="14" w:name="基于道路边界约束的车辆横纵向控制"/>
    <w:p>
      <w:pPr>
        <w:pStyle w:val="Heading4"/>
        <w:ind w:firstLine="0"/>
        <w:jc w:val="left"/>
      </w:pPr>
      <w:r>
        <w:rPr>
          <w:rFonts w:ascii="Times New Roman" w:hAnsi="Times New Roman" w:eastAsia="黑体"/>
          <w:b/>
          <w:i w:val="0"/>
          <w:sz w:val="22"/>
        </w:rPr>
        <w:t xml:space="preserve">1.1.3 </w:t>
      </w:r>
      <w:r>
        <w:rPr>
          <w:rFonts w:hint="eastAsia" w:ascii="Times New Roman" w:hAnsi="Times New Roman" w:eastAsia="黑体"/>
          <w:b/>
          <w:i w:val="0"/>
          <w:sz w:val="22"/>
        </w:rPr>
        <w:t xml:space="preserve">基于道路边界约束的车辆横纵向控制</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hint="eastAsia" w:ascii="Times New Roman" w:hAnsi="Times New Roman" w:eastAsia="宋体"/>
          <w:sz w:val="21"/>
        </w:rPr>
        <w:t xml:space="preserve">CN120308157A《一种基于道路边界约束的车辆横纵向控制方法及装置》。</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该方案建立车辆非线性模型并形成状态转移关系，结合道路边界约束，通过迭代线性二次调节求取控制变量序列，进而生成车辆横向和纵向控制指令。</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该方案的优化对象是当前规划或控制过程中的控制变量序列；本案的优化对象是既有工程控制器内部的标定参数，并要求整定后的参数回到保留原始限幅、分支和速率限制的控制器路径中复验和导出。</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13">
        <w:r>
          <w:rPr>
            <w:rFonts w:ascii="Times New Roman" w:hAnsi="Times New Roman" w:eastAsia="宋体"/>
            <w:rStyle w:val="Hyperlink"/>
            <w:color w:val="0563C1"/>
            <w:u w:val="single"/>
            <w:sz w:val="21"/>
          </w:rPr>
          <w:t xml:space="preserve">https://patents.google.com/patent/CN120308157A/zh</w:t>
        </w:r>
      </w:hyperlink>
    </w:p>
    <w:bookmarkEnd w:id="14"/>
    <w:bookmarkStart w:id="16" w:name="车辆控制器标定设备和通信流程"/>
    <w:p>
      <w:pPr>
        <w:pStyle w:val="Heading4"/>
        <w:ind w:firstLine="0"/>
        <w:jc w:val="left"/>
      </w:pPr>
      <w:r>
        <w:rPr>
          <w:rFonts w:ascii="Times New Roman" w:hAnsi="Times New Roman" w:eastAsia="黑体"/>
          <w:b/>
          <w:i w:val="0"/>
          <w:sz w:val="22"/>
        </w:rPr>
        <w:t xml:space="preserve">1.1.4 </w:t>
      </w:r>
      <w:r>
        <w:rPr>
          <w:rFonts w:hint="eastAsia" w:ascii="Times New Roman" w:hAnsi="Times New Roman" w:eastAsia="黑体"/>
          <w:b/>
          <w:i w:val="0"/>
          <w:sz w:val="22"/>
        </w:rPr>
        <w:t xml:space="preserve">车辆控制器标定设备和通信流程</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hint="eastAsia" w:ascii="Times New Roman" w:hAnsi="Times New Roman" w:eastAsia="宋体"/>
          <w:sz w:val="21"/>
        </w:rPr>
        <w:t xml:space="preserve">CN112039742A《一种标定设备、车辆控制器标定方法及装置》。</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该方案利用处理器、存储器、车辆通信接口和提示部件发送标定指令并接收控制器响应，以简化车辆控制器的标定操作和通信流程。</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该方案解决的是标定设备及指令交互问题，未给出如何根据多场景轨迹误差建立可微闭环、如何获得控制器参数梯度、如何执行受约束参数更新以及如何进行部署前闭环复验。</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15">
        <w:r>
          <w:rPr>
            <w:rFonts w:ascii="Times New Roman" w:hAnsi="Times New Roman" w:eastAsia="宋体"/>
            <w:rStyle w:val="Hyperlink"/>
            <w:color w:val="0563C1"/>
            <w:u w:val="single"/>
            <w:sz w:val="21"/>
          </w:rPr>
          <w:t xml:space="preserve">https://patents.google.com/patent/CN112039742A/zh</w:t>
        </w:r>
      </w:hyperlink>
    </w:p>
    <w:bookmarkEnd w:id="16"/>
    <w:bookmarkStart w:id="18" w:name="利用学习型评价器调整运动规划器参数"/>
    <w:p>
      <w:pPr>
        <w:pStyle w:val="Heading4"/>
        <w:ind w:firstLine="0"/>
        <w:jc w:val="left"/>
      </w:pPr>
      <w:r>
        <w:rPr>
          <w:rFonts w:ascii="Times New Roman" w:hAnsi="Times New Roman" w:eastAsia="黑体"/>
          <w:b/>
          <w:i w:val="0"/>
          <w:sz w:val="22"/>
        </w:rPr>
        <w:t xml:space="preserve">1.1.5 </w:t>
      </w:r>
      <w:r>
        <w:rPr>
          <w:rFonts w:hint="eastAsia" w:ascii="Times New Roman" w:hAnsi="Times New Roman" w:eastAsia="黑体"/>
          <w:b/>
          <w:i w:val="0"/>
          <w:sz w:val="22"/>
        </w:rPr>
        <w:t xml:space="preserve">利用学习型评价器调整运动规划器参数</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hint="eastAsia" w:ascii="Times New Roman" w:hAnsi="Times New Roman" w:eastAsia="宋体"/>
          <w:sz w:val="21"/>
        </w:rPr>
        <w:t xml:space="preserve">CN115907250A《用于调整自主驾驶车辆的运动规划器的基于学习的评论器》。</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该方案训练学习型评价器，并以评价器建立的目标函数优化运动规划器参数，使基于规则的运动规划器在一个或多个驾驶环境中获得较优参数。</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位于运动规划层，评价对象是规划器生成的轨迹；本案位于车辆控制层，将横向和纵向工程控制器、车辆动力学状态更新及轨迹误差直接串成时间闭环，并针对非光滑工程逻辑建立训练路径和硬逻辑复验路径。</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17">
        <w:r>
          <w:rPr>
            <w:rFonts w:ascii="Times New Roman" w:hAnsi="Times New Roman" w:eastAsia="宋体"/>
            <w:rStyle w:val="Hyperlink"/>
            <w:color w:val="0563C1"/>
            <w:u w:val="single"/>
            <w:sz w:val="21"/>
          </w:rPr>
          <w:t xml:space="preserve">https://patents.google.com/patent/CN115907250A/zh</w:t>
        </w:r>
      </w:hyperlink>
    </w:p>
    <w:bookmarkEnd w:id="18"/>
    <w:bookmarkStart w:id="20" w:name="车辆横向标定参数的动态选择"/>
    <w:p>
      <w:pPr>
        <w:pStyle w:val="Heading4"/>
        <w:ind w:firstLine="0"/>
        <w:jc w:val="left"/>
      </w:pPr>
      <w:r>
        <w:rPr>
          <w:rFonts w:ascii="Times New Roman" w:hAnsi="Times New Roman" w:eastAsia="黑体"/>
          <w:b/>
          <w:i w:val="0"/>
          <w:sz w:val="22"/>
        </w:rPr>
        <w:t xml:space="preserve">1.1.6 </w:t>
      </w:r>
      <w:r>
        <w:rPr>
          <w:rFonts w:hint="eastAsia" w:ascii="Times New Roman" w:hAnsi="Times New Roman" w:eastAsia="黑体"/>
          <w:b/>
          <w:i w:val="0"/>
          <w:sz w:val="22"/>
        </w:rPr>
        <w:t xml:space="preserve">车辆横向标定参数的动态选择</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ascii="Times New Roman" w:hAnsi="Times New Roman" w:eastAsia="宋体"/>
          <w:sz w:val="21"/>
        </w:rPr>
        <w:t xml:space="preserve">US11731648B2《Vehicle lateral-control system with dynamically adjustable calibrations》。</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该方案依据天气、图像、车辆状态或道路条件等信息选择或调整车辆横向控制的调谐参数，使横向控制特性适配当前运行环境。</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该方案侧重运行时的标定选择或动态切换；本案通过车辆动力学闭环和多场景损失对一组工程参数求梯度并更新，随后在原始硬逻辑下统一复验，不依赖预先枚举的环境—标定映射关系。</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19">
        <w:r>
          <w:rPr>
            <w:rFonts w:ascii="Times New Roman" w:hAnsi="Times New Roman" w:eastAsia="宋体"/>
            <w:rStyle w:val="Hyperlink"/>
            <w:color w:val="0563C1"/>
            <w:u w:val="single"/>
            <w:sz w:val="21"/>
          </w:rPr>
          <w:t xml:space="preserve">https://patents.google.com/patent/US11731648B2/en</w:t>
        </w:r>
      </w:hyperlink>
    </w:p>
    <w:bookmarkEnd w:id="20"/>
    <w:bookmarkStart w:id="22" w:name="面向物理系统的通用可微机器"/>
    <w:p>
      <w:pPr>
        <w:pStyle w:val="Heading4"/>
        <w:ind w:firstLine="0"/>
        <w:jc w:val="left"/>
      </w:pPr>
      <w:r>
        <w:rPr>
          <w:rFonts w:ascii="Times New Roman" w:hAnsi="Times New Roman" w:eastAsia="黑体"/>
          <w:b/>
          <w:i w:val="0"/>
          <w:sz w:val="22"/>
        </w:rPr>
        <w:t xml:space="preserve">1.1.7 </w:t>
      </w:r>
      <w:r>
        <w:rPr>
          <w:rFonts w:hint="eastAsia" w:ascii="Times New Roman" w:hAnsi="Times New Roman" w:eastAsia="黑体"/>
          <w:b/>
          <w:i w:val="0"/>
          <w:sz w:val="22"/>
        </w:rPr>
        <w:t xml:space="preserve">面向物理系统的通用可微机器</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ascii="Times New Roman" w:hAnsi="Times New Roman" w:eastAsia="宋体"/>
          <w:sz w:val="21"/>
        </w:rPr>
        <w:t xml:space="preserve">US20220171353A1《Differentiable machines for physical systems》。</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该方案把多个代表物理系统部件的可微模型通过集成层组合成可微机器，可用于建模、仿真、控制或参数调整物理系统。</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该方案给出通用可微物理系统框架，未针对车辆横纵向工程控制器公开“同参数、双路径”的复现结构，也未公开面向查表、硬分支、限幅和速率限制的对应处理、按场景归一化的联合整定以及原配置格式回写。</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21">
        <w:r>
          <w:rPr>
            <w:rFonts w:ascii="Times New Roman" w:hAnsi="Times New Roman" w:eastAsia="宋体"/>
            <w:rStyle w:val="Hyperlink"/>
            <w:color w:val="0563C1"/>
            <w:u w:val="single"/>
            <w:sz w:val="21"/>
          </w:rPr>
          <w:t xml:space="preserve">https://patents.google.com/patent/US20220171353A1/en</w:t>
        </w:r>
      </w:hyperlink>
    </w:p>
    <w:bookmarkEnd w:id="22"/>
    <w:bookmarkStart w:id="24" w:name="神经网络车辆动力学模型"/>
    <w:p>
      <w:pPr>
        <w:pStyle w:val="Heading4"/>
        <w:ind w:firstLine="0"/>
        <w:jc w:val="left"/>
      </w:pPr>
      <w:r>
        <w:rPr>
          <w:rFonts w:ascii="Times New Roman" w:hAnsi="Times New Roman" w:eastAsia="黑体"/>
          <w:b/>
          <w:i w:val="0"/>
          <w:sz w:val="22"/>
        </w:rPr>
        <w:t xml:space="preserve">1.1.8 </w:t>
      </w:r>
      <w:r>
        <w:rPr>
          <w:rFonts w:hint="eastAsia" w:ascii="Times New Roman" w:hAnsi="Times New Roman" w:eastAsia="黑体"/>
          <w:b/>
          <w:i w:val="0"/>
          <w:sz w:val="22"/>
        </w:rPr>
        <w:t xml:space="preserve">神经网络车辆动力学模型</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ascii="Times New Roman" w:hAnsi="Times New Roman" w:eastAsia="宋体"/>
          <w:sz w:val="21"/>
        </w:rPr>
        <w:t xml:space="preserve">US12007778B2《Neural network based vehicle dynamics model》。</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该方案利用神经网络车辆动力学模型预测车辆状态或运动响应，以提高车辆行为建模能力。</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方案主要解决车辆动力学建模问题；本案的核心方案至少可采用机理动力学模型完成控制器参数整定，神经网络残差模型仅作为可选的被控对象增强，并在整定阶段保持权重冻结，避免把车辆模型训练与控制器调参混为同一优化对象。</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23">
        <w:r>
          <w:rPr>
            <w:rFonts w:ascii="Times New Roman" w:hAnsi="Times New Roman" w:eastAsia="宋体"/>
            <w:rStyle w:val="Hyperlink"/>
            <w:color w:val="0563C1"/>
            <w:u w:val="single"/>
            <w:sz w:val="21"/>
          </w:rPr>
          <w:t xml:space="preserve">https://patents.google.com/patent/US12007778B2/en</w:t>
        </w:r>
      </w:hyperlink>
    </w:p>
    <w:bookmarkEnd w:id="24"/>
    <w:bookmarkStart w:id="26" w:name="基于自动微分的控制器自动调参"/>
    <w:p>
      <w:pPr>
        <w:pStyle w:val="Heading4"/>
        <w:ind w:firstLine="0"/>
        <w:jc w:val="left"/>
      </w:pPr>
      <w:r>
        <w:rPr>
          <w:rFonts w:ascii="Times New Roman" w:hAnsi="Times New Roman" w:eastAsia="黑体"/>
          <w:b/>
          <w:i w:val="0"/>
          <w:sz w:val="22"/>
        </w:rPr>
        <w:t xml:space="preserve">1.1.9 </w:t>
      </w:r>
      <w:r>
        <w:rPr>
          <w:rFonts w:hint="eastAsia" w:ascii="Times New Roman" w:hAnsi="Times New Roman" w:eastAsia="黑体"/>
          <w:b/>
          <w:i w:val="0"/>
          <w:sz w:val="22"/>
        </w:rPr>
        <w:t xml:space="preserve">基于自动微分的控制器自动调参</w:t>
      </w:r>
    </w:p>
    <w:p>
      <w:pPr>
        <w:pStyle w:val="FirstParagraph"/>
        <w:spacing w:line="276" w:lineRule="auto" w:after="120"/>
        <w:ind w:firstLine="420"/>
        <w:jc w:val="both"/>
      </w:pPr>
      <w:r>
        <w:rPr>
          <w:rFonts w:hint="eastAsia" w:ascii="Times New Roman" w:hAnsi="Times New Roman" w:eastAsia="宋体"/>
          <w:b/>
          <w:bCs/>
          <w:sz w:val="21"/>
        </w:rPr>
        <w:t xml:space="preserve">公开材料：</w:t>
      </w:r>
      <w:r>
        <w:rPr>
          <w:rFonts w:ascii="Times New Roman" w:hAnsi="Times New Roman" w:eastAsia="宋体"/>
          <w:sz w:val="21"/>
        </w:rPr>
        <w:t xml:space="preserve"> </w:t>
      </w:r>
      <w:r>
        <w:rPr>
          <w:rFonts w:ascii="Times New Roman" w:hAnsi="Times New Roman" w:eastAsia="宋体"/>
          <w:sz w:val="21"/>
        </w:rPr>
        <w:t xml:space="preserve">Cheng </w:t>
      </w:r>
      <w:r>
        <w:rPr>
          <w:rFonts w:hint="eastAsia" w:ascii="Times New Roman" w:hAnsi="Times New Roman" w:eastAsia="宋体"/>
          <w:sz w:val="21"/>
        </w:rPr>
        <w:t xml:space="preserve">等《DiffTune:</w:t>
      </w:r>
      <w:r>
        <w:rPr>
          <w:rFonts w:ascii="Times New Roman" w:hAnsi="Times New Roman" w:eastAsia="宋体"/>
          <w:sz w:val="21"/>
        </w:rPr>
        <w:t xml:space="preserve"> Auto-Tuning through </w:t>
      </w:r>
      <w:r>
        <w:rPr>
          <w:rFonts w:hint="eastAsia" w:ascii="Times New Roman" w:hAnsi="Times New Roman" w:eastAsia="宋体"/>
          <w:sz w:val="21"/>
        </w:rPr>
        <w:t xml:space="preserve">Auto-Differentiation》，arXiv:2209.10021，后发表于</w:t>
      </w:r>
      <w:r>
        <w:rPr>
          <w:rFonts w:ascii="Times New Roman" w:hAnsi="Times New Roman" w:eastAsia="宋体"/>
          <w:sz w:val="21"/>
        </w:rPr>
        <w:t xml:space="preserve"> IEEE Transactions on Robotics。</w:t>
      </w:r>
    </w:p>
    <w:p>
      <w:pPr>
        <w:pStyle w:val="BodyText"/>
        <w:spacing w:line="276" w:lineRule="auto" w:after="120"/>
        <w:ind w:firstLine="420"/>
        <w:jc w:val="both"/>
      </w:pPr>
      <w:r>
        <w:rPr>
          <w:rFonts w:hint="eastAsia" w:ascii="Times New Roman" w:hAnsi="Times New Roman" w:eastAsia="宋体"/>
          <w:b/>
          <w:bCs/>
          <w:sz w:val="21"/>
        </w:rPr>
        <w:t xml:space="preserve">公开内容：</w:t>
      </w:r>
      <w:r>
        <w:rPr>
          <w:rFonts w:ascii="Times New Roman" w:hAnsi="Times New Roman" w:eastAsia="宋体"/>
          <w:sz w:val="21"/>
        </w:rPr>
        <w:t xml:space="preserve"> </w:t>
      </w:r>
      <w:r>
        <w:rPr>
          <w:rFonts w:hint="eastAsia" w:ascii="Times New Roman" w:hAnsi="Times New Roman" w:eastAsia="宋体"/>
          <w:sz w:val="21"/>
        </w:rPr>
        <w:t xml:space="preserve">该文把动力系统和控制器展开为计算图，以梯度方法优化控制器参数，并在</w:t>
      </w:r>
      <w:r>
        <w:rPr>
          <w:rFonts w:ascii="Times New Roman" w:hAnsi="Times New Roman" w:eastAsia="宋体"/>
          <w:sz w:val="21"/>
        </w:rPr>
        <w:t xml:space="preserve"> Dubins </w:t>
      </w:r>
      <w:r>
        <w:rPr>
          <w:rFonts w:hint="eastAsia" w:ascii="Times New Roman" w:hAnsi="Times New Roman" w:eastAsia="宋体"/>
          <w:sz w:val="21"/>
        </w:rPr>
        <w:t xml:space="preserve">车和四旋翼场景中验证控制器自动调参。</w:t>
      </w:r>
    </w:p>
    <w:p>
      <w:pPr>
        <w:pStyle w:val="BodyText"/>
        <w:spacing w:line="276" w:lineRule="auto" w:after="120"/>
        <w:ind w:firstLine="420"/>
        <w:jc w:val="both"/>
      </w:pPr>
      <w:r>
        <w:rPr>
          <w:rFonts w:hint="eastAsia" w:ascii="Times New Roman" w:hAnsi="Times New Roman" w:eastAsia="宋体"/>
          <w:b/>
          <w:bCs/>
          <w:sz w:val="21"/>
        </w:rPr>
        <w:t xml:space="preserve">与本案的区别：</w:t>
      </w:r>
      <w:r>
        <w:rPr>
          <w:rFonts w:ascii="Times New Roman" w:hAnsi="Times New Roman" w:eastAsia="宋体"/>
          <w:sz w:val="21"/>
        </w:rPr>
        <w:t xml:space="preserve"> </w:t>
      </w:r>
      <w:r>
        <w:rPr>
          <w:rFonts w:hint="eastAsia" w:ascii="Times New Roman" w:hAnsi="Times New Roman" w:eastAsia="宋体"/>
          <w:sz w:val="21"/>
        </w:rPr>
        <w:t xml:space="preserve">该文与本案在“沿闭环时间链路求控制器参数梯度”方面最接近；本案进一步面向已有车辆横向和纵向工程控制器，建立共享参数的可微训练路径与原始硬逻辑验证路径，覆盖速度分段、预瞄查表、限幅和速率限制等工程逻辑，并结合多轨迹多速度批处理、物理参数域、参数投影、验收门槛和配置导出形成可部署闭环。</w:t>
      </w:r>
    </w:p>
    <w:p>
      <w:pPr>
        <w:pStyle w:val="BodyText"/>
        <w:spacing w:line="276" w:lineRule="auto" w:after="120"/>
        <w:ind w:firstLine="420"/>
        <w:jc w:val="both"/>
      </w:pPr>
      <w:r>
        <w:rPr>
          <w:rFonts w:hint="eastAsia" w:ascii="Times New Roman" w:hAnsi="Times New Roman" w:eastAsia="宋体"/>
          <w:b/>
          <w:bCs/>
          <w:sz w:val="21"/>
        </w:rPr>
        <w:t xml:space="preserve">公开来源：</w:t>
      </w:r>
      <w:r>
        <w:rPr>
          <w:rFonts w:ascii="Times New Roman" w:hAnsi="Times New Roman" w:eastAsia="宋体"/>
          <w:sz w:val="21"/>
        </w:rPr>
        <w:t xml:space="preserve"> </w:t>
      </w:r>
      <w:hyperlink r:id="rId25">
        <w:r>
          <w:rPr>
            <w:rFonts w:ascii="Times New Roman" w:hAnsi="Times New Roman" w:eastAsia="宋体"/>
            <w:rStyle w:val="Hyperlink"/>
            <w:color w:val="0563C1"/>
            <w:u w:val="single"/>
            <w:sz w:val="21"/>
          </w:rPr>
          <w:t xml:space="preserve">https://arxiv.org/abs/2209.10021</w:t>
        </w:r>
      </w:hyperlink>
    </w:p>
    <w:p>
      <w:pPr>
        <w:pStyle w:val="BodyText"/>
        <w:spacing w:line="276" w:lineRule="auto" w:after="120"/>
        <w:ind w:firstLine="420"/>
        <w:jc w:val="both"/>
      </w:pPr>
      <w:r>
        <w:rPr>
          <w:rFonts w:hint="eastAsia" w:ascii="Times New Roman" w:hAnsi="Times New Roman" w:eastAsia="宋体"/>
          <w:b/>
          <w:bCs/>
          <w:sz w:val="21"/>
        </w:rPr>
        <w:t xml:space="preserve">检索结论与最接近现有技术判断：</w:t>
      </w:r>
      <w:r>
        <w:rPr>
          <w:rFonts w:ascii="Times New Roman" w:hAnsi="Times New Roman" w:eastAsia="宋体"/>
          <w:sz w:val="21"/>
        </w:rPr>
        <w:t xml:space="preserve"> </w:t>
      </w:r>
      <w:r>
        <w:rPr>
          <w:rFonts w:hint="eastAsia" w:ascii="Times New Roman" w:hAnsi="Times New Roman" w:eastAsia="宋体"/>
          <w:sz w:val="21"/>
        </w:rPr>
        <w:t xml:space="preserve">在本次检索范围内，DiffTune</w:t>
      </w:r>
      <w:r>
        <w:rPr>
          <w:rFonts w:ascii="Times New Roman" w:hAnsi="Times New Roman" w:eastAsia="宋体"/>
          <w:sz w:val="21"/>
        </w:rPr>
        <w:t xml:space="preserve"> </w:t>
      </w:r>
      <w:r>
        <w:rPr>
          <w:rFonts w:hint="eastAsia" w:ascii="Times New Roman" w:hAnsi="Times New Roman" w:eastAsia="宋体"/>
          <w:sz w:val="21"/>
        </w:rPr>
        <w:t xml:space="preserve">与本案的自动微分调参机制最接近，CN119734760A、CN115907250A</w:t>
      </w:r>
      <w:r>
        <w:rPr>
          <w:rFonts w:ascii="Times New Roman" w:hAnsi="Times New Roman" w:eastAsia="宋体"/>
          <w:sz w:val="21"/>
        </w:rPr>
        <w:t xml:space="preserve"> </w:t>
      </w:r>
      <w:r>
        <w:rPr>
          <w:rFonts w:hint="eastAsia" w:ascii="Times New Roman" w:hAnsi="Times New Roman" w:eastAsia="宋体"/>
          <w:sz w:val="21"/>
        </w:rPr>
        <w:t xml:space="preserve">分别在车辆横向参数调节和自动驾驶参数优化的应用方向上较为接近。尚未发现单一公开材料同时给出以下组合：从既有横纵向工程控制器中取得待整定参数；构建共享参数的可微训练路径和原始硬逻辑验证路径；在多轨迹、多速度及车辆参数域中闭环展开；对参数执行受约束梯度更新；通过硬逻辑复验后回写原配置格式。</w:t>
      </w:r>
    </w:p>
    <w:bookmarkEnd w:id="26"/>
    <w:bookmarkEnd w:id="27"/>
    <w:bookmarkStart w:id="28" w:name="现有技术存在的缺点"/>
    <w:p>
      <w:pPr>
        <w:pStyle w:val="Heading3"/>
        <w:ind w:firstLine="0"/>
        <w:jc w:val="left"/>
      </w:pPr>
      <w:r>
        <w:rPr>
          <w:rFonts w:ascii="Times New Roman" w:hAnsi="Times New Roman" w:eastAsia="黑体"/>
          <w:b/>
          <w:i w:val="0"/>
          <w:sz w:val="24"/>
        </w:rPr>
        <w:t xml:space="preserve">1.2 </w:t>
      </w:r>
      <w:r>
        <w:rPr>
          <w:rFonts w:hint="eastAsia" w:ascii="Times New Roman" w:hAnsi="Times New Roman" w:eastAsia="黑体"/>
          <w:b/>
          <w:i w:val="0"/>
          <w:sz w:val="24"/>
        </w:rPr>
        <w:t xml:space="preserve">现有技术存在的缺点</w:t>
      </w:r>
    </w:p>
    <w:p>
      <w:pPr>
        <w:numPr>
          <w:ilvl w:val="0"/>
          <w:numId w:val="1001"/>
        </w:numPr>
        <w:spacing w:after="60" w:line="276" w:lineRule="auto"/>
      </w:pPr>
      <w:r>
        <w:rPr>
          <w:rFonts w:hint="eastAsia" w:ascii="Times New Roman" w:hAnsi="Times New Roman" w:eastAsia="宋体"/>
          <w:sz w:val="21"/>
        </w:rPr>
        <w:t xml:space="preserve">现有车辆控制参数调节多为单一控制方向、在线查表或运行时参数切换，难以利用多轨迹、多速度和多车辆参数域一次性整定整组横纵向控制器参数。</w:t>
      </w:r>
    </w:p>
    <w:p>
      <w:pPr>
        <w:numPr>
          <w:ilvl w:val="0"/>
          <w:numId w:val="1001"/>
        </w:numPr>
        <w:spacing w:after="60" w:line="276" w:lineRule="auto"/>
      </w:pPr>
      <w:r>
        <w:rPr>
          <w:rFonts w:hint="eastAsia" w:ascii="Times New Roman" w:hAnsi="Times New Roman" w:eastAsia="宋体"/>
          <w:sz w:val="21"/>
        </w:rPr>
        <w:t xml:space="preserve">现有横纵向联合控制方法通常优化控制量序列或规划器参数，没有解决已有工程控制器内部预瞄表节点、位置环增益、速度环增益等标定参数的自动更新和原格式回写。</w:t>
      </w:r>
    </w:p>
    <w:p>
      <w:pPr>
        <w:numPr>
          <w:ilvl w:val="0"/>
          <w:numId w:val="1001"/>
        </w:numPr>
        <w:spacing w:after="60" w:line="276" w:lineRule="auto"/>
      </w:pPr>
      <w:r>
        <w:rPr>
          <w:rFonts w:hint="eastAsia" w:ascii="Times New Roman" w:hAnsi="Times New Roman" w:eastAsia="宋体"/>
          <w:sz w:val="21"/>
        </w:rPr>
        <w:t xml:space="preserve">工程控制器含有硬限幅、速率限制、最近点选择和条件分支，直接求导会出现梯度中断；完全改成平滑控制器又会使训练结果偏离部署逻辑。</w:t>
      </w:r>
    </w:p>
    <w:p>
      <w:pPr>
        <w:numPr>
          <w:ilvl w:val="0"/>
          <w:numId w:val="1001"/>
        </w:numPr>
        <w:spacing w:after="60" w:line="276" w:lineRule="auto"/>
      </w:pPr>
      <w:r>
        <w:rPr>
          <w:rFonts w:hint="eastAsia" w:ascii="Times New Roman" w:hAnsi="Times New Roman" w:eastAsia="宋体"/>
          <w:sz w:val="21"/>
        </w:rPr>
        <w:t xml:space="preserve">不同轨迹长度和误差量级差异较大，若不做逐场景归一化，少数长轨迹或高误差场景会主导参数更新。</w:t>
      </w:r>
    </w:p>
    <w:p>
      <w:pPr>
        <w:numPr>
          <w:ilvl w:val="0"/>
          <w:numId w:val="1001"/>
        </w:numPr>
        <w:spacing w:after="60" w:line="276" w:lineRule="auto"/>
      </w:pPr>
      <w:r>
        <w:rPr>
          <w:rFonts w:hint="eastAsia" w:ascii="Times New Roman" w:hAnsi="Times New Roman" w:eastAsia="宋体"/>
          <w:sz w:val="21"/>
        </w:rPr>
        <w:t xml:space="preserve">现有方案较少把训练结果重新放回原始硬逻辑路径进行统一复验，难以证明自动更新后的参数能够在工程限幅和分支条件下稳定使用。</w:t>
      </w:r>
    </w:p>
    <w:p>
      <w:pPr>
        <w:numPr>
          <w:ilvl w:val="0"/>
          <w:numId w:val="1001"/>
        </w:numPr>
        <w:spacing w:after="60" w:line="276" w:lineRule="auto"/>
      </w:pPr>
      <w:r>
        <w:rPr>
          <w:rFonts w:hint="eastAsia" w:ascii="Times New Roman" w:hAnsi="Times New Roman" w:eastAsia="宋体"/>
          <w:sz w:val="21"/>
        </w:rPr>
        <w:t xml:space="preserve">当被控对象采用学习型车辆模型时，控制器参数不足与车辆模型分布外失效容易相互混淆，缺少冻结模型、组件消融和输入分布诊断的可追溯机制。</w:t>
      </w:r>
    </w:p>
    <w:bookmarkEnd w:id="28"/>
    <w:bookmarkEnd w:id="29"/>
    <w:bookmarkStart w:id="30" w:name="二本发明所要解决的技术问题"/>
    <w:p>
      <w:pPr>
        <w:pStyle w:val="Heading2"/>
        <w:ind w:firstLine="0"/>
        <w:jc w:val="left"/>
      </w:pPr>
      <w:r>
        <w:rPr>
          <w:rFonts w:hint="eastAsia" w:ascii="Times New Roman" w:hAnsi="Times New Roman" w:eastAsia="黑体"/>
          <w:b/>
          <w:i w:val="0"/>
          <w:sz w:val="28"/>
        </w:rPr>
        <w:t xml:space="preserve">二、本发明所要解决的技术问题</w:t>
      </w:r>
    </w:p>
    <w:p>
      <w:pPr>
        <w:pStyle w:val="FirstParagraph"/>
        <w:spacing w:line="276" w:lineRule="auto" w:after="120"/>
        <w:ind w:firstLine="420"/>
        <w:jc w:val="both"/>
      </w:pPr>
      <w:r>
        <w:rPr>
          <w:rFonts w:hint="eastAsia" w:ascii="Times New Roman" w:hAnsi="Times New Roman" w:eastAsia="宋体"/>
          <w:sz w:val="21"/>
        </w:rPr>
        <w:t xml:space="preserve">本发明旨在不改变既有车辆横向和纵向工程控制器主体结构的前提下，把控制器参数、参考轨迹查询、车辆状态更新和性能评价连成可微闭环，使整组控制器标定参数能够根据多场景闭环结果自动更新。</w:t>
      </w:r>
    </w:p>
    <w:p>
      <w:pPr>
        <w:pStyle w:val="BodyText"/>
        <w:spacing w:line="276" w:lineRule="auto" w:after="120"/>
        <w:ind w:firstLine="420"/>
        <w:jc w:val="both"/>
      </w:pPr>
      <w:r>
        <w:rPr>
          <w:rFonts w:hint="eastAsia" w:ascii="Times New Roman" w:hAnsi="Times New Roman" w:eastAsia="宋体"/>
          <w:sz w:val="21"/>
        </w:rPr>
        <w:t xml:space="preserve">本发明还要解决可微训练与工程部署之间的矛盾：训练阶段为非光滑步骤建立能够传递梯度的对应计算，验证阶段仍采用原始硬限幅、硬分支和硬速率限制；两条路径共享同一组参数，从而使训练所得参数可以在工程逻辑下直接复验。</w:t>
      </w:r>
    </w:p>
    <w:p>
      <w:pPr>
        <w:pStyle w:val="BodyText"/>
        <w:spacing w:line="276" w:lineRule="auto" w:after="120"/>
        <w:ind w:firstLine="420"/>
        <w:jc w:val="both"/>
      </w:pPr>
      <w:r>
        <w:rPr>
          <w:rFonts w:hint="eastAsia" w:ascii="Times New Roman" w:hAnsi="Times New Roman" w:eastAsia="宋体"/>
          <w:sz w:val="21"/>
        </w:rPr>
        <w:t xml:space="preserve">本发明进一步解决多场景权重失衡、车辆物理参数不确定性和可部署边界约束问题。系统对各场景损失进行归一化，在多轨迹、多速度和多车辆参数域中批量展开，并在每次参数更新后执行物理边界投影，只有通过硬逻辑验收门槛的参数才被导出。</w:t>
      </w:r>
    </w:p>
    <w:p>
      <w:pPr>
        <w:pStyle w:val="BodyText"/>
        <w:spacing w:line="276" w:lineRule="auto" w:after="120"/>
        <w:ind w:firstLine="420"/>
        <w:jc w:val="both"/>
      </w:pPr>
      <w:r>
        <w:rPr>
          <w:rFonts w:hint="eastAsia" w:ascii="Times New Roman" w:hAnsi="Times New Roman" w:eastAsia="宋体"/>
          <w:sz w:val="21"/>
        </w:rPr>
        <w:t xml:space="preserve">在可选实施方式中，本发明还解决机理模型精度不足以及学习型残差模型失效难以归因的问题：采用机理模型给出主体响应、冻结的残差模型补偿剩余误差，并通过输入分布距离、静态扫描和组件消融判断异常来源。该可选方式不构成核心整定方法的必要条件。</w:t>
      </w:r>
    </w:p>
    <w:bookmarkEnd w:id="30"/>
    <w:bookmarkStart w:id="47" w:name="三本发明技术方案的详细阐述"/>
    <w:p>
      <w:pPr>
        <w:pStyle w:val="Heading2"/>
        <w:ind w:firstLine="0"/>
        <w:jc w:val="left"/>
      </w:pPr>
      <w:r>
        <w:rPr>
          <w:rFonts w:hint="eastAsia" w:ascii="Times New Roman" w:hAnsi="Times New Roman" w:eastAsia="黑体"/>
          <w:b/>
          <w:i w:val="0"/>
          <w:sz w:val="28"/>
        </w:rPr>
        <w:t xml:space="preserve">三、本发明技术方案的详细阐述</w:t>
      </w:r>
    </w:p>
    <w:bookmarkStart w:id="31" w:name="总体思路"/>
    <w:p>
      <w:pPr>
        <w:pStyle w:val="Heading3"/>
        <w:ind w:firstLine="0"/>
        <w:jc w:val="left"/>
      </w:pPr>
      <w:r>
        <w:rPr>
          <w:rFonts w:ascii="Times New Roman" w:hAnsi="Times New Roman" w:eastAsia="黑体"/>
          <w:b/>
          <w:i w:val="0"/>
          <w:sz w:val="24"/>
        </w:rPr>
        <w:t xml:space="preserve">3.1 </w:t>
      </w:r>
      <w:r>
        <w:rPr>
          <w:rFonts w:hint="eastAsia" w:ascii="Times New Roman" w:hAnsi="Times New Roman" w:eastAsia="黑体"/>
          <w:b/>
          <w:i w:val="0"/>
          <w:sz w:val="24"/>
        </w:rPr>
        <w:t xml:space="preserve">总体思路</w:t>
      </w:r>
    </w:p>
    <w:p>
      <w:pPr>
        <w:pStyle w:val="FirstParagraph"/>
        <w:spacing w:line="276" w:lineRule="auto" w:after="120"/>
        <w:ind w:firstLine="420"/>
        <w:jc w:val="both"/>
      </w:pPr>
      <w:r>
        <w:rPr>
          <w:rFonts w:hint="eastAsia" w:ascii="Times New Roman" w:hAnsi="Times New Roman" w:eastAsia="宋体"/>
          <w:sz w:val="21"/>
        </w:rPr>
        <w:t xml:space="preserve">车辆控制模块按固定周期运行。每一周期先依据参考轨迹和当前车辆状态计算横向指令，再依据目标速度、位置误差和速度误差计算纵向指令，随后由车辆动力学模型更新下一周期状态。多个周期连续执行后，当前参数不仅影响本周期控制输出，还会通过车辆状态影响后续全部周期的误差。</w:t>
      </w:r>
    </w:p>
    <w:p>
      <w:pPr>
        <w:pStyle w:val="BodyText"/>
        <w:spacing w:line="276" w:lineRule="auto" w:after="120"/>
        <w:ind w:firstLine="420"/>
        <w:jc w:val="both"/>
      </w:pPr>
      <w:r>
        <w:rPr>
          <w:rFonts w:hint="eastAsia" w:ascii="Times New Roman" w:hAnsi="Times New Roman" w:eastAsia="宋体"/>
          <w:sz w:val="21"/>
        </w:rPr>
        <w:t xml:space="preserve">本发明利用上述时间依赖关系，将横向和纵向工程控制器复现为两条共享参数的计算路径。训练路径保持控制律的主要物理关系，并对部分非光滑环节采用平滑混合、梯度直通或梯度隔离；验证路径保持原工程控制器的硬逻辑。训练路径用于获得参数更新方向，验证路径用于判断更新后的参数能否部署。</w:t>
      </w:r>
    </w:p>
    <w:p>
      <w:pPr>
        <w:pStyle w:val="BodyText"/>
        <w:spacing w:line="276" w:lineRule="auto" w:after="120"/>
        <w:ind w:firstLine="420"/>
        <w:jc w:val="both"/>
      </w:pPr>
      <w:r>
        <w:rPr>
          <w:rFonts w:hint="eastAsia" w:ascii="Times New Roman" w:hAnsi="Times New Roman" w:eastAsia="宋体"/>
          <w:b/>
          <w:bCs/>
          <w:sz w:val="21"/>
        </w:rPr>
        <w:t xml:space="preserve">核心技术主线：</w:t>
      </w:r>
      <w:r>
        <w:rPr>
          <w:rFonts w:ascii="Times New Roman" w:hAnsi="Times New Roman" w:eastAsia="宋体"/>
          <w:sz w:val="21"/>
        </w:rPr>
        <w:t xml:space="preserve"> </w:t>
      </w:r>
      <w:r>
        <w:rPr>
          <w:rFonts w:hint="eastAsia" w:ascii="Times New Roman" w:hAnsi="Times New Roman" w:eastAsia="宋体"/>
          <w:sz w:val="21"/>
        </w:rPr>
        <w:t xml:space="preserve">参数登记与边界确定</w:t>
      </w:r>
      <w:r>
        <w:rPr>
          <w:rFonts w:ascii="Times New Roman" w:hAnsi="Times New Roman" w:eastAsia="宋体"/>
          <w:sz w:val="21"/>
        </w:rPr>
        <w:t xml:space="preserve"> → </w:t>
      </w:r>
      <w:r>
        <w:rPr>
          <w:rFonts w:hint="eastAsia" w:ascii="Times New Roman" w:hAnsi="Times New Roman" w:eastAsia="宋体"/>
          <w:sz w:val="21"/>
        </w:rPr>
        <w:t xml:space="preserve">双路径控制器复现</w:t>
      </w:r>
      <w:r>
        <w:rPr>
          <w:rFonts w:ascii="Times New Roman" w:hAnsi="Times New Roman" w:eastAsia="宋体"/>
          <w:sz w:val="21"/>
        </w:rPr>
        <w:t xml:space="preserve"> → </w:t>
      </w:r>
      <w:r>
        <w:rPr>
          <w:rFonts w:hint="eastAsia" w:ascii="Times New Roman" w:hAnsi="Times New Roman" w:eastAsia="宋体"/>
          <w:sz w:val="21"/>
        </w:rPr>
        <w:t xml:space="preserve">多场景车辆动力学闭环展开</w:t>
      </w:r>
      <w:r>
        <w:rPr>
          <w:rFonts w:ascii="Times New Roman" w:hAnsi="Times New Roman" w:eastAsia="宋体"/>
          <w:sz w:val="21"/>
        </w:rPr>
        <w:t xml:space="preserve"> → </w:t>
      </w:r>
      <w:r>
        <w:rPr>
          <w:rFonts w:hint="eastAsia" w:ascii="Times New Roman" w:hAnsi="Times New Roman" w:eastAsia="宋体"/>
          <w:sz w:val="21"/>
        </w:rPr>
        <w:t xml:space="preserve">逐场景归一化损失</w:t>
      </w:r>
      <w:r>
        <w:rPr>
          <w:rFonts w:ascii="Times New Roman" w:hAnsi="Times New Roman" w:eastAsia="宋体"/>
          <w:sz w:val="21"/>
        </w:rPr>
        <w:t xml:space="preserve"> → </w:t>
      </w:r>
      <w:r>
        <w:rPr>
          <w:rFonts w:hint="eastAsia" w:ascii="Times New Roman" w:hAnsi="Times New Roman" w:eastAsia="宋体"/>
          <w:sz w:val="21"/>
        </w:rPr>
        <w:t xml:space="preserve">自动微分与参数投影</w:t>
      </w:r>
      <w:r>
        <w:rPr>
          <w:rFonts w:ascii="Times New Roman" w:hAnsi="Times New Roman" w:eastAsia="宋体"/>
          <w:sz w:val="21"/>
        </w:rPr>
        <w:t xml:space="preserve"> → </w:t>
      </w:r>
      <w:r>
        <w:rPr>
          <w:rFonts w:hint="eastAsia" w:ascii="Times New Roman" w:hAnsi="Times New Roman" w:eastAsia="宋体"/>
          <w:sz w:val="21"/>
        </w:rPr>
        <w:t xml:space="preserve">原始硬逻辑复验</w:t>
      </w:r>
      <w:r>
        <w:rPr>
          <w:rFonts w:ascii="Times New Roman" w:hAnsi="Times New Roman" w:eastAsia="宋体"/>
          <w:sz w:val="21"/>
        </w:rPr>
        <w:t xml:space="preserve"> → </w:t>
      </w:r>
      <w:r>
        <w:rPr>
          <w:rFonts w:hint="eastAsia" w:ascii="Times New Roman" w:hAnsi="Times New Roman" w:eastAsia="宋体"/>
          <w:sz w:val="21"/>
        </w:rPr>
        <w:t xml:space="preserve">参数配置导出。</w:t>
      </w:r>
    </w:p>
    <w:p>
      <w:pPr>
        <w:pStyle w:val="BodyText"/>
        <w:spacing w:line="276" w:lineRule="auto" w:after="120"/>
        <w:ind w:firstLine="420"/>
        <w:jc w:val="both"/>
      </w:pPr>
      <w:r>
        <w:rPr>
          <w:rFonts w:hint="eastAsia" w:ascii="Times New Roman" w:hAnsi="Times New Roman" w:eastAsia="宋体"/>
          <w:sz w:val="21"/>
        </w:rPr>
        <w:t xml:space="preserve">机理动力学模型是被控对象的最低构成。对于需要提高车辆响应逼真度的场景，可以在机理状态更新后叠加冻结的</w:t>
      </w:r>
      <w:r>
        <w:rPr>
          <w:rFonts w:ascii="Times New Roman" w:hAnsi="Times New Roman" w:eastAsia="宋体"/>
          <w:sz w:val="21"/>
        </w:rPr>
        <w:t xml:space="preserve"> MLP </w:t>
      </w:r>
      <w:r>
        <w:rPr>
          <w:rFonts w:hint="eastAsia" w:ascii="Times New Roman" w:hAnsi="Times New Roman" w:eastAsia="宋体"/>
          <w:sz w:val="21"/>
        </w:rPr>
        <w:t xml:space="preserve">残差模型；该残差模型的权重不参加控制器参数整定。</w:t>
      </w:r>
    </w:p>
    <w:bookmarkEnd w:id="31"/>
    <w:bookmarkStart w:id="35" w:name="系统框图"/>
    <w:p>
      <w:pPr>
        <w:pStyle w:val="Heading3"/>
        <w:ind w:firstLine="0"/>
        <w:jc w:val="left"/>
      </w:pPr>
      <w:r>
        <w:rPr>
          <w:rFonts w:ascii="Times New Roman" w:hAnsi="Times New Roman" w:eastAsia="黑体"/>
          <w:b/>
          <w:i w:val="0"/>
          <w:sz w:val="24"/>
        </w:rPr>
        <w:t xml:space="preserve">3.2 </w:t>
      </w:r>
      <w:r>
        <w:rPr>
          <w:rFonts w:hint="eastAsia" w:ascii="Times New Roman" w:hAnsi="Times New Roman" w:eastAsia="黑体"/>
          <w:b/>
          <w:i w:val="0"/>
          <w:sz w:val="24"/>
        </w:rPr>
        <w:t xml:space="preserve">系统框图</w:t>
      </w:r>
    </w:p>
    <w:p>
      <w:pPr>
        <w:pStyle w:val="FirstParagraph"/>
        <w:spacing w:before="80" w:after="60"/>
        <w:ind w:firstLine="0"/>
        <w:jc w:val="center"/>
      </w:pPr>
      <w:r>
        <w:rPr>
          <w:rFonts w:ascii="Times New Roman" w:hAnsi="Times New Roman" w:eastAsia="宋体"/>
          <w:sz w:val="21"/>
        </w:rPr>
        <w:drawing>
          <wp:inline>
            <wp:extent cx="5067300" cy="2717915"/>
            <wp:effectExtent b="0" l="0" r="0" t="0"/>
            <wp:docPr descr="" title="" id="33" name="Picture"/>
            <a:graphic>
              <a:graphicData uri="http://schemas.openxmlformats.org/drawingml/2006/picture">
                <pic:pic>
                  <pic:nvPicPr>
                    <pic:cNvPr descr="figures/mermaid/fig1_system.png" id="34" name="Picture"/>
                    <pic:cNvPicPr>
                      <a:picLocks noChangeArrowheads="1" noChangeAspect="1"/>
                    </pic:cNvPicPr>
                  </pic:nvPicPr>
                  <pic:blipFill>
                    <a:blip r:embed="rId32"/>
                    <a:stretch>
                      <a:fillRect/>
                    </a:stretch>
                  </pic:blipFill>
                  <pic:spPr bwMode="auto">
                    <a:xfrm>
                      <a:off x="0" y="0"/>
                      <a:ext cx="5067300" cy="2717915"/>
                    </a:xfrm>
                    <a:prstGeom prst="rect">
                      <a:avLst/>
                    </a:prstGeom>
                    <a:noFill/>
                    <a:ln w="9525">
                      <a:noFill/>
                      <a:headEnd/>
                      <a:tailEnd/>
                    </a:ln>
                  </pic:spPr>
                </pic:pic>
              </a:graphicData>
            </a:graphic>
          </wp:inline>
        </w:drawing>
      </w:r>
    </w:p>
    <w:p>
      <w:pPr>
        <w:pStyle w:val="BodyText"/>
        <w:keepNext w:val="0"/>
        <w:spacing w:before="40" w:after="160"/>
        <w:ind w:firstLine="0"/>
        <w:jc w:val="center"/>
      </w:pPr>
      <w:r>
        <w:rPr>
          <w:rFonts w:hint="eastAsia" w:ascii="Times New Roman" w:hAnsi="Times New Roman" w:eastAsia="宋体"/>
          <w:i w:val="0"/>
          <w:iCs/>
          <w:sz w:val="20"/>
        </w:rPr>
        <w:t xml:space="preserve">图1</w:t>
      </w:r>
      <w:r>
        <w:rPr>
          <w:rFonts w:ascii="Times New Roman" w:hAnsi="Times New Roman" w:eastAsia="宋体"/>
          <w:i w:val="0"/>
          <w:iCs/>
          <w:sz w:val="20"/>
        </w:rPr>
        <w:t xml:space="preserve"> </w:t>
      </w:r>
      <w:r>
        <w:rPr>
          <w:rFonts w:hint="eastAsia" w:ascii="Times New Roman" w:hAnsi="Times New Roman" w:eastAsia="宋体"/>
          <w:i w:val="0"/>
          <w:iCs/>
          <w:sz w:val="20"/>
        </w:rPr>
        <w:t xml:space="preserve">可微闭环参数自动整定系统框图</w:t>
      </w:r>
    </w:p>
    <w:bookmarkEnd w:id="35"/>
    <w:bookmarkStart w:id="36" w:name="模块功能说明"/>
    <w:p>
      <w:pPr>
        <w:pStyle w:val="Heading3"/>
        <w:ind w:firstLine="0"/>
        <w:jc w:val="left"/>
      </w:pPr>
      <w:r>
        <w:rPr>
          <w:rFonts w:ascii="Times New Roman" w:hAnsi="Times New Roman" w:eastAsia="黑体"/>
          <w:b/>
          <w:i w:val="0"/>
          <w:sz w:val="24"/>
        </w:rPr>
        <w:t xml:space="preserve">3.3 </w:t>
      </w:r>
      <w:r>
        <w:rPr>
          <w:rFonts w:hint="eastAsia" w:ascii="Times New Roman" w:hAnsi="Times New Roman" w:eastAsia="黑体"/>
          <w:b/>
          <w:i w:val="0"/>
          <w:sz w:val="24"/>
        </w:rPr>
        <w:t xml:space="preserve">模块功能说明</w:t>
      </w:r>
    </w:p>
    <w:p>
      <w:pPr>
        <w:numPr>
          <w:ilvl w:val="0"/>
          <w:numId w:val="1002"/>
        </w:numPr>
        <w:spacing w:after="60" w:line="276" w:lineRule="auto"/>
      </w:pPr>
      <w:r>
        <w:rPr>
          <w:rFonts w:hint="eastAsia" w:ascii="Times New Roman" w:hAnsi="Times New Roman" w:eastAsia="宋体"/>
          <w:b/>
          <w:bCs/>
          <w:sz w:val="21"/>
        </w:rPr>
        <w:t xml:space="preserve">参数登记及边界模块。</w:t>
      </w:r>
      <w:r>
        <w:rPr>
          <w:rFonts w:ascii="Times New Roman" w:hAnsi="Times New Roman" w:eastAsia="宋体"/>
          <w:sz w:val="21"/>
        </w:rPr>
        <w:t xml:space="preserve"> </w:t>
      </w:r>
      <w:r>
        <w:rPr>
          <w:rFonts w:hint="eastAsia" w:ascii="Times New Roman" w:hAnsi="Times New Roman" w:eastAsia="宋体"/>
          <w:sz w:val="21"/>
        </w:rPr>
        <w:t xml:space="preserve">从工程控制器代码、参数文件或人工指定清单中取得候选标定参数，将其划分为待整定参数、固定物理参数和安全约束参数，并记录参数在原配置中的名称、形状、单位、初始值、上下界及回写位置。</w:t>
      </w:r>
    </w:p>
    <w:p>
      <w:pPr>
        <w:numPr>
          <w:ilvl w:val="0"/>
          <w:numId w:val="1002"/>
        </w:numPr>
        <w:spacing w:after="60" w:line="276" w:lineRule="auto"/>
      </w:pPr>
      <w:r>
        <w:rPr>
          <w:rFonts w:hint="eastAsia" w:ascii="Times New Roman" w:hAnsi="Times New Roman" w:eastAsia="宋体"/>
          <w:b/>
          <w:bCs/>
          <w:sz w:val="21"/>
        </w:rPr>
        <w:t xml:space="preserve">双路径控制器。</w:t>
      </w:r>
      <w:r>
        <w:rPr>
          <w:rFonts w:ascii="Times New Roman" w:hAnsi="Times New Roman" w:eastAsia="宋体"/>
          <w:sz w:val="21"/>
        </w:rPr>
        <w:t xml:space="preserve"> </w:t>
      </w:r>
      <w:r>
        <w:rPr>
          <w:rFonts w:hint="eastAsia" w:ascii="Times New Roman" w:hAnsi="Times New Roman" w:eastAsia="宋体"/>
          <w:sz w:val="21"/>
        </w:rPr>
        <w:t xml:space="preserve">训练路径和验证路径采用同一横向、纵向控制结构并引用同一组待整定参数；二者仅在非光滑环节的计算方式上不同。验证路径的输出应与原工程控制器在预设容差内一致。</w:t>
      </w:r>
    </w:p>
    <w:p>
      <w:pPr>
        <w:numPr>
          <w:ilvl w:val="0"/>
          <w:numId w:val="1002"/>
        </w:numPr>
        <w:spacing w:after="60" w:line="276" w:lineRule="auto"/>
      </w:pPr>
      <w:r>
        <w:rPr>
          <w:rFonts w:hint="eastAsia" w:ascii="Times New Roman" w:hAnsi="Times New Roman" w:eastAsia="宋体"/>
          <w:b/>
          <w:bCs/>
          <w:sz w:val="21"/>
        </w:rPr>
        <w:t xml:space="preserve">场景与车辆参数域。</w:t>
      </w:r>
      <w:r>
        <w:rPr>
          <w:rFonts w:ascii="Times New Roman" w:hAnsi="Times New Roman" w:eastAsia="宋体"/>
          <w:sz w:val="21"/>
        </w:rPr>
        <w:t xml:space="preserve"> </w:t>
      </w:r>
      <w:r>
        <w:rPr>
          <w:rFonts w:hint="eastAsia" w:ascii="Times New Roman" w:hAnsi="Times New Roman" w:eastAsia="宋体"/>
          <w:sz w:val="21"/>
        </w:rPr>
        <w:t xml:space="preserve">场景至少包括多种轨迹形状和多个速度段；可进一步对车辆质量、侧偏刚度、轮胎或传动参数进行采样。各场景保存参考位置、航向、曲率和速度随时间或距离的变化。</w:t>
      </w:r>
    </w:p>
    <w:p>
      <w:pPr>
        <w:numPr>
          <w:ilvl w:val="0"/>
          <w:numId w:val="1002"/>
        </w:numPr>
        <w:spacing w:after="60" w:line="276" w:lineRule="auto"/>
      </w:pPr>
      <w:r>
        <w:rPr>
          <w:rFonts w:hint="eastAsia" w:ascii="Times New Roman" w:hAnsi="Times New Roman" w:eastAsia="宋体"/>
          <w:b/>
          <w:bCs/>
          <w:sz w:val="21"/>
        </w:rPr>
        <w:t xml:space="preserve">被控对象。</w:t>
      </w:r>
      <w:r>
        <w:rPr>
          <w:rFonts w:ascii="Times New Roman" w:hAnsi="Times New Roman" w:eastAsia="宋体"/>
          <w:sz w:val="21"/>
        </w:rPr>
        <w:t xml:space="preserve"> </w:t>
      </w:r>
      <w:r>
        <w:rPr>
          <w:rFonts w:hint="eastAsia" w:ascii="Times New Roman" w:hAnsi="Times New Roman" w:eastAsia="宋体"/>
          <w:sz w:val="21"/>
        </w:rPr>
        <w:t xml:space="preserve">机理动力学模型根据车辆状态、控制指令和车辆物理参数给出下一周期状态。机理模型可以是运动学自行车模型、动力学自行车模型或牵引车—挂车双体动力学模型。</w:t>
      </w:r>
    </w:p>
    <w:p>
      <w:pPr>
        <w:numPr>
          <w:ilvl w:val="0"/>
          <w:numId w:val="1002"/>
        </w:numPr>
        <w:spacing w:after="60" w:line="276" w:lineRule="auto"/>
      </w:pPr>
      <w:r>
        <w:rPr>
          <w:rFonts w:hint="eastAsia" w:ascii="Times New Roman" w:hAnsi="Times New Roman" w:eastAsia="宋体"/>
          <w:b/>
          <w:bCs/>
          <w:sz w:val="21"/>
        </w:rPr>
        <w:t xml:space="preserve">可选残差增强。</w:t>
      </w:r>
      <w:r>
        <w:rPr>
          <w:rFonts w:ascii="Times New Roman" w:hAnsi="Times New Roman" w:eastAsia="宋体"/>
          <w:sz w:val="21"/>
        </w:rPr>
        <w:t xml:space="preserve"> </w:t>
      </w:r>
      <w:r>
        <w:rPr>
          <w:rFonts w:hint="eastAsia" w:ascii="Times New Roman" w:hAnsi="Times New Roman" w:eastAsia="宋体"/>
          <w:sz w:val="21"/>
        </w:rPr>
        <w:t xml:space="preserve">冻结的残差模型接收车辆状态、控制指令和车辆配置等特征，输出速度或位姿残差；残差经过坐标转换、限幅和车辆构型掩码后叠加到机理预测状态。梯度可以经过其输入输出映射回到控制器参数，但不更新残差模型权重。</w:t>
      </w:r>
    </w:p>
    <w:p>
      <w:pPr>
        <w:numPr>
          <w:ilvl w:val="0"/>
          <w:numId w:val="1002"/>
        </w:numPr>
        <w:spacing w:after="60" w:line="276" w:lineRule="auto"/>
      </w:pPr>
      <w:r>
        <w:rPr>
          <w:rFonts w:hint="eastAsia" w:ascii="Times New Roman" w:hAnsi="Times New Roman" w:eastAsia="宋体"/>
          <w:b/>
          <w:bCs/>
          <w:sz w:val="21"/>
        </w:rPr>
        <w:t xml:space="preserve">闭环展开模块。</w:t>
      </w:r>
      <w:r>
        <w:rPr>
          <w:rFonts w:ascii="Times New Roman" w:hAnsi="Times New Roman" w:eastAsia="宋体"/>
          <w:sz w:val="21"/>
        </w:rPr>
        <w:t xml:space="preserve"> </w:t>
      </w:r>
      <w:r>
        <w:rPr>
          <w:rFonts w:hint="eastAsia" w:ascii="Times New Roman" w:hAnsi="Times New Roman" w:eastAsia="宋体"/>
          <w:sz w:val="21"/>
        </w:rPr>
        <w:t xml:space="preserve">按控制周期串联参考轨迹查询、横向控制、纵向控制和车辆状态更新；可采用完整时间反向传播，也可按长度为</w:t>
      </w:r>
      <w:r>
        <w:rPr>
          <w:rFonts w:ascii="Times New Roman" w:hAnsi="Times New Roman" w:eastAsia="宋体"/>
          <w:sz w:val="21"/>
        </w:rPr>
        <w:t xml:space="preserve"> </w:t>
      </w:r>
      <m:oMath>
        <m:r>
          <m:t>K</m:t>
        </m:r>
      </m:oMath>
      <w:r>
        <w:rPr>
          <w:rFonts w:ascii="Times New Roman" w:hAnsi="Times New Roman" w:eastAsia="宋体"/>
          <w:sz w:val="21"/>
        </w:rPr>
        <w:t xml:space="preserve"> </w:t>
      </w:r>
      <w:r>
        <w:rPr>
          <w:rFonts w:hint="eastAsia" w:ascii="Times New Roman" w:hAnsi="Times New Roman" w:eastAsia="宋体"/>
          <w:sz w:val="21"/>
        </w:rPr>
        <w:t xml:space="preserve">的窗口截断并继续向前推进，以控制存储量和梯度稳定性。</w:t>
      </w:r>
    </w:p>
    <w:p>
      <w:pPr>
        <w:numPr>
          <w:ilvl w:val="0"/>
          <w:numId w:val="1002"/>
        </w:numPr>
        <w:spacing w:after="60" w:line="276" w:lineRule="auto"/>
      </w:pPr>
      <w:r>
        <w:rPr>
          <w:rFonts w:hint="eastAsia" w:ascii="Times New Roman" w:hAnsi="Times New Roman" w:eastAsia="宋体"/>
          <w:b/>
          <w:bCs/>
          <w:sz w:val="21"/>
        </w:rPr>
        <w:t xml:space="preserve">损失与归一化模块。</w:t>
      </w:r>
      <w:r>
        <w:rPr>
          <w:rFonts w:ascii="Times New Roman" w:hAnsi="Times New Roman" w:eastAsia="宋体"/>
          <w:sz w:val="21"/>
        </w:rPr>
        <w:t xml:space="preserve"> </w:t>
      </w:r>
      <w:r>
        <w:rPr>
          <w:rFonts w:hint="eastAsia" w:ascii="Times New Roman" w:hAnsi="Times New Roman" w:eastAsia="宋体"/>
          <w:sz w:val="21"/>
        </w:rPr>
        <w:t xml:space="preserve">分别计算横向误差、航向误差、速度误差、转向变化、纵向指令变化和参数偏移；先对各场景按其基准损失或有效时长归一化，再对批量场景求平均。</w:t>
      </w:r>
    </w:p>
    <w:p>
      <w:pPr>
        <w:numPr>
          <w:ilvl w:val="0"/>
          <w:numId w:val="1002"/>
        </w:numPr>
        <w:spacing w:after="60" w:line="276" w:lineRule="auto"/>
      </w:pPr>
      <w:r>
        <w:rPr>
          <w:rFonts w:hint="eastAsia" w:ascii="Times New Roman" w:hAnsi="Times New Roman" w:eastAsia="宋体"/>
          <w:b/>
          <w:bCs/>
          <w:sz w:val="21"/>
        </w:rPr>
        <w:t xml:space="preserve">参数更新与投影模块。</w:t>
      </w:r>
      <w:r>
        <w:rPr>
          <w:rFonts w:ascii="Times New Roman" w:hAnsi="Times New Roman" w:eastAsia="宋体"/>
          <w:sz w:val="21"/>
        </w:rPr>
        <w:t xml:space="preserve"> </w:t>
      </w:r>
      <w:r>
        <w:rPr>
          <w:rFonts w:hint="eastAsia" w:ascii="Times New Roman" w:hAnsi="Times New Roman" w:eastAsia="宋体"/>
          <w:sz w:val="21"/>
        </w:rPr>
        <w:t xml:space="preserve">根据综合损失对待整定参数的梯度执行优化更新，并把更新结果投影到对应物理和安全边界内；固定物理参数和安全参数不参与更新。</w:t>
      </w:r>
    </w:p>
    <w:p>
      <w:pPr>
        <w:numPr>
          <w:ilvl w:val="0"/>
          <w:numId w:val="1002"/>
        </w:numPr>
        <w:spacing w:after="60" w:line="276" w:lineRule="auto"/>
      </w:pPr>
      <w:r>
        <w:rPr>
          <w:rFonts w:hint="eastAsia" w:ascii="Times New Roman" w:hAnsi="Times New Roman" w:eastAsia="宋体"/>
          <w:b/>
          <w:bCs/>
          <w:sz w:val="21"/>
        </w:rPr>
        <w:t xml:space="preserve">硬逻辑复验与导出模块。</w:t>
      </w:r>
      <w:r>
        <w:rPr>
          <w:rFonts w:ascii="Times New Roman" w:hAnsi="Times New Roman" w:eastAsia="宋体"/>
          <w:sz w:val="21"/>
        </w:rPr>
        <w:t xml:space="preserve"> </w:t>
      </w:r>
      <w:r>
        <w:rPr>
          <w:rFonts w:hint="eastAsia" w:ascii="Times New Roman" w:hAnsi="Times New Roman" w:eastAsia="宋体"/>
          <w:sz w:val="21"/>
        </w:rPr>
        <w:t xml:space="preserve">将候选参数送入验证路径，在独立场景集或全量场景集上运行闭环；仅在跟踪误差、控制平滑性、数值稳定性和参数边界均满足预设门槛时，生成与原控制器配置格式一致或可转换的参数文件。</w:t>
      </w:r>
    </w:p>
    <w:p>
      <w:pPr>
        <w:numPr>
          <w:ilvl w:val="0"/>
          <w:numId w:val="1002"/>
        </w:numPr>
        <w:spacing w:after="60" w:line="276" w:lineRule="auto"/>
      </w:pPr>
      <w:r>
        <w:rPr>
          <w:rFonts w:hint="eastAsia" w:ascii="Times New Roman" w:hAnsi="Times New Roman" w:eastAsia="宋体"/>
          <w:b/>
          <w:bCs/>
          <w:sz w:val="21"/>
        </w:rPr>
        <w:t xml:space="preserve">可选诊断模块。</w:t>
      </w:r>
      <w:r>
        <w:rPr>
          <w:rFonts w:ascii="Times New Roman" w:hAnsi="Times New Roman" w:eastAsia="宋体"/>
          <w:sz w:val="21"/>
        </w:rPr>
        <w:t xml:space="preserve"> </w:t>
      </w:r>
      <w:r>
        <w:rPr>
          <w:rFonts w:hint="eastAsia" w:ascii="Times New Roman" w:hAnsi="Times New Roman" w:eastAsia="宋体"/>
          <w:sz w:val="21"/>
        </w:rPr>
        <w:t xml:space="preserve">在混合被控对象出现异常时记录残差模型输入、归一化距离、原始输出、限幅后输出和车辆响应，并通过无激励静态扫描、纯机理对照和残差分量消融定位异常来源。</w:t>
      </w:r>
    </w:p>
    <w:bookmarkEnd w:id="36"/>
    <w:bookmarkStart w:id="45" w:name="系统流程说明"/>
    <w:p>
      <w:pPr>
        <w:pStyle w:val="Heading3"/>
        <w:ind w:firstLine="0"/>
        <w:jc w:val="left"/>
      </w:pPr>
      <w:r>
        <w:rPr>
          <w:rFonts w:ascii="Times New Roman" w:hAnsi="Times New Roman" w:eastAsia="黑体"/>
          <w:b/>
          <w:i w:val="0"/>
          <w:sz w:val="24"/>
        </w:rPr>
        <w:t xml:space="preserve">3.4 </w:t>
      </w:r>
      <w:r>
        <w:rPr>
          <w:rFonts w:hint="eastAsia" w:ascii="Times New Roman" w:hAnsi="Times New Roman" w:eastAsia="黑体"/>
          <w:b/>
          <w:i w:val="0"/>
          <w:sz w:val="24"/>
        </w:rPr>
        <w:t xml:space="preserve">系统流程说明</w:t>
      </w:r>
    </w:p>
    <w:p>
      <w:pPr>
        <w:pStyle w:val="FirstParagraph"/>
        <w:spacing w:before="80" w:after="60"/>
        <w:ind w:firstLine="0"/>
        <w:jc w:val="center"/>
      </w:pPr>
      <w:r>
        <w:rPr>
          <w:rFonts w:ascii="Times New Roman" w:hAnsi="Times New Roman" w:eastAsia="宋体"/>
          <w:sz w:val="21"/>
        </w:rPr>
        <w:drawing>
          <wp:inline>
            <wp:extent cx="3687288" cy="3154680"/>
            <wp:effectExtent b="0" l="0" r="0" t="0"/>
            <wp:docPr descr="" title="" id="38" name="Picture"/>
            <a:graphic>
              <a:graphicData uri="http://schemas.openxmlformats.org/drawingml/2006/picture">
                <pic:pic>
                  <pic:nvPicPr>
                    <pic:cNvPr descr="figures/mermaid/fig2_flow.png" id="39" name="Picture"/>
                    <pic:cNvPicPr>
                      <a:picLocks noChangeArrowheads="1" noChangeAspect="1"/>
                    </pic:cNvPicPr>
                  </pic:nvPicPr>
                  <pic:blipFill>
                    <a:blip r:embed="rId37"/>
                    <a:stretch>
                      <a:fillRect/>
                    </a:stretch>
                  </pic:blipFill>
                  <pic:spPr bwMode="auto">
                    <a:xfrm>
                      <a:off x="0" y="0"/>
                      <a:ext cx="3687288" cy="3154680"/>
                    </a:xfrm>
                    <a:prstGeom prst="rect">
                      <a:avLst/>
                    </a:prstGeom>
                    <a:noFill/>
                    <a:ln w="9525">
                      <a:noFill/>
                      <a:headEnd/>
                      <a:tailEnd/>
                    </a:ln>
                  </pic:spPr>
                </pic:pic>
              </a:graphicData>
            </a:graphic>
          </wp:inline>
        </w:drawing>
      </w:r>
    </w:p>
    <w:p>
      <w:pPr>
        <w:pStyle w:val="BodyText"/>
        <w:keepNext w:val="0"/>
        <w:spacing w:before="40" w:after="160"/>
        <w:ind w:firstLine="0"/>
        <w:jc w:val="center"/>
      </w:pPr>
      <w:r>
        <w:rPr>
          <w:rFonts w:hint="eastAsia" w:ascii="Times New Roman" w:hAnsi="Times New Roman" w:eastAsia="宋体"/>
          <w:i w:val="0"/>
          <w:iCs/>
          <w:sz w:val="20"/>
        </w:rPr>
        <w:t xml:space="preserve">图2</w:t>
      </w:r>
      <w:r>
        <w:rPr>
          <w:rFonts w:ascii="Times New Roman" w:hAnsi="Times New Roman" w:eastAsia="宋体"/>
          <w:i w:val="0"/>
          <w:iCs/>
          <w:sz w:val="20"/>
        </w:rPr>
        <w:t xml:space="preserve"> </w:t>
      </w:r>
      <w:r>
        <w:rPr>
          <w:rFonts w:hint="eastAsia" w:ascii="Times New Roman" w:hAnsi="Times New Roman" w:eastAsia="宋体"/>
          <w:i w:val="0"/>
          <w:iCs/>
          <w:sz w:val="20"/>
        </w:rPr>
        <w:t xml:space="preserve">控制器参数自动整定方法流程图</w:t>
      </w:r>
    </w:p>
    <w:p>
      <w:pPr>
        <w:pStyle w:val="BodyText"/>
        <w:spacing w:line="276" w:lineRule="auto" w:after="120"/>
        <w:ind w:firstLine="420"/>
        <w:jc w:val="both"/>
      </w:pPr>
      <w:r>
        <w:rPr>
          <w:rFonts w:hint="eastAsia" w:ascii="Times New Roman" w:hAnsi="Times New Roman" w:eastAsia="宋体"/>
          <w:sz w:val="21"/>
        </w:rPr>
        <w:t xml:space="preserve">具体步骤如下：</w:t>
      </w:r>
    </w:p>
    <w:p>
      <w:pPr>
        <w:numPr>
          <w:ilvl w:val="0"/>
          <w:numId w:val="1003"/>
        </w:numPr>
        <w:spacing w:after="60" w:line="276" w:lineRule="auto"/>
      </w:pPr>
      <w:r>
        <w:rPr>
          <w:rFonts w:hint="eastAsia" w:ascii="Times New Roman" w:hAnsi="Times New Roman" w:eastAsia="宋体"/>
          <w:b/>
          <w:bCs/>
          <w:sz w:val="21"/>
        </w:rPr>
        <w:t xml:space="preserve">S1，取得参数及边界。</w:t>
      </w:r>
      <w:r>
        <w:rPr>
          <w:rFonts w:ascii="Times New Roman" w:hAnsi="Times New Roman" w:eastAsia="宋体"/>
          <w:sz w:val="21"/>
        </w:rPr>
        <w:t xml:space="preserve"> </w:t>
      </w:r>
      <w:r>
        <w:rPr>
          <w:rFonts w:hint="eastAsia" w:ascii="Times New Roman" w:hAnsi="Times New Roman" w:eastAsia="宋体"/>
          <w:sz w:val="21"/>
        </w:rPr>
        <w:t xml:space="preserve">读取控制器逻辑和配置，建立参数登记表。对于查找表，仅把允许变化的纵坐标节点列为待整定参数，横坐标速度断点保持固定；对于位置环和速度环，登记比例、积分增益及速度切换阈值；对于转向角、加速度和速率上限等安全量，默认保持固定。</w:t>
      </w:r>
    </w:p>
    <w:p>
      <w:pPr>
        <w:numPr>
          <w:ilvl w:val="0"/>
          <w:numId w:val="1003"/>
        </w:numPr>
        <w:spacing w:after="60" w:line="276" w:lineRule="auto"/>
      </w:pPr>
      <w:r>
        <w:rPr>
          <w:rFonts w:hint="eastAsia" w:ascii="Times New Roman" w:hAnsi="Times New Roman" w:eastAsia="宋体"/>
          <w:b/>
          <w:bCs/>
          <w:sz w:val="21"/>
        </w:rPr>
        <w:t xml:space="preserve">S2，构建双路径控制器。</w:t>
      </w:r>
      <w:r>
        <w:rPr>
          <w:rFonts w:ascii="Times New Roman" w:hAnsi="Times New Roman" w:eastAsia="宋体"/>
          <w:sz w:val="21"/>
        </w:rPr>
        <w:t xml:space="preserve"> </w:t>
      </w:r>
      <w:r>
        <w:rPr>
          <w:rFonts w:hint="eastAsia" w:ascii="Times New Roman" w:hAnsi="Times New Roman" w:eastAsia="宋体"/>
          <w:sz w:val="21"/>
        </w:rPr>
        <w:t xml:space="preserve">对每一非光滑环节建立训练计算与验证计算的对应关系。两条路径共用参数对象、参数单位和配置映射，避免训练后还需人工搬运或重新解释参数。</w:t>
      </w:r>
    </w:p>
    <w:p>
      <w:pPr>
        <w:numPr>
          <w:ilvl w:val="0"/>
          <w:numId w:val="1003"/>
        </w:numPr>
        <w:spacing w:after="60" w:line="276" w:lineRule="auto"/>
      </w:pPr>
      <w:r>
        <w:rPr>
          <w:rFonts w:hint="eastAsia" w:ascii="Times New Roman" w:hAnsi="Times New Roman" w:eastAsia="宋体"/>
          <w:b/>
          <w:bCs/>
          <w:sz w:val="21"/>
        </w:rPr>
        <w:t xml:space="preserve">S3，配置场景批次。</w:t>
      </w:r>
      <w:r>
        <w:rPr>
          <w:rFonts w:ascii="Times New Roman" w:hAnsi="Times New Roman" w:eastAsia="宋体"/>
          <w:sz w:val="21"/>
        </w:rPr>
        <w:t xml:space="preserve"> </w:t>
      </w:r>
      <w:r>
        <w:rPr>
          <w:rFonts w:hint="eastAsia" w:ascii="Times New Roman" w:hAnsi="Times New Roman" w:eastAsia="宋体"/>
          <w:sz w:val="21"/>
        </w:rPr>
        <w:t xml:space="preserve">将轨迹类型、速度段和车辆物理参数组合成批量场景。不同长度的轨迹可用有效步掩码参与损失计算，填充部分不计入损失。</w:t>
      </w:r>
    </w:p>
    <w:p>
      <w:pPr>
        <w:numPr>
          <w:ilvl w:val="0"/>
          <w:numId w:val="1003"/>
        </w:numPr>
        <w:spacing w:after="60" w:line="276" w:lineRule="auto"/>
      </w:pPr>
      <w:r>
        <w:rPr>
          <w:rFonts w:hint="eastAsia" w:ascii="Times New Roman" w:hAnsi="Times New Roman" w:eastAsia="宋体"/>
          <w:b/>
          <w:bCs/>
          <w:sz w:val="21"/>
        </w:rPr>
        <w:t xml:space="preserve">S4，闭环展开。</w:t>
      </w:r>
      <w:r>
        <w:rPr>
          <w:rFonts w:ascii="Times New Roman" w:hAnsi="Times New Roman" w:eastAsia="宋体"/>
          <w:sz w:val="21"/>
        </w:rPr>
        <w:t xml:space="preserve"> </w:t>
      </w:r>
      <w:r>
        <w:rPr>
          <w:rFonts w:hint="eastAsia" w:ascii="Times New Roman" w:hAnsi="Times New Roman" w:eastAsia="宋体"/>
          <w:sz w:val="21"/>
        </w:rPr>
        <w:t xml:space="preserve">在每个有效控制周期内，先计算横向指令，再计算纵向指令，最后更新车辆状态。下一周期控制器读取前一周期的车辆状态，形成时间闭环。</w:t>
      </w:r>
    </w:p>
    <w:p>
      <w:pPr>
        <w:numPr>
          <w:ilvl w:val="0"/>
          <w:numId w:val="1003"/>
        </w:numPr>
        <w:spacing w:after="60" w:line="276" w:lineRule="auto"/>
      </w:pPr>
      <w:r>
        <w:rPr>
          <w:rFonts w:hint="eastAsia" w:ascii="Times New Roman" w:hAnsi="Times New Roman" w:eastAsia="宋体"/>
          <w:b/>
          <w:bCs/>
          <w:sz w:val="21"/>
        </w:rPr>
        <w:t xml:space="preserve">S5，计算综合损失。</w:t>
      </w:r>
      <w:r>
        <w:rPr>
          <w:rFonts w:ascii="Times New Roman" w:hAnsi="Times New Roman" w:eastAsia="宋体"/>
          <w:sz w:val="21"/>
        </w:rPr>
        <w:t xml:space="preserve"> </w:t>
      </w:r>
      <w:r>
        <w:rPr>
          <w:rFonts w:hint="eastAsia" w:ascii="Times New Roman" w:hAnsi="Times New Roman" w:eastAsia="宋体"/>
          <w:sz w:val="21"/>
        </w:rPr>
        <w:t xml:space="preserve">对每个场景计算跟踪误差和平滑性损失，并以初始参数下的场景损失或其它预设基准进行归一化，减小场景尺度差异。</w:t>
      </w:r>
    </w:p>
    <w:p>
      <w:pPr>
        <w:numPr>
          <w:ilvl w:val="0"/>
          <w:numId w:val="1003"/>
        </w:numPr>
        <w:spacing w:after="60" w:line="276" w:lineRule="auto"/>
      </w:pPr>
      <w:r>
        <w:rPr>
          <w:rFonts w:hint="eastAsia" w:ascii="Times New Roman" w:hAnsi="Times New Roman" w:eastAsia="宋体"/>
          <w:b/>
          <w:bCs/>
          <w:sz w:val="21"/>
        </w:rPr>
        <w:t xml:space="preserve">S6，更新并投影参数。</w:t>
      </w:r>
      <w:r>
        <w:rPr>
          <w:rFonts w:ascii="Times New Roman" w:hAnsi="Times New Roman" w:eastAsia="宋体"/>
          <w:sz w:val="21"/>
        </w:rPr>
        <w:t xml:space="preserve"> </w:t>
      </w:r>
      <w:r>
        <w:rPr>
          <w:rFonts w:hint="eastAsia" w:ascii="Times New Roman" w:hAnsi="Times New Roman" w:eastAsia="宋体"/>
          <w:sz w:val="21"/>
        </w:rPr>
        <w:t xml:space="preserve">沿闭环时间链路求参数梯度，执行梯度裁剪、优化器更新和边界投影。窗口式反向传播时，在窗口边界只截断历史梯度，不重置车辆和控制器内部状态的数值。</w:t>
      </w:r>
    </w:p>
    <w:p>
      <w:pPr>
        <w:numPr>
          <w:ilvl w:val="0"/>
          <w:numId w:val="1003"/>
        </w:numPr>
        <w:spacing w:after="60" w:line="276" w:lineRule="auto"/>
      </w:pPr>
      <w:r>
        <w:rPr>
          <w:rFonts w:hint="eastAsia" w:ascii="Times New Roman" w:hAnsi="Times New Roman" w:eastAsia="宋体"/>
          <w:b/>
          <w:bCs/>
          <w:sz w:val="21"/>
        </w:rPr>
        <w:t xml:space="preserve">S7，硬逻辑复验。</w:t>
      </w:r>
      <w:r>
        <w:rPr>
          <w:rFonts w:ascii="Times New Roman" w:hAnsi="Times New Roman" w:eastAsia="宋体"/>
          <w:sz w:val="21"/>
        </w:rPr>
        <w:t xml:space="preserve"> </w:t>
      </w:r>
      <w:r>
        <w:rPr>
          <w:rFonts w:hint="eastAsia" w:ascii="Times New Roman" w:hAnsi="Times New Roman" w:eastAsia="宋体"/>
          <w:sz w:val="21"/>
        </w:rPr>
        <w:t xml:space="preserve">将候选参数送入保留原始限幅、分支和速率限制的验证路径。若任一关键指标超出验收阈值，或出现非有限数值、控制命令越界和车辆状态发散，则不导出为部署配置。</w:t>
      </w:r>
    </w:p>
    <w:p>
      <w:pPr>
        <w:numPr>
          <w:ilvl w:val="0"/>
          <w:numId w:val="1003"/>
        </w:numPr>
        <w:spacing w:after="60" w:line="276" w:lineRule="auto"/>
      </w:pPr>
      <w:r>
        <w:rPr>
          <w:rFonts w:hint="eastAsia" w:ascii="Times New Roman" w:hAnsi="Times New Roman" w:eastAsia="宋体"/>
          <w:b/>
          <w:bCs/>
          <w:sz w:val="21"/>
        </w:rPr>
        <w:t xml:space="preserve">S8，导出配置。</w:t>
      </w:r>
      <w:r>
        <w:rPr>
          <w:rFonts w:ascii="Times New Roman" w:hAnsi="Times New Roman" w:eastAsia="宋体"/>
          <w:sz w:val="21"/>
        </w:rPr>
        <w:t xml:space="preserve"> </w:t>
      </w:r>
      <w:r>
        <w:rPr>
          <w:rFonts w:hint="eastAsia" w:ascii="Times New Roman" w:hAnsi="Times New Roman" w:eastAsia="宋体"/>
          <w:sz w:val="21"/>
        </w:rPr>
        <w:t xml:space="preserve">将通过复验的参数按原名称、形状、单位和顺序写回配置文件，同时保存训练超参数、参数变化、场景统计和验证结论。</w:t>
      </w:r>
    </w:p>
    <w:bookmarkStart w:id="44" w:name="符号双路径映射与核心公式"/>
    <w:p>
      <w:pPr>
        <w:pStyle w:val="Heading4"/>
        <w:ind w:firstLine="0"/>
        <w:jc w:val="left"/>
      </w:pPr>
      <w:r>
        <w:rPr>
          <w:rFonts w:ascii="Times New Roman" w:hAnsi="Times New Roman" w:eastAsia="黑体"/>
          <w:b/>
          <w:i w:val="0"/>
          <w:sz w:val="22"/>
        </w:rPr>
        <w:t xml:space="preserve">3.4.1 </w:t>
      </w:r>
      <w:r>
        <w:rPr>
          <w:rFonts w:hint="eastAsia" w:ascii="Times New Roman" w:hAnsi="Times New Roman" w:eastAsia="黑体"/>
          <w:b/>
          <w:i w:val="0"/>
          <w:sz w:val="22"/>
        </w:rPr>
        <w:t xml:space="preserve">符号、双路径映射与核心公式</w:t>
      </w:r>
    </w:p>
    <w:bookmarkStart w:id="40" w:name="非光滑工程逻辑的双路径映射"/>
    <w:p>
      <w:pPr>
        <w:pStyle w:val="Heading5"/>
        <w:ind w:firstLine="0"/>
        <w:jc w:val="left"/>
      </w:pPr>
      <w:r>
        <w:rPr>
          <w:rFonts w:hint="eastAsia" w:ascii="Times New Roman" w:hAnsi="Times New Roman" w:eastAsia="黑体"/>
          <w:b/>
          <w:i w:val="0"/>
          <w:sz w:val="21"/>
        </w:rPr>
        <w:t xml:space="preserve">（1）非光滑工程逻辑的双路径映射</w:t>
      </w:r>
    </w:p>
    <w:tbl>
      <w:tblPr>
        <w:tblStyle w:val="Table"/>
        <w:tblW w:type="pct" w:w="5000"/>
        <w:jc w:val="center"/>
        <w:tblLayout w:type="autofit"/>
        <w:tblLook w:firstRow="1" w:lastRow="0" w:firstColumn="0" w:lastColumn="0" w:noHBand="0" w:noVBand="0" w:val="0020"/>
        <w:tblBorders>
          <w:top w:val="single" w:sz="12" w:color="000000" w:space="0"/>
          <w:left w:val="nil"/>
          <w:bottom w:val="single" w:sz="12" w:color="000000" w:space="0"/>
          <w:right w:val="nil"/>
          <w:insideH w:val="nil"/>
          <w:insideV w:val="nil"/>
        </w:tblBorders>
      </w:tblPr>
      <w:tblGrid>
        <w:gridCol w:w="1980"/>
        <w:gridCol w:w="1980"/>
        <w:gridCol w:w="1980"/>
        <w:gridCol w:w="1980"/>
      </w:tblGrid>
      <w:tr>
        <w:trPr>
          <w:tblHeader w:val="on"/>
          <w:tblHeader w:val="true"/>
          <w:cantSplit/>
        </w:trPr>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工程环节</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验证路径</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训练路径</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参数共享关系</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查找表</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原始断点查表或线性插值</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固定横坐标断点，对允许变化的纵坐标节点执行可微插值</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两条路径使用同一组表节点值</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高低速分支</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按切换阈值执行硬分支</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以连续权重混合两个分支输出</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共用切换阈值和两组增益</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上下限幅</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原始硬裁剪</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采用平滑边界，或保持前向硬裁剪并令反向梯度直通</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共用上下界；安全界默认固定</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速率限制</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原始相邻周期增量裁剪</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保持受限前向值并传递近似梯度</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共用速率上限</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最近点或离散索引</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原始离散选择</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索引选择不求导，选中后的连续几何量参与后续求导</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共用轨迹和查询规则</w:t>
            </w:r>
          </w:p>
        </w:tc>
      </w:tr>
    </w:tbl>
    <w:p>
      <w:pPr>
        <w:pStyle w:val="BodyText"/>
        <w:spacing w:line="276" w:lineRule="auto" w:after="120"/>
        <w:ind w:firstLine="420"/>
        <w:jc w:val="both"/>
      </w:pPr>
      <w:r>
        <w:rPr>
          <w:rFonts w:hint="eastAsia" w:ascii="Times New Roman" w:hAnsi="Times New Roman" w:eastAsia="宋体"/>
          <w:sz w:val="21"/>
        </w:rPr>
        <w:t xml:space="preserve">以高低速控制分支为例，设</w:t>
      </w:r>
      <w:r>
        <w:rPr>
          <w:rFonts w:ascii="Times New Roman" w:hAnsi="Times New Roman" w:eastAsia="宋体"/>
          <w:sz w:val="21"/>
        </w:rPr>
        <w:t xml:space="preserve"> </w:t>
      </w:r>
      <m:oMath>
        <m:sSub>
          <m:e>
            <m:r>
              <m:t>v</m:t>
            </m:r>
          </m:e>
          <m:sub>
            <m:r>
              <m:t>b</m:t>
            </m:r>
            <m:r>
              <m:rPr>
                <m:sty m:val="p"/>
              </m:rPr>
              <m:t>,</m:t>
            </m:r>
            <m:r>
              <m:t>t</m:t>
            </m:r>
          </m:sub>
        </m:sSub>
      </m:oMath>
      <w:r>
        <w:rPr>
          <w:rFonts w:ascii="Times New Roman" w:hAnsi="Times New Roman" w:eastAsia="宋体"/>
          <w:sz w:val="21"/>
        </w:rPr>
        <w:t xml:space="preserve"> </w:t>
      </w:r>
      <w:r>
        <w:rPr>
          <w:rFonts w:hint="eastAsia" w:ascii="Times New Roman" w:hAnsi="Times New Roman" w:eastAsia="宋体"/>
          <w:sz w:val="21"/>
        </w:rPr>
        <w:t xml:space="preserve">为当前速度，</w:t>
      </w:r>
      <m:oMath>
        <m:sSub>
          <m:e>
            <m:r>
              <m:t>v</m:t>
            </m:r>
          </m:e>
          <m:sub>
            <m:r>
              <m:rPr>
                <m:sty m:val="p"/>
              </m:rPr>
              <m:t>s</m:t>
            </m:r>
            <m:r>
              <m:rPr>
                <m:sty m:val="p"/>
              </m:rPr>
              <m:t>w</m:t>
            </m:r>
          </m:sub>
        </m:sSub>
      </m:oMath>
      <w:r>
        <w:rPr>
          <w:rFonts w:ascii="Times New Roman" w:hAnsi="Times New Roman" w:eastAsia="宋体"/>
          <w:sz w:val="21"/>
        </w:rPr>
        <w:t xml:space="preserve"> </w:t>
      </w:r>
      <w:r>
        <w:rPr>
          <w:rFonts w:hint="eastAsia" w:ascii="Times New Roman" w:hAnsi="Times New Roman" w:eastAsia="宋体"/>
          <w:sz w:val="21"/>
        </w:rPr>
        <w:t xml:space="preserve">为可调切换速度，</w:t>
      </w:r>
      <m:oMath>
        <m:r>
          <m:t>τ</m:t>
        </m:r>
        <m:r>
          <m:rPr>
            <m:sty m:val="p"/>
          </m:rPr>
          <m:t>&gt;</m:t>
        </m:r>
        <m:r>
          <m:t>0</m:t>
        </m:r>
      </m:oMath>
      <w:r>
        <w:rPr>
          <w:rFonts w:ascii="Times New Roman" w:hAnsi="Times New Roman" w:eastAsia="宋体"/>
          <w:sz w:val="21"/>
        </w:rPr>
        <w:t xml:space="preserve"> </w:t>
      </w:r>
      <w:r>
        <w:rPr>
          <w:rFonts w:hint="eastAsia" w:ascii="Times New Roman" w:hAnsi="Times New Roman" w:eastAsia="宋体"/>
          <w:sz w:val="21"/>
        </w:rPr>
        <w:t xml:space="preserve">为固定平滑尺度，</w:t>
      </w:r>
      <m:oMath>
        <m:sSub>
          <m:e>
            <m:r>
              <m:t>y</m:t>
            </m:r>
          </m:e>
          <m:sub>
            <m:r>
              <m:rPr>
                <m:sty m:val="p"/>
              </m:rPr>
              <m:t>l</m:t>
            </m:r>
            <m:r>
              <m:rPr>
                <m:sty m:val="p"/>
              </m:rPr>
              <m:t>o</m:t>
            </m:r>
            <m:r>
              <m:rPr>
                <m:sty m:val="p"/>
              </m:rPr>
              <m:t>w</m:t>
            </m:r>
          </m:sub>
        </m:sSub>
      </m:oMath>
      <w:r>
        <w:rPr>
          <w:rFonts w:ascii="Times New Roman" w:hAnsi="Times New Roman" w:eastAsia="宋体"/>
          <w:sz w:val="21"/>
        </w:rPr>
        <w:t xml:space="preserve"> </w:t>
      </w:r>
      <w:r>
        <w:rPr>
          <w:rFonts w:hint="eastAsia" w:ascii="Times New Roman" w:hAnsi="Times New Roman" w:eastAsia="宋体"/>
          <w:sz w:val="21"/>
        </w:rPr>
        <w:t xml:space="preserve">与</w:t>
      </w:r>
      <w:r>
        <w:rPr>
          <w:rFonts w:ascii="Times New Roman" w:hAnsi="Times New Roman" w:eastAsia="宋体"/>
          <w:sz w:val="21"/>
        </w:rPr>
        <w:t xml:space="preserve"> </w:t>
      </w:r>
      <m:oMath>
        <m:sSub>
          <m:e>
            <m:r>
              <m:t>y</m:t>
            </m:r>
          </m:e>
          <m:sub>
            <m:r>
              <m:rPr>
                <m:sty m:val="p"/>
              </m:rPr>
              <m:t>h</m:t>
            </m:r>
            <m:r>
              <m:rPr>
                <m:sty m:val="p"/>
              </m:rPr>
              <m:t>i</m:t>
            </m:r>
            <m:r>
              <m:rPr>
                <m:sty m:val="p"/>
              </m:rPr>
              <m:t>g</m:t>
            </m:r>
            <m:r>
              <m:rPr>
                <m:sty m:val="p"/>
              </m:rPr>
              <m:t>h</m:t>
            </m:r>
          </m:sub>
        </m:sSub>
      </m:oMath>
      <w:r>
        <w:rPr>
          <w:rFonts w:ascii="Times New Roman" w:hAnsi="Times New Roman" w:eastAsia="宋体"/>
          <w:sz w:val="21"/>
        </w:rPr>
        <w:t xml:space="preserve"> </w:t>
      </w:r>
      <w:r>
        <w:rPr>
          <w:rFonts w:hint="eastAsia" w:ascii="Times New Roman" w:hAnsi="Times New Roman" w:eastAsia="宋体"/>
          <w:sz w:val="21"/>
        </w:rPr>
        <w:t xml:space="preserve">为两个分支输出，则训练路径可采用：</w:t>
      </w:r>
    </w:p>
    <w:p>
      <w:pPr>
        <w:pStyle w:val="BodyText"/>
        <w:spacing w:before="80" w:after="80"/>
        <w:ind w:firstLine="0"/>
        <w:jc w:val="center"/>
      </w:pPr>
      <m:oMathPara>
        <m:oMathParaPr>
          <m:jc m:val="center"/>
        </m:oMathParaPr>
        <m:oMath>
          <m:sSub>
            <m:e>
              <m:r>
                <m:t>α</m:t>
              </m:r>
            </m:e>
            <m:sub>
              <m:r>
                <m:t>b</m:t>
              </m:r>
              <m:r>
                <m:rPr>
                  <m:sty m:val="p"/>
                </m:rPr>
                <m:t>,</m:t>
              </m:r>
              <m:r>
                <m:t>t</m:t>
              </m:r>
            </m:sub>
          </m:sSub>
          <m:r>
            <m:rPr>
              <m:sty m:val="p"/>
            </m:rPr>
            <m:t>=</m:t>
          </m:r>
          <m:r>
            <m:t>σ</m:t>
          </m:r>
          <m:d>
            <m:dPr>
              <m:begChr m:val="("/>
              <m:sepChr m:val=""/>
              <m:endChr m:val=")"/>
              <m:grow/>
            </m:dPr>
            <m:e>
              <m:f>
                <m:fPr>
                  <m:type m:val="bar"/>
                </m:fPr>
                <m:num>
                  <m:sSub>
                    <m:e>
                      <m:r>
                        <m:t>v</m:t>
                      </m:r>
                    </m:e>
                    <m:sub>
                      <m:r>
                        <m:t>b</m:t>
                      </m:r>
                      <m:r>
                        <m:rPr>
                          <m:sty m:val="p"/>
                        </m:rPr>
                        <m:t>,</m:t>
                      </m:r>
                      <m:r>
                        <m:t>t</m:t>
                      </m:r>
                    </m:sub>
                  </m:sSub>
                  <m:r>
                    <m:rPr>
                      <m:sty m:val="p"/>
                    </m:rPr>
                    <m:t>−</m:t>
                  </m:r>
                  <m:sSub>
                    <m:e>
                      <m:r>
                        <m:t>v</m:t>
                      </m:r>
                    </m:e>
                    <m:sub>
                      <m:r>
                        <m:rPr>
                          <m:sty m:val="p"/>
                        </m:rPr>
                        <m:t>s</m:t>
                      </m:r>
                      <m:r>
                        <m:rPr>
                          <m:sty m:val="p"/>
                        </m:rPr>
                        <m:t>w</m:t>
                      </m:r>
                    </m:sub>
                  </m:sSub>
                </m:num>
                <m:den>
                  <m:r>
                    <m:t>τ</m:t>
                  </m:r>
                </m:den>
              </m:f>
            </m:e>
          </m:d>
          <m:r>
            <m:rPr>
              <m:sty m:val="p"/>
            </m:rPr>
            <m:t>,</m:t>
          </m:r>
          <m:r>
            <m:t> </m:t>
          </m:r>
          <m:sSubSup>
            <m:e>
              <m:r>
                <m:t>y</m:t>
              </m:r>
            </m:e>
            <m:sub>
              <m:r>
                <m:t>b</m:t>
              </m:r>
              <m:r>
                <m:rPr>
                  <m:sty m:val="p"/>
                </m:rPr>
                <m:t>,</m:t>
              </m:r>
              <m:r>
                <m:t>t</m:t>
              </m:r>
            </m:sub>
            <m:sup>
              <m:r>
                <m:rPr>
                  <m:sty m:val="p"/>
                </m:rPr>
                <m:t>t</m:t>
              </m:r>
              <m:r>
                <m:rPr>
                  <m:sty m:val="p"/>
                </m:rPr>
                <m:t>r</m:t>
              </m:r>
            </m:sup>
          </m:sSubSup>
          <m:r>
            <m:rPr>
              <m:sty m:val="p"/>
            </m:rPr>
            <m:t>=</m:t>
          </m:r>
          <m:r>
            <m:rPr>
              <m:sty m:val="p"/>
            </m:rPr>
            <m:t>(</m:t>
          </m:r>
          <m:r>
            <m:t>1</m:t>
          </m:r>
          <m:r>
            <m:rPr>
              <m:sty m:val="p"/>
            </m:rPr>
            <m:t>−</m:t>
          </m:r>
          <m:sSub>
            <m:e>
              <m:r>
                <m:t>α</m:t>
              </m:r>
            </m:e>
            <m:sub>
              <m:r>
                <m:t>b</m:t>
              </m:r>
              <m:r>
                <m:rPr>
                  <m:sty m:val="p"/>
                </m:rPr>
                <m:t>,</m:t>
              </m:r>
              <m:r>
                <m:t>t</m:t>
              </m:r>
            </m:sub>
          </m:sSub>
          <m:r>
            <m:rPr>
              <m:sty m:val="p"/>
            </m:rPr>
            <m:t>)</m:t>
          </m:r>
          <m:sSub>
            <m:e>
              <m:r>
                <m:t>y</m:t>
              </m:r>
            </m:e>
            <m:sub>
              <m:r>
                <m:rPr>
                  <m:sty m:val="p"/>
                </m:rPr>
                <m:t>l</m:t>
              </m:r>
              <m:r>
                <m:rPr>
                  <m:sty m:val="p"/>
                </m:rPr>
                <m:t>o</m:t>
              </m:r>
              <m:r>
                <m:rPr>
                  <m:sty m:val="p"/>
                </m:rPr>
                <m:t>w</m:t>
              </m:r>
            </m:sub>
          </m:sSub>
          <m:r>
            <m:rPr>
              <m:sty m:val="p"/>
            </m:rPr>
            <m:t>+</m:t>
          </m:r>
          <m:sSub>
            <m:e>
              <m:r>
                <m:t>α</m:t>
              </m:r>
            </m:e>
            <m:sub>
              <m:r>
                <m:t>b</m:t>
              </m:r>
              <m:r>
                <m:rPr>
                  <m:sty m:val="p"/>
                </m:rPr>
                <m:t>,</m:t>
              </m:r>
              <m:r>
                <m:t>t</m:t>
              </m:r>
            </m:sub>
          </m:sSub>
          <m:sSub>
            <m:e>
              <m:r>
                <m:t>y</m:t>
              </m:r>
            </m:e>
            <m:sub>
              <m:r>
                <m:rPr>
                  <m:sty m:val="p"/>
                </m:rPr>
                <m:t>h</m:t>
              </m:r>
              <m:r>
                <m:rPr>
                  <m:sty m:val="p"/>
                </m:rPr>
                <m:t>i</m:t>
              </m:r>
              <m:r>
                <m:rPr>
                  <m:sty m:val="p"/>
                </m:rPr>
                <m:t>g</m:t>
              </m:r>
              <m:r>
                <m:rPr>
                  <m:sty m:val="p"/>
                </m:rPr>
                <m:t>h</m:t>
              </m:r>
            </m:sub>
          </m:sSub>
          <m:r>
            <m:t>  </m:t>
          </m:r>
          <m:r>
            <m:rPr>
              <m:sty m:val="p"/>
            </m:rPr>
            <m:t>(</m:t>
          </m:r>
          <m:r>
            <m:rPr>
              <m:sty m:val="p"/>
            </m:rPr>
            <m:t>1</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验证路径仍在</w:t>
      </w:r>
      <w:r>
        <w:rPr>
          <w:rFonts w:ascii="Times New Roman" w:hAnsi="Times New Roman" w:eastAsia="宋体"/>
          <w:sz w:val="21"/>
        </w:rPr>
        <w:t xml:space="preserve"> </w:t>
      </w:r>
      <m:oMath>
        <m:sSub>
          <m:e>
            <m:r>
              <m:t>v</m:t>
            </m:r>
          </m:e>
          <m:sub>
            <m:r>
              <m:t>b</m:t>
            </m:r>
            <m:r>
              <m:rPr>
                <m:sty m:val="p"/>
              </m:rPr>
              <m:t>,</m:t>
            </m:r>
            <m:r>
              <m:t>t</m:t>
            </m:r>
          </m:sub>
        </m:sSub>
      </m:oMath>
      <w:r>
        <w:rPr>
          <w:rFonts w:ascii="Times New Roman" w:hAnsi="Times New Roman" w:eastAsia="宋体"/>
          <w:sz w:val="21"/>
        </w:rPr>
        <w:t xml:space="preserve"> </w:t>
      </w:r>
      <w:r>
        <w:rPr>
          <w:rFonts w:hint="eastAsia" w:ascii="Times New Roman" w:hAnsi="Times New Roman" w:eastAsia="宋体"/>
          <w:sz w:val="21"/>
        </w:rPr>
        <w:t xml:space="preserve">与</w:t>
      </w:r>
      <w:r>
        <w:rPr>
          <w:rFonts w:ascii="Times New Roman" w:hAnsi="Times New Roman" w:eastAsia="宋体"/>
          <w:sz w:val="21"/>
        </w:rPr>
        <w:t xml:space="preserve"> </w:t>
      </w:r>
      <m:oMath>
        <m:sSub>
          <m:e>
            <m:r>
              <m:t>v</m:t>
            </m:r>
          </m:e>
          <m:sub>
            <m:r>
              <m:rPr>
                <m:sty m:val="p"/>
              </m:rPr>
              <m:t>s</m:t>
            </m:r>
            <m:r>
              <m:rPr>
                <m:sty m:val="p"/>
              </m:rPr>
              <m:t>w</m:t>
            </m:r>
          </m:sub>
        </m:sSub>
      </m:oMath>
      <w:r>
        <w:rPr>
          <w:rFonts w:ascii="Times New Roman" w:hAnsi="Times New Roman" w:eastAsia="宋体"/>
          <w:sz w:val="21"/>
        </w:rPr>
        <w:t xml:space="preserve"> </w:t>
      </w:r>
      <w:r>
        <w:rPr>
          <w:rFonts w:hint="eastAsia" w:ascii="Times New Roman" w:hAnsi="Times New Roman" w:eastAsia="宋体"/>
          <w:sz w:val="21"/>
        </w:rPr>
        <w:t xml:space="preserve">的比较结果上选择单一分支。平滑尺度</w:t>
      </w:r>
      <w:r>
        <w:rPr>
          <w:rFonts w:ascii="Times New Roman" w:hAnsi="Times New Roman" w:eastAsia="宋体"/>
          <w:sz w:val="21"/>
        </w:rPr>
        <w:t xml:space="preserve"> </w:t>
      </w:r>
      <m:oMath>
        <m:r>
          <m:t>τ</m:t>
        </m:r>
      </m:oMath>
      <w:r>
        <w:rPr>
          <w:rFonts w:ascii="Times New Roman" w:hAnsi="Times New Roman" w:eastAsia="宋体"/>
          <w:sz w:val="21"/>
        </w:rPr>
        <w:t xml:space="preserve"> </w:t>
      </w:r>
      <w:r>
        <w:rPr>
          <w:rFonts w:hint="eastAsia" w:ascii="Times New Roman" w:hAnsi="Times New Roman" w:eastAsia="宋体"/>
          <w:sz w:val="21"/>
        </w:rPr>
        <w:t xml:space="preserve">只用于训练路径，不写回部署配置。</w:t>
      </w:r>
    </w:p>
    <w:bookmarkEnd w:id="40"/>
    <w:bookmarkStart w:id="41" w:name="符号与变量定义"/>
    <w:p>
      <w:pPr>
        <w:pStyle w:val="Heading5"/>
        <w:ind w:firstLine="0"/>
        <w:jc w:val="left"/>
      </w:pPr>
      <w:r>
        <w:rPr>
          <w:rFonts w:hint="eastAsia" w:ascii="Times New Roman" w:hAnsi="Times New Roman" w:eastAsia="黑体"/>
          <w:b/>
          <w:i w:val="0"/>
          <w:sz w:val="21"/>
        </w:rPr>
        <w:t xml:space="preserve">（2）符号与变量定义</w:t>
      </w:r>
    </w:p>
    <w:tbl>
      <w:tblPr>
        <w:tblStyle w:val="Table"/>
        <w:tblW w:type="pct" w:w="5000"/>
        <w:jc w:val="center"/>
        <w:tblLayout w:type="autofit"/>
        <w:tblLook w:firstRow="1" w:lastRow="0" w:firstColumn="0" w:lastColumn="0" w:noHBand="0" w:noVBand="0" w:val="0020"/>
        <w:tblBorders>
          <w:top w:val="single" w:sz="12" w:color="000000" w:space="0"/>
          <w:left w:val="nil"/>
          <w:bottom w:val="single" w:sz="12" w:color="000000" w:space="0"/>
          <w:right w:val="nil"/>
          <w:insideH w:val="nil"/>
          <w:insideV w:val="nil"/>
        </w:tblBorders>
      </w:tblPr>
      <w:tblGrid>
        <w:gridCol w:w="2640"/>
        <w:gridCol w:w="2640"/>
        <w:gridCol w:w="2640"/>
      </w:tblGrid>
      <w:tr>
        <w:trPr>
          <w:tblHeader w:val="on"/>
          <w:tblHeader w:val="true"/>
          <w:cantSplit/>
        </w:trPr>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符号</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含义</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下标、量纲或取值</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b</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批量场景索引</w:t>
            </w:r>
          </w:p>
        </w:tc>
        <w:tc>
          <w:tcPr>
            <w:vAlign w:val="center"/>
            <w:tcMar>
              <w:top w:w="55" w:type="dxa"/>
              <w:start w:w="70" w:type="dxa"/>
              <w:bottom w:w="55" w:type="dxa"/>
              <w:end w:w="70" w:type="dxa"/>
            </w:tcMar>
          </w:tcPr>
          <w:p>
            <w:pPr>
              <w:pStyle w:val="Compact"/>
              <w:spacing w:before="0" w:after="60" w:line="264" w:lineRule="auto"/>
              <w:ind w:firstLine="0"/>
              <w:jc w:val="left"/>
            </w:pPr>
            <m:oMath>
              <m:r>
                <m:t>b</m:t>
              </m:r>
              <m:r>
                <m:rPr>
                  <m:sty m:val="p"/>
                </m:rPr>
                <m:t>=</m:t>
              </m:r>
              <m:r>
                <m:t>1</m:t>
              </m:r>
              <m:r>
                <m:rPr>
                  <m:sty m:val="p"/>
                </m:rPr>
                <m:t>,</m:t>
              </m:r>
              <m:r>
                <m:rPr>
                  <m:sty m:val="p"/>
                </m:rPr>
                <m:t>…</m:t>
              </m:r>
              <m:r>
                <m:rPr>
                  <m:sty m:val="p"/>
                </m:rPr>
                <m:t>,</m:t>
              </m:r>
              <m:r>
                <m:t>B</m:t>
              </m:r>
            </m:oMath>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控制周期索引</w:t>
            </w:r>
          </w:p>
        </w:tc>
        <w:tc>
          <w:tcPr>
            <w:vAlign w:val="center"/>
            <w:tcMar>
              <w:top w:w="55" w:type="dxa"/>
              <w:start w:w="70" w:type="dxa"/>
              <w:bottom w:w="55" w:type="dxa"/>
              <w:end w:w="70" w:type="dxa"/>
            </w:tcMar>
          </w:tcPr>
          <w:p>
            <w:pPr>
              <w:pStyle w:val="Compact"/>
              <w:spacing w:before="0" w:after="60" w:line="264" w:lineRule="auto"/>
              <w:ind w:firstLine="0"/>
              <w:jc w:val="left"/>
            </w:pPr>
            <m:oMath>
              <m:r>
                <m:t>t</m:t>
              </m:r>
              <m:r>
                <m:rPr>
                  <m:sty m:val="p"/>
                </m:rPr>
                <m:t>=</m:t>
              </m:r>
              <m:r>
                <m:t>0</m:t>
              </m:r>
              <m:r>
                <m:rPr>
                  <m:sty m:val="p"/>
                </m:rPr>
                <m:t>,</m:t>
              </m:r>
              <m:r>
                <m:rPr>
                  <m:sty m:val="p"/>
                </m:rPr>
                <m:t>…</m:t>
              </m:r>
              <m:r>
                <m:rPr>
                  <m:sty m:val="p"/>
                </m:rPr>
                <m:t>,</m:t>
              </m:r>
              <m:sSub>
                <m:e>
                  <m:r>
                    <m:t>T</m:t>
                  </m:r>
                </m:e>
                <m:sub>
                  <m:r>
                    <m:t>b</m:t>
                  </m:r>
                </m:sub>
              </m:sSub>
            </m:oMath>
            <w:r>
              <w:rPr>
                <w:rFonts w:hint="eastAsia" w:ascii="Times New Roman" w:hAnsi="Times New Roman" w:eastAsia="宋体"/>
                <w:sz w:val="19"/>
              </w:rPr>
              <w:t xml:space="preserve">，实施例周期为</w:t>
            </w:r>
            <w:r>
              <w:rPr>
                <w:rFonts w:ascii="Times New Roman" w:hAnsi="Times New Roman" w:eastAsia="宋体"/>
                <w:sz w:val="19"/>
              </w:rPr>
              <w:t xml:space="preserve"> 0.02 s</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x</m:t>
                  </m:r>
                </m:e>
                <m:sub>
                  <m:r>
                    <m:t>b</m:t>
                  </m:r>
                  <m:r>
                    <m:rPr>
                      <m:sty m:val="p"/>
                    </m:rPr>
                    <m:t>,</m:t>
                  </m:r>
                  <m: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场景</w:t>
            </w:r>
            <w:r>
              <w:rPr>
                <w:rFonts w:ascii="Times New Roman" w:hAnsi="Times New Roman" w:eastAsia="宋体"/>
                <w:sz w:val="19"/>
              </w:rPr>
              <w:t xml:space="preserve"> </w:t>
            </w:r>
            <m:oMath>
              <m:r>
                <m:t>b</m:t>
              </m:r>
            </m:oMath>
            <w:r>
              <w:rPr>
                <w:rFonts w:ascii="Times New Roman" w:hAnsi="Times New Roman" w:eastAsia="宋体"/>
                <w:sz w:val="19"/>
              </w:rPr>
              <w:t xml:space="preserve"> </w:t>
            </w:r>
            <w:r>
              <w:rPr>
                <w:rFonts w:hint="eastAsia" w:ascii="Times New Roman" w:hAnsi="Times New Roman" w:eastAsia="宋体"/>
                <w:sz w:val="19"/>
              </w:rPr>
              <w:t xml:space="preserve">在周期</w:t>
            </w:r>
            <w:r>
              <w:rPr>
                <w:rFonts w:ascii="Times New Roman" w:hAnsi="Times New Roman" w:eastAsia="宋体"/>
                <w:sz w:val="19"/>
              </w:rPr>
              <w:t xml:space="preserve"> </w:t>
            </w:r>
            <m:oMath>
              <m:r>
                <m:t>t</m:t>
              </m:r>
            </m:oMath>
            <w:r>
              <w:rPr>
                <w:rFonts w:ascii="Times New Roman" w:hAnsi="Times New Roman" w:eastAsia="宋体"/>
                <w:sz w:val="19"/>
              </w:rPr>
              <w:t xml:space="preserve"> </w:t>
            </w:r>
            <w:r>
              <w:rPr>
                <w:rFonts w:hint="eastAsia" w:ascii="Times New Roman" w:hAnsi="Times New Roman" w:eastAsia="宋体"/>
                <w:sz w:val="19"/>
              </w:rPr>
              <w:t xml:space="preserve">的车辆状态</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位置、航向、速度、横摆角速度等</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r</m:t>
                  </m:r>
                </m:e>
                <m:sub>
                  <m:r>
                    <m:t>b</m:t>
                  </m:r>
                  <m:r>
                    <m:rPr>
                      <m:sty m:val="p"/>
                    </m:rPr>
                    <m:t>,</m:t>
                  </m:r>
                  <m: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参考轨迹状态</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参考位置、航向、曲率和速度</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u</m:t>
                  </m:r>
                </m:e>
                <m:sub>
                  <m:r>
                    <m:t>b</m:t>
                  </m:r>
                  <m:r>
                    <m:rPr>
                      <m:sty m:val="p"/>
                    </m:rPr>
                    <m:t>,</m:t>
                  </m:r>
                  <m:r>
                    <m:t>t</m:t>
                  </m:r>
                </m:sub>
              </m:sSub>
              <m:r>
                <m:rPr>
                  <m:sty m:val="p"/>
                </m:rPr>
                <m:t>=</m:t>
              </m:r>
              <m:r>
                <m:rPr>
                  <m:sty m:val="p"/>
                </m:rPr>
                <m:t>(</m:t>
              </m:r>
              <m:sSub>
                <m:e>
                  <m:r>
                    <m:t>δ</m:t>
                  </m:r>
                </m:e>
                <m:sub>
                  <m:r>
                    <m:t>b</m:t>
                  </m:r>
                  <m:r>
                    <m:rPr>
                      <m:sty m:val="p"/>
                    </m:rPr>
                    <m:t>,</m:t>
                  </m:r>
                  <m:r>
                    <m:t>t</m:t>
                  </m:r>
                </m:sub>
              </m:sSub>
              <m:r>
                <m:rPr>
                  <m:sty m:val="p"/>
                </m:rPr>
                <m:t>,</m:t>
              </m:r>
              <m:sSub>
                <m:e>
                  <m:r>
                    <m:t>q</m:t>
                  </m:r>
                </m:e>
                <m:sub>
                  <m:r>
                    <m:t>b</m:t>
                  </m:r>
                  <m:r>
                    <m:rPr>
                      <m:sty m:val="p"/>
                    </m:rPr>
                    <m:t>,</m:t>
                  </m:r>
                  <m:r>
                    <m:t>t</m:t>
                  </m:r>
                </m:sub>
              </m:sSub>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控制指令</w:t>
            </w:r>
          </w:p>
        </w:tc>
        <w:tc>
          <w:tcPr>
            <w:vAlign w:val="center"/>
            <w:tcMar>
              <w:top w:w="55" w:type="dxa"/>
              <w:start w:w="70" w:type="dxa"/>
              <w:bottom w:w="55" w:type="dxa"/>
              <w:end w:w="70" w:type="dxa"/>
            </w:tcMar>
          </w:tcPr>
          <w:p>
            <w:pPr>
              <w:pStyle w:val="Compact"/>
              <w:spacing w:before="0" w:after="60" w:line="264" w:lineRule="auto"/>
              <w:ind w:firstLine="0"/>
              <w:jc w:val="left"/>
            </w:pPr>
            <m:oMath>
              <m:r>
                <m:t>δ</m:t>
              </m:r>
            </m:oMath>
            <w:r>
              <w:rPr>
                <w:rFonts w:ascii="Times New Roman" w:hAnsi="Times New Roman" w:eastAsia="宋体"/>
                <w:sz w:val="19"/>
              </w:rPr>
              <w:t xml:space="preserve"> </w:t>
            </w:r>
            <w:r>
              <w:rPr>
                <w:rFonts w:hint="eastAsia" w:ascii="Times New Roman" w:hAnsi="Times New Roman" w:eastAsia="宋体"/>
                <w:sz w:val="19"/>
              </w:rPr>
              <w:t xml:space="preserve">为转向指令；</w:t>
            </w:r>
            <m:oMath>
              <m:r>
                <m:t>q</m:t>
              </m:r>
            </m:oMath>
            <w:r>
              <w:rPr>
                <w:rFonts w:ascii="Times New Roman" w:hAnsi="Times New Roman" w:eastAsia="宋体"/>
                <w:sz w:val="19"/>
              </w:rPr>
              <w:t xml:space="preserve"> </w:t>
            </w:r>
            <w:r>
              <w:rPr>
                <w:rFonts w:hint="eastAsia" w:ascii="Times New Roman" w:hAnsi="Times New Roman" w:eastAsia="宋体"/>
                <w:sz w:val="19"/>
              </w:rPr>
              <w:t xml:space="preserve">为加速度、驱动力或车轮扭矩指令</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θ</m:t>
              </m:r>
              <m:r>
                <m:rPr>
                  <m:sty m:val="p"/>
                </m:rPr>
                <m:t>=</m:t>
              </m:r>
              <m:r>
                <m:rPr>
                  <m:sty m:val="p"/>
                </m:rPr>
                <m:t>(</m:t>
              </m:r>
              <m:sSub>
                <m:e>
                  <m:r>
                    <m:t>θ</m:t>
                  </m:r>
                </m:e>
                <m:sub>
                  <m:r>
                    <m:rPr>
                      <m:sty m:val="p"/>
                    </m:rPr>
                    <m:t>l</m:t>
                  </m:r>
                  <m:r>
                    <m:rPr>
                      <m:sty m:val="p"/>
                    </m:rPr>
                    <m:t>a</m:t>
                  </m:r>
                  <m:r>
                    <m:rPr>
                      <m:sty m:val="p"/>
                    </m:rPr>
                    <m:t>t</m:t>
                  </m:r>
                </m:sub>
              </m:sSub>
              <m:r>
                <m:rPr>
                  <m:sty m:val="p"/>
                </m:rPr>
                <m:t>,</m:t>
              </m:r>
              <m:sSub>
                <m:e>
                  <m:r>
                    <m:t>θ</m:t>
                  </m:r>
                </m:e>
                <m:sub>
                  <m:r>
                    <m:rPr>
                      <m:sty m:val="p"/>
                    </m:rPr>
                    <m:t>l</m:t>
                  </m:r>
                  <m:r>
                    <m:rPr>
                      <m:sty m:val="p"/>
                    </m:rPr>
                    <m:t>o</m:t>
                  </m:r>
                  <m:r>
                    <m:rPr>
                      <m:sty m:val="p"/>
                    </m:rPr>
                    <m:t>n</m:t>
                  </m:r>
                </m:sub>
              </m:sSub>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待整定控制器参数</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横向参数与纵向参数的集合</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θ</m:t>
                  </m:r>
                </m:e>
                <m:sub>
                  <m:r>
                    <m:t>0</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初始工程标定参数</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与</w:t>
            </w:r>
            <w:r>
              <w:rPr>
                <w:rFonts w:ascii="Times New Roman" w:hAnsi="Times New Roman" w:eastAsia="宋体"/>
                <w:sz w:val="19"/>
              </w:rPr>
              <w:t xml:space="preserve"> </w:t>
            </w:r>
            <m:oMath>
              <m:r>
                <m:t>θ</m:t>
              </m:r>
            </m:oMath>
            <w:r>
              <w:rPr>
                <w:rFonts w:ascii="Times New Roman" w:hAnsi="Times New Roman" w:eastAsia="宋体"/>
                <w:sz w:val="19"/>
              </w:rPr>
              <w:t xml:space="preserve"> </w:t>
            </w:r>
            <w:r>
              <w:rPr>
                <w:rFonts w:hint="eastAsia" w:ascii="Times New Roman" w:hAnsi="Times New Roman" w:eastAsia="宋体"/>
                <w:sz w:val="19"/>
              </w:rPr>
              <w:t xml:space="preserve">同形、同单位</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rPr>
                  <m:sty m:val="p"/>
                </m:rPr>
                <m:t>Θ</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参数可部署集合</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由每个参数的上下界共同确定</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ϕ</m:t>
                  </m:r>
                </m:e>
                <m:sub>
                  <m:r>
                    <m:t>b</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场景</w:t>
            </w:r>
            <w:r>
              <w:rPr>
                <w:rFonts w:ascii="Times New Roman" w:hAnsi="Times New Roman" w:eastAsia="宋体"/>
                <w:sz w:val="19"/>
              </w:rPr>
              <w:t xml:space="preserve"> </w:t>
            </w:r>
            <m:oMath>
              <m:r>
                <m:t>b</m:t>
              </m:r>
            </m:oMath>
            <w:r>
              <w:rPr>
                <w:rFonts w:ascii="Times New Roman" w:hAnsi="Times New Roman" w:eastAsia="宋体"/>
                <w:sz w:val="19"/>
              </w:rPr>
              <w:t xml:space="preserve"> </w:t>
            </w:r>
            <w:r>
              <w:rPr>
                <w:rFonts w:hint="eastAsia" w:ascii="Times New Roman" w:hAnsi="Times New Roman" w:eastAsia="宋体"/>
                <w:sz w:val="19"/>
              </w:rPr>
              <w:t xml:space="preserve">的车辆物理参数</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质量、侧偏刚度、轮胎和传动参数等</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g</m:t>
                  </m:r>
                </m:e>
                <m:sub>
                  <m:r>
                    <m:rPr>
                      <m:sty m:val="p"/>
                    </m:rPr>
                    <m:t>t</m:t>
                  </m:r>
                  <m:r>
                    <m:rPr>
                      <m:sty m:val="p"/>
                    </m:rPr>
                    <m:t>r</m:t>
                  </m:r>
                </m:sub>
              </m:sSub>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训练路径控制器映射</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可微或采用近似梯度</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g</m:t>
                  </m:r>
                </m:e>
                <m:sub>
                  <m:r>
                    <m:rPr>
                      <m:sty m:val="p"/>
                    </m:rPr>
                    <m:t>h</m:t>
                  </m:r>
                  <m:r>
                    <m:rPr>
                      <m:sty m:val="p"/>
                    </m:rPr>
                    <m:t>a</m:t>
                  </m:r>
                  <m:r>
                    <m:rPr>
                      <m:sty m:val="p"/>
                    </m:rPr>
                    <m:t>r</m:t>
                  </m:r>
                  <m:r>
                    <m:rPr>
                      <m:sty m:val="p"/>
                    </m:rPr>
                    <m:t>d</m:t>
                  </m:r>
                </m:sub>
              </m:sSub>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验证路径控制器映射</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保留原始工程硬逻辑</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F</m:t>
                  </m:r>
                </m:e>
                <m:sub>
                  <m:r>
                    <m:rPr>
                      <m:sty m:val="p"/>
                    </m:rPr>
                    <m:t>m</m:t>
                  </m:r>
                  <m:r>
                    <m:rPr>
                      <m:sty m:val="p"/>
                    </m:rPr>
                    <m:t>e</m:t>
                  </m:r>
                  <m:r>
                    <m:rPr>
                      <m:sty m:val="p"/>
                    </m:rPr>
                    <m:t>c</m:t>
                  </m:r>
                  <m:r>
                    <m:rPr>
                      <m:sty m:val="p"/>
                    </m:rPr>
                    <m:t>h</m:t>
                  </m:r>
                </m:sub>
              </m:sSub>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机理车辆动力学状态转移</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输出下一周期名义状态</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h</m:t>
                  </m:r>
                </m:e>
                <m:sub>
                  <m:r>
                    <m:t>ψ</m:t>
                  </m:r>
                </m:sub>
              </m:sSub>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可选残差模型</w:t>
            </w:r>
          </w:p>
        </w:tc>
        <w:tc>
          <w:tcPr>
            <w:vAlign w:val="center"/>
            <w:tcMar>
              <w:top w:w="55" w:type="dxa"/>
              <w:start w:w="70" w:type="dxa"/>
              <w:bottom w:w="55" w:type="dxa"/>
              <w:end w:w="70" w:type="dxa"/>
            </w:tcMar>
          </w:tcPr>
          <w:p>
            <w:pPr>
              <w:pStyle w:val="Compact"/>
              <w:spacing w:before="0" w:after="60" w:line="264" w:lineRule="auto"/>
              <w:ind w:firstLine="0"/>
              <w:jc w:val="left"/>
            </w:pPr>
            <m:oMath>
              <m:r>
                <m:t>ψ</m:t>
              </m:r>
            </m:oMath>
            <w:r>
              <w:rPr>
                <w:rFonts w:ascii="Times New Roman" w:hAnsi="Times New Roman" w:eastAsia="宋体"/>
                <w:sz w:val="19"/>
              </w:rPr>
              <w:t xml:space="preserve"> </w:t>
            </w:r>
            <w:r>
              <w:rPr>
                <w:rFonts w:hint="eastAsia" w:ascii="Times New Roman" w:hAnsi="Times New Roman" w:eastAsia="宋体"/>
                <w:sz w:val="19"/>
              </w:rPr>
              <w:t xml:space="preserve">为冻结权重</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z</m:t>
                  </m:r>
                </m:e>
                <m:sub>
                  <m:r>
                    <m:t>b</m:t>
                  </m:r>
                  <m:r>
                    <m:rPr>
                      <m:sty m:val="p"/>
                    </m:rPr>
                    <m:t>,</m:t>
                  </m:r>
                  <m: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可选残差模型输入特征</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由车辆状态、控制指令和车辆配置构成</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rPr>
                  <m:scr m:val="script"/>
                  <m:sty m:val="p"/>
                </m:rPr>
                <m:t>T</m:t>
              </m:r>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残差转换算子</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坐标转换、限幅和构型掩码</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e</m:t>
                  </m:r>
                </m:e>
                <m:sub>
                  <m:r>
                    <m:t>b</m:t>
                  </m:r>
                  <m:r>
                    <m:rPr>
                      <m:sty m:val="p"/>
                    </m:rPr>
                    <m:t>,</m:t>
                  </m:r>
                  <m:r>
                    <m:t>t</m:t>
                  </m:r>
                  <m:r>
                    <m:rPr>
                      <m:sty m:val="p"/>
                    </m:rPr>
                    <m:t>,</m:t>
                  </m:r>
                  <m:r>
                    <m:rPr>
                      <m:sty m:val="p"/>
                    </m:rPr>
                    <m:t>l</m:t>
                  </m:r>
                  <m:r>
                    <m:rPr>
                      <m:sty m:val="p"/>
                    </m:rPr>
                    <m:t>a</m:t>
                  </m:r>
                  <m:r>
                    <m:rPr>
                      <m:sty m:val="p"/>
                    </m:rP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横向跟踪误差</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m</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e</m:t>
                  </m:r>
                </m:e>
                <m:sub>
                  <m:r>
                    <m:t>b</m:t>
                  </m:r>
                  <m:r>
                    <m:rPr>
                      <m:sty m:val="p"/>
                    </m:rPr>
                    <m:t>,</m:t>
                  </m:r>
                  <m:r>
                    <m:t>t</m:t>
                  </m:r>
                  <m:r>
                    <m:rPr>
                      <m:sty m:val="p"/>
                    </m:rPr>
                    <m:t>,</m:t>
                  </m:r>
                  <m:r>
                    <m:rPr>
                      <m:sty m:val="p"/>
                    </m:rPr>
                    <m:t>h</m:t>
                  </m:r>
                  <m:r>
                    <m:rPr>
                      <m:sty m:val="p"/>
                    </m:rPr>
                    <m:t>e</m:t>
                  </m:r>
                  <m:r>
                    <m:rPr>
                      <m:sty m:val="p"/>
                    </m:rPr>
                    <m:t>a</m:t>
                  </m:r>
                  <m:r>
                    <m:rPr>
                      <m:sty m:val="p"/>
                    </m:rPr>
                    <m:t>d</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航向误差</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rad</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e</m:t>
                  </m:r>
                </m:e>
                <m:sub>
                  <m:r>
                    <m:t>b</m:t>
                  </m:r>
                  <m:r>
                    <m:rPr>
                      <m:sty m:val="p"/>
                    </m:rPr>
                    <m:t>,</m:t>
                  </m:r>
                  <m:r>
                    <m:t>t</m:t>
                  </m:r>
                  <m:r>
                    <m:rPr>
                      <m:sty m:val="p"/>
                    </m:rPr>
                    <m:t>,</m:t>
                  </m:r>
                  <m:r>
                    <m:rPr>
                      <m:sty m:val="p"/>
                    </m:rPr>
                    <m:t>s</m:t>
                  </m:r>
                  <m:r>
                    <m:rPr>
                      <m:sty m:val="p"/>
                    </m:rPr>
                    <m:t>p</m:t>
                  </m:r>
                  <m:r>
                    <m:rPr>
                      <m:sty m:val="p"/>
                    </m:rPr>
                    <m:t>d</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速度误差</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m/s</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rPr>
                  <m:sty m:val="p"/>
                </m:rPr>
                <m:t>Δ</m:t>
              </m:r>
              <m:sSub>
                <m:e>
                  <m:r>
                    <m:t>δ</m:t>
                  </m:r>
                </m:e>
                <m:sub>
                  <m:r>
                    <m:t>b</m:t>
                  </m:r>
                  <m:r>
                    <m:rPr>
                      <m:sty m:val="p"/>
                    </m:rPr>
                    <m:t>,</m:t>
                  </m:r>
                  <m:r>
                    <m:t>t</m:t>
                  </m:r>
                </m:sub>
              </m:sSub>
              <m:r>
                <m:rPr>
                  <m:sty m:val="p"/>
                </m:rPr>
                <m:t>,</m:t>
              </m:r>
              <m:r>
                <m:rPr>
                  <m:sty m:val="p"/>
                </m:rPr>
                <m:t>Δ</m:t>
              </m:r>
              <m:sSub>
                <m:e>
                  <m:r>
                    <m:t>q</m:t>
                  </m:r>
                </m:e>
                <m:sub>
                  <m:r>
                    <m:t>b</m:t>
                  </m:r>
                  <m:r>
                    <m:rPr>
                      <m:sty m:val="p"/>
                    </m:rPr>
                    <m:t>,</m:t>
                  </m:r>
                  <m: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相邻周期控制指令变化</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仅在</w:t>
            </w:r>
            <w:r>
              <w:rPr>
                <w:rFonts w:ascii="Times New Roman" w:hAnsi="Times New Roman" w:eastAsia="宋体"/>
                <w:sz w:val="19"/>
              </w:rPr>
              <w:t xml:space="preserve"> </w:t>
            </w:r>
            <m:oMath>
              <m:r>
                <m:t>t</m:t>
              </m:r>
              <m:r>
                <m:rPr>
                  <m:sty m:val="p"/>
                </m:rPr>
                <m:t>≥</m:t>
              </m:r>
              <m:r>
                <m:t>1</m:t>
              </m:r>
            </m:oMath>
            <w:r>
              <w:rPr>
                <w:rFonts w:ascii="Times New Roman" w:hAnsi="Times New Roman" w:eastAsia="宋体"/>
                <w:sz w:val="19"/>
              </w:rPr>
              <w:t xml:space="preserve"> </w:t>
            </w:r>
            <w:r>
              <w:rPr>
                <w:rFonts w:hint="eastAsia" w:ascii="Times New Roman" w:hAnsi="Times New Roman" w:eastAsia="宋体"/>
                <w:sz w:val="19"/>
              </w:rPr>
              <w:t xml:space="preserve">时定义</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ℓ</m:t>
                  </m:r>
                </m:e>
                <m:sub>
                  <m:r>
                    <m:t>b</m:t>
                  </m:r>
                </m:sub>
              </m:sSub>
              <m:r>
                <m:rPr>
                  <m:sty m:val="p"/>
                </m:rPr>
                <m:t>(</m:t>
              </m:r>
              <m:r>
                <m:t>θ</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单场景未归一化损失</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非负标量</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ℓ</m:t>
                  </m:r>
                </m:e>
                <m:sub>
                  <m:r>
                    <m:t>b</m:t>
                  </m:r>
                  <m:r>
                    <m:rPr>
                      <m:sty m:val="p"/>
                    </m:rPr>
                    <m:t>,</m:t>
                  </m:r>
                  <m:r>
                    <m:rPr>
                      <m:sty m:val="p"/>
                    </m:rPr>
                    <m:t>r</m:t>
                  </m:r>
                  <m:r>
                    <m:rPr>
                      <m:sty m:val="p"/>
                    </m:rPr>
                    <m:t>e</m:t>
                  </m:r>
                  <m:r>
                    <m:rPr>
                      <m:sty m:val="p"/>
                    </m:rPr>
                    <m:t>f</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场景</w:t>
            </w:r>
            <w:r>
              <w:rPr>
                <w:rFonts w:ascii="Times New Roman" w:hAnsi="Times New Roman" w:eastAsia="宋体"/>
                <w:sz w:val="19"/>
              </w:rPr>
              <w:t xml:space="preserve"> </w:t>
            </w:r>
            <m:oMath>
              <m:r>
                <m:t>b</m:t>
              </m:r>
            </m:oMath>
            <w:r>
              <w:rPr>
                <w:rFonts w:ascii="Times New Roman" w:hAnsi="Times New Roman" w:eastAsia="宋体"/>
                <w:sz w:val="19"/>
              </w:rPr>
              <w:t xml:space="preserve"> </w:t>
            </w:r>
            <w:r>
              <w:rPr>
                <w:rFonts w:hint="eastAsia" w:ascii="Times New Roman" w:hAnsi="Times New Roman" w:eastAsia="宋体"/>
                <w:sz w:val="19"/>
              </w:rPr>
              <w:t xml:space="preserve">的基准损失</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由初始参数或预设基准运行得到</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J</m:t>
              </m:r>
              <m:r>
                <m:rPr>
                  <m:sty m:val="p"/>
                </m:rPr>
                <m:t>(</m:t>
              </m:r>
              <m:r>
                <m:t>θ</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批量综合目标函数</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非负标量</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η</m:t>
                  </m:r>
                </m:e>
                <m:sub>
                  <m:r>
                    <m:t>k</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第</w:t>
            </w:r>
            <w:r>
              <w:rPr>
                <w:rFonts w:ascii="Times New Roman" w:hAnsi="Times New Roman" w:eastAsia="宋体"/>
                <w:sz w:val="19"/>
              </w:rPr>
              <w:t xml:space="preserve"> </w:t>
            </w:r>
            <m:oMath>
              <m:r>
                <m:t>k</m:t>
              </m:r>
            </m:oMath>
            <w:r>
              <w:rPr>
                <w:rFonts w:ascii="Times New Roman" w:hAnsi="Times New Roman" w:eastAsia="宋体"/>
                <w:sz w:val="19"/>
              </w:rPr>
              <w:t xml:space="preserve"> </w:t>
            </w:r>
            <w:r>
              <w:rPr>
                <w:rFonts w:hint="eastAsia" w:ascii="Times New Roman" w:hAnsi="Times New Roman" w:eastAsia="宋体"/>
                <w:sz w:val="19"/>
              </w:rPr>
              <w:t xml:space="preserve">次参数更新的步长</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正数</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rPr>
                      <m:sty m:val="p"/>
                    </m:rPr>
                    <m:t>Π</m:t>
                  </m:r>
                </m:e>
                <m:sub>
                  <m:r>
                    <m:rPr>
                      <m:sty m:val="p"/>
                    </m:rPr>
                    <m:t>Θ</m:t>
                  </m:r>
                </m:sub>
              </m:sSub>
              <m:r>
                <m:rPr>
                  <m:sty m:val="p"/>
                </m:rPr>
                <m:t>(</m:t>
              </m:r>
              <m:r>
                <m:rPr>
                  <m:sty m:val="p"/>
                </m:rPr>
                <m:t>⋅</m:t>
              </m:r>
              <m:r>
                <m:rPr>
                  <m:sty m:val="p"/>
                </m:rPr>
                <m: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参数投影算子</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将参数限制在</w:t>
            </w:r>
            <w:r>
              <w:rPr>
                <w:rFonts w:ascii="Times New Roman" w:hAnsi="Times New Roman" w:eastAsia="宋体"/>
                <w:sz w:val="19"/>
              </w:rPr>
              <w:t xml:space="preserve"> </w:t>
            </w:r>
            <m:oMath>
              <m:r>
                <m:rPr>
                  <m:sty m:val="p"/>
                </m:rPr>
                <m:t>Θ</m:t>
              </m:r>
            </m:oMath>
            <w:r>
              <w:rPr>
                <w:rFonts w:ascii="Times New Roman" w:hAnsi="Times New Roman" w:eastAsia="宋体"/>
                <w:sz w:val="19"/>
              </w:rPr>
              <w:t xml:space="preserve"> </w:t>
            </w:r>
            <w:r>
              <w:rPr>
                <w:rFonts w:hint="eastAsia" w:ascii="Times New Roman" w:hAnsi="Times New Roman" w:eastAsia="宋体"/>
                <w:sz w:val="19"/>
              </w:rPr>
              <w:t xml:space="preserve">内</w:t>
            </w:r>
          </w:p>
        </w:tc>
      </w:tr>
    </w:tbl>
    <w:bookmarkEnd w:id="41"/>
    <w:bookmarkStart w:id="42" w:name="闭环状态更新"/>
    <w:p>
      <w:pPr>
        <w:pStyle w:val="Heading5"/>
        <w:ind w:firstLine="0"/>
        <w:jc w:val="left"/>
      </w:pPr>
      <w:r>
        <w:rPr>
          <w:rFonts w:hint="eastAsia" w:ascii="Times New Roman" w:hAnsi="Times New Roman" w:eastAsia="黑体"/>
          <w:b/>
          <w:i w:val="0"/>
          <w:sz w:val="21"/>
        </w:rPr>
        <w:t xml:space="preserve">（3）闭环状态更新</w:t>
      </w:r>
    </w:p>
    <w:p>
      <w:pPr>
        <w:pStyle w:val="FirstParagraph"/>
        <w:spacing w:line="276" w:lineRule="auto" w:after="120"/>
        <w:ind w:firstLine="420"/>
        <w:jc w:val="both"/>
      </w:pPr>
      <w:r>
        <w:rPr>
          <w:rFonts w:hint="eastAsia" w:ascii="Times New Roman" w:hAnsi="Times New Roman" w:eastAsia="宋体"/>
          <w:sz w:val="21"/>
        </w:rPr>
        <w:t xml:space="preserve">训练路径在场景</w:t>
      </w:r>
      <w:r>
        <w:rPr>
          <w:rFonts w:ascii="Times New Roman" w:hAnsi="Times New Roman" w:eastAsia="宋体"/>
          <w:sz w:val="21"/>
        </w:rPr>
        <w:t xml:space="preserve"> </w:t>
      </w:r>
      <m:oMath>
        <m:r>
          <m:t>b</m:t>
        </m:r>
      </m:oMath>
      <w:r>
        <w:rPr>
          <w:rFonts w:ascii="Times New Roman" w:hAnsi="Times New Roman" w:eastAsia="宋体"/>
          <w:sz w:val="21"/>
        </w:rPr>
        <w:t xml:space="preserve"> </w:t>
      </w:r>
      <w:r>
        <w:rPr>
          <w:rFonts w:hint="eastAsia" w:ascii="Times New Roman" w:hAnsi="Times New Roman" w:eastAsia="宋体"/>
          <w:sz w:val="21"/>
        </w:rPr>
        <w:t xml:space="preserve">的周期</w:t>
      </w:r>
      <w:r>
        <w:rPr>
          <w:rFonts w:ascii="Times New Roman" w:hAnsi="Times New Roman" w:eastAsia="宋体"/>
          <w:sz w:val="21"/>
        </w:rPr>
        <w:t xml:space="preserve"> </w:t>
      </w:r>
      <m:oMath>
        <m:r>
          <m:t>t</m:t>
        </m:r>
      </m:oMath>
      <w:r>
        <w:rPr>
          <w:rFonts w:ascii="Times New Roman" w:hAnsi="Times New Roman" w:eastAsia="宋体"/>
          <w:sz w:val="21"/>
        </w:rPr>
        <w:t xml:space="preserve"> </w:t>
      </w:r>
      <w:r>
        <w:rPr>
          <w:rFonts w:hint="eastAsia" w:ascii="Times New Roman" w:hAnsi="Times New Roman" w:eastAsia="宋体"/>
          <w:sz w:val="21"/>
        </w:rPr>
        <w:t xml:space="preserve">产生控制指令：</w:t>
      </w:r>
    </w:p>
    <w:p>
      <w:pPr>
        <w:pStyle w:val="BodyText"/>
        <w:spacing w:before="80" w:after="80"/>
        <w:ind w:firstLine="0"/>
        <w:jc w:val="center"/>
      </w:pPr>
      <m:oMathPara>
        <m:oMathParaPr>
          <m:jc m:val="center"/>
        </m:oMathParaPr>
        <m:oMath>
          <m:sSub>
            <m:e>
              <m:r>
                <m:t>u</m:t>
              </m:r>
            </m:e>
            <m:sub>
              <m:r>
                <m:t>b</m:t>
              </m:r>
              <m:r>
                <m:rPr>
                  <m:sty m:val="p"/>
                </m:rPr>
                <m:t>,</m:t>
              </m:r>
              <m:r>
                <m:t>t</m:t>
              </m:r>
            </m:sub>
          </m:sSub>
          <m:r>
            <m:rPr>
              <m:sty m:val="p"/>
            </m:rPr>
            <m:t>=</m:t>
          </m:r>
          <m:sSub>
            <m:e>
              <m:r>
                <m:t>g</m:t>
              </m:r>
            </m:e>
            <m:sub>
              <m:r>
                <m:rPr>
                  <m:sty m:val="p"/>
                </m:rPr>
                <m:t>t</m:t>
              </m:r>
              <m:r>
                <m:rPr>
                  <m:sty m:val="p"/>
                </m:rPr>
                <m:t>r</m:t>
              </m:r>
            </m:sub>
          </m:sSub>
          <m:r>
            <m:rPr>
              <m:sty m:val="p"/>
            </m:rPr>
            <m:t>(</m:t>
          </m:r>
          <m:sSub>
            <m:e>
              <m:r>
                <m:t>x</m:t>
              </m:r>
            </m:e>
            <m:sub>
              <m:r>
                <m:t>b</m:t>
              </m:r>
              <m:r>
                <m:rPr>
                  <m:sty m:val="p"/>
                </m:rPr>
                <m:t>,</m:t>
              </m:r>
              <m:r>
                <m:t>t</m:t>
              </m:r>
            </m:sub>
          </m:sSub>
          <m:r>
            <m:rPr>
              <m:sty m:val="p"/>
            </m:rPr>
            <m:t>,</m:t>
          </m:r>
          <m:sSub>
            <m:e>
              <m:r>
                <m:t>r</m:t>
              </m:r>
            </m:e>
            <m:sub>
              <m:r>
                <m:t>b</m:t>
              </m:r>
              <m:r>
                <m:rPr>
                  <m:sty m:val="p"/>
                </m:rPr>
                <m:t>,</m:t>
              </m:r>
              <m:r>
                <m:t>t</m:t>
              </m:r>
            </m:sub>
          </m:sSub>
          <m:r>
            <m:rPr>
              <m:sty m:val="p"/>
            </m:rPr>
            <m:t>;</m:t>
          </m:r>
          <m:r>
            <m:t>θ</m:t>
          </m:r>
          <m:r>
            <m:rPr>
              <m:sty m:val="p"/>
            </m:rPr>
            <m:t>)</m:t>
          </m:r>
          <m:r>
            <m:t>  </m:t>
          </m:r>
          <m:r>
            <m:rPr>
              <m:sty m:val="p"/>
            </m:rPr>
            <m:t>(</m:t>
          </m:r>
          <m:r>
            <m:rPr>
              <m:sty m:val="p"/>
            </m:rPr>
            <m:t>2</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机理动力学模型给出下一周期名义状态：</w:t>
      </w:r>
    </w:p>
    <w:p>
      <w:pPr>
        <w:pStyle w:val="BodyText"/>
        <w:spacing w:before="80" w:after="80"/>
        <w:ind w:firstLine="0"/>
        <w:jc w:val="center"/>
      </w:pPr>
      <m:oMathPara>
        <m:oMathParaPr>
          <m:jc m:val="center"/>
        </m:oMathParaPr>
        <m:oMath>
          <m:sSubSup>
            <m:e>
              <m:r>
                <m:t>x</m:t>
              </m:r>
            </m:e>
            <m:sub>
              <m:r>
                <m:t>b</m:t>
              </m:r>
              <m:r>
                <m:rPr>
                  <m:sty m:val="p"/>
                </m:rPr>
                <m:t>,</m:t>
              </m:r>
              <m:r>
                <m:t>t</m:t>
              </m:r>
              <m:r>
                <m:rPr>
                  <m:sty m:val="p"/>
                </m:rPr>
                <m:t>+</m:t>
              </m:r>
              <m:r>
                <m:t>1</m:t>
              </m:r>
            </m:sub>
            <m:sup>
              <m:r>
                <m:rPr>
                  <m:sty m:val="p"/>
                </m:rPr>
                <m:t>m</m:t>
              </m:r>
              <m:r>
                <m:rPr>
                  <m:sty m:val="p"/>
                </m:rPr>
                <m:t>e</m:t>
              </m:r>
              <m:r>
                <m:rPr>
                  <m:sty m:val="p"/>
                </m:rPr>
                <m:t>c</m:t>
              </m:r>
              <m:r>
                <m:rPr>
                  <m:sty m:val="p"/>
                </m:rPr>
                <m:t>h</m:t>
              </m:r>
            </m:sup>
          </m:sSubSup>
          <m:r>
            <m:rPr>
              <m:sty m:val="p"/>
            </m:rPr>
            <m:t>=</m:t>
          </m:r>
          <m:sSub>
            <m:e>
              <m:r>
                <m:t>F</m:t>
              </m:r>
            </m:e>
            <m:sub>
              <m:r>
                <m:rPr>
                  <m:sty m:val="p"/>
                </m:rPr>
                <m:t>m</m:t>
              </m:r>
              <m:r>
                <m:rPr>
                  <m:sty m:val="p"/>
                </m:rPr>
                <m:t>e</m:t>
              </m:r>
              <m:r>
                <m:rPr>
                  <m:sty m:val="p"/>
                </m:rPr>
                <m:t>c</m:t>
              </m:r>
              <m:r>
                <m:rPr>
                  <m:sty m:val="p"/>
                </m:rPr>
                <m:t>h</m:t>
              </m:r>
            </m:sub>
          </m:sSub>
          <m:r>
            <m:rPr>
              <m:sty m:val="p"/>
            </m:rPr>
            <m:t>(</m:t>
          </m:r>
          <m:sSub>
            <m:e>
              <m:r>
                <m:t>x</m:t>
              </m:r>
            </m:e>
            <m:sub>
              <m:r>
                <m:t>b</m:t>
              </m:r>
              <m:r>
                <m:rPr>
                  <m:sty m:val="p"/>
                </m:rPr>
                <m:t>,</m:t>
              </m:r>
              <m:r>
                <m:t>t</m:t>
              </m:r>
            </m:sub>
          </m:sSub>
          <m:r>
            <m:rPr>
              <m:sty m:val="p"/>
            </m:rPr>
            <m:t>,</m:t>
          </m:r>
          <m:sSub>
            <m:e>
              <m:r>
                <m:t>u</m:t>
              </m:r>
            </m:e>
            <m:sub>
              <m:r>
                <m:t>b</m:t>
              </m:r>
              <m:r>
                <m:rPr>
                  <m:sty m:val="p"/>
                </m:rPr>
                <m:t>,</m:t>
              </m:r>
              <m:r>
                <m:t>t</m:t>
              </m:r>
            </m:sub>
          </m:sSub>
          <m:r>
            <m:rPr>
              <m:sty m:val="p"/>
            </m:rPr>
            <m:t>;</m:t>
          </m:r>
          <m:sSub>
            <m:e>
              <m:r>
                <m:t>ϕ</m:t>
              </m:r>
            </m:e>
            <m:sub>
              <m:r>
                <m:t>b</m:t>
              </m:r>
            </m:sub>
          </m:sSub>
          <m:r>
            <m:rPr>
              <m:sty m:val="p"/>
            </m:rPr>
            <m:t>)</m:t>
          </m:r>
          <m:r>
            <m:t>  </m:t>
          </m:r>
          <m:r>
            <m:rPr>
              <m:sty m:val="p"/>
            </m:rPr>
            <m:t>(</m:t>
          </m:r>
          <m:r>
            <m:rPr>
              <m:sty m:val="p"/>
            </m:rPr>
            <m:t>3</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在采用残差增强的可选实施方式中，完整状态更新为：</w:t>
      </w:r>
    </w:p>
    <w:p>
      <w:pPr>
        <w:pStyle w:val="BodyText"/>
        <w:spacing w:before="80" w:after="80"/>
        <w:ind w:firstLine="0"/>
        <w:jc w:val="center"/>
      </w:pPr>
      <m:oMathPara>
        <m:oMathParaPr>
          <m:jc m:val="center"/>
        </m:oMathParaPr>
        <m:oMath>
          <m:sSub>
            <m:e>
              <m:r>
                <m:t>x</m:t>
              </m:r>
            </m:e>
            <m:sub>
              <m:r>
                <m:t>b</m:t>
              </m:r>
              <m:r>
                <m:rPr>
                  <m:sty m:val="p"/>
                </m:rPr>
                <m:t>,</m:t>
              </m:r>
              <m:r>
                <m:t>t</m:t>
              </m:r>
              <m:r>
                <m:rPr>
                  <m:sty m:val="p"/>
                </m:rPr>
                <m:t>+</m:t>
              </m:r>
              <m:r>
                <m:t>1</m:t>
              </m:r>
            </m:sub>
          </m:sSub>
          <m:r>
            <m:rPr>
              <m:sty m:val="p"/>
            </m:rPr>
            <m:t>=</m:t>
          </m:r>
          <m:sSubSup>
            <m:e>
              <m:r>
                <m:t>x</m:t>
              </m:r>
            </m:e>
            <m:sub>
              <m:r>
                <m:t>b</m:t>
              </m:r>
              <m:r>
                <m:rPr>
                  <m:sty m:val="p"/>
                </m:rPr>
                <m:t>,</m:t>
              </m:r>
              <m:r>
                <m:t>t</m:t>
              </m:r>
              <m:r>
                <m:rPr>
                  <m:sty m:val="p"/>
                </m:rPr>
                <m:t>+</m:t>
              </m:r>
              <m:r>
                <m:t>1</m:t>
              </m:r>
            </m:sub>
            <m:sup>
              <m:r>
                <m:rPr>
                  <m:sty m:val="p"/>
                </m:rPr>
                <m:t>m</m:t>
              </m:r>
              <m:r>
                <m:rPr>
                  <m:sty m:val="p"/>
                </m:rPr>
                <m:t>e</m:t>
              </m:r>
              <m:r>
                <m:rPr>
                  <m:sty m:val="p"/>
                </m:rPr>
                <m:t>c</m:t>
              </m:r>
              <m:r>
                <m:rPr>
                  <m:sty m:val="p"/>
                </m:rPr>
                <m:t>h</m:t>
              </m:r>
            </m:sup>
          </m:sSubSup>
          <m:r>
            <m:rPr>
              <m:sty m:val="p"/>
            </m:rPr>
            <m:t>+</m:t>
          </m:r>
          <m:r>
            <m:rPr>
              <m:scr m:val="script"/>
              <m:sty m:val="p"/>
            </m:rPr>
            <m:t>T</m:t>
          </m:r>
          <m:d>
            <m:dPr>
              <m:begChr m:val="("/>
              <m:sepChr m:val=""/>
              <m:endChr m:val=")"/>
              <m:grow/>
            </m:dPr>
            <m:e>
              <m:sSub>
                <m:e>
                  <m:r>
                    <m:t>h</m:t>
                  </m:r>
                </m:e>
                <m:sub>
                  <m:r>
                    <m:t>ψ</m:t>
                  </m:r>
                </m:sub>
              </m:sSub>
              <m:r>
                <m:rPr>
                  <m:sty m:val="p"/>
                </m:rPr>
                <m:t>(</m:t>
              </m:r>
              <m:sSub>
                <m:e>
                  <m:r>
                    <m:t>z</m:t>
                  </m:r>
                </m:e>
                <m:sub>
                  <m:r>
                    <m:t>b</m:t>
                  </m:r>
                  <m:r>
                    <m:rPr>
                      <m:sty m:val="p"/>
                    </m:rPr>
                    <m:t>,</m:t>
                  </m:r>
                  <m:r>
                    <m:t>t</m:t>
                  </m:r>
                </m:sub>
              </m:sSub>
              <m:r>
                <m:rPr>
                  <m:sty m:val="p"/>
                </m:rPr>
                <m:t>)</m:t>
              </m:r>
            </m:e>
          </m:d>
          <m:r>
            <m:t>  </m:t>
          </m:r>
          <m:r>
            <m:rPr>
              <m:sty m:val="p"/>
            </m:rPr>
            <m:t>(</m:t>
          </m:r>
          <m:r>
            <m:rPr>
              <m:sty m:val="p"/>
            </m:rPr>
            <m:t>4</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不采用残差模型时，令残差项为零，即</w:t>
      </w:r>
      <w:r>
        <w:rPr>
          <w:rFonts w:ascii="Times New Roman" w:hAnsi="Times New Roman" w:eastAsia="宋体"/>
          <w:sz w:val="21"/>
        </w:rPr>
        <w:t xml:space="preserve"> </w:t>
      </w:r>
      <m:oMath>
        <m:sSub>
          <m:e>
            <m:r>
              <m:t>x</m:t>
            </m:r>
          </m:e>
          <m:sub>
            <m:r>
              <m:t>b</m:t>
            </m:r>
            <m:r>
              <m:rPr>
                <m:sty m:val="p"/>
              </m:rPr>
              <m:t>,</m:t>
            </m:r>
            <m:r>
              <m:t>t</m:t>
            </m:r>
            <m:r>
              <m:rPr>
                <m:sty m:val="p"/>
              </m:rPr>
              <m:t>+</m:t>
            </m:r>
            <m:r>
              <m:t>1</m:t>
            </m:r>
          </m:sub>
        </m:sSub>
        <m:r>
          <m:rPr>
            <m:sty m:val="p"/>
          </m:rPr>
          <m:t>=</m:t>
        </m:r>
        <m:sSubSup>
          <m:e>
            <m:r>
              <m:t>x</m:t>
            </m:r>
          </m:e>
          <m:sub>
            <m:r>
              <m:t>b</m:t>
            </m:r>
            <m:r>
              <m:rPr>
                <m:sty m:val="p"/>
              </m:rPr>
              <m:t>,</m:t>
            </m:r>
            <m:r>
              <m:t>t</m:t>
            </m:r>
            <m:r>
              <m:rPr>
                <m:sty m:val="p"/>
              </m:rPr>
              <m:t>+</m:t>
            </m:r>
            <m:r>
              <m:t>1</m:t>
            </m:r>
          </m:sub>
          <m:sup>
            <m:r>
              <m:rPr>
                <m:sty m:val="p"/>
              </m:rPr>
              <m:t>m</m:t>
            </m:r>
            <m:r>
              <m:rPr>
                <m:sty m:val="p"/>
              </m:rPr>
              <m:t>e</m:t>
            </m:r>
            <m:r>
              <m:rPr>
                <m:sty m:val="p"/>
              </m:rPr>
              <m:t>c</m:t>
            </m:r>
            <m:r>
              <m:rPr>
                <m:sty m:val="p"/>
              </m:rPr>
              <m:t>h</m:t>
            </m:r>
          </m:sup>
        </m:sSubSup>
      </m:oMath>
      <w:r>
        <w:rPr>
          <w:rFonts w:hint="eastAsia" w:ascii="Times New Roman" w:hAnsi="Times New Roman" w:eastAsia="宋体"/>
          <w:sz w:val="21"/>
        </w:rPr>
        <w:t xml:space="preserve">。因此，残差模型不构成核心闭环整定方法的必要条件。</w:t>
      </w:r>
    </w:p>
    <w:bookmarkEnd w:id="42"/>
    <w:bookmarkStart w:id="43" w:name="逐场景损失归一化与参数更新"/>
    <w:p>
      <w:pPr>
        <w:pStyle w:val="Heading5"/>
        <w:ind w:firstLine="0"/>
        <w:jc w:val="left"/>
      </w:pPr>
      <w:r>
        <w:rPr>
          <w:rFonts w:hint="eastAsia" w:ascii="Times New Roman" w:hAnsi="Times New Roman" w:eastAsia="黑体"/>
          <w:b/>
          <w:i w:val="0"/>
          <w:sz w:val="21"/>
        </w:rPr>
        <w:t xml:space="preserve">（4）逐场景损失、归一化与参数更新</w:t>
      </w:r>
    </w:p>
    <w:p>
      <w:pPr>
        <w:pStyle w:val="FirstParagraph"/>
        <w:spacing w:line="276" w:lineRule="auto" w:after="120"/>
        <w:ind w:firstLine="420"/>
        <w:jc w:val="both"/>
      </w:pPr>
      <w:r>
        <w:rPr>
          <w:rFonts w:hint="eastAsia" w:ascii="Times New Roman" w:hAnsi="Times New Roman" w:eastAsia="宋体"/>
          <w:sz w:val="21"/>
        </w:rPr>
        <w:t xml:space="preserve">令</w:t>
      </w:r>
      <w:r>
        <w:rPr>
          <w:rFonts w:ascii="Times New Roman" w:hAnsi="Times New Roman" w:eastAsia="宋体"/>
          <w:sz w:val="21"/>
        </w:rPr>
        <w:t xml:space="preserve"> </w:t>
      </w: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r>
          <m:rPr>
            <m:sty m:val="p"/>
          </m:rPr>
          <m:t>,</m:t>
        </m:r>
        <m:sSub>
          <m:e>
            <m:r>
              <m:t>w</m:t>
            </m:r>
          </m:e>
          <m:sub>
            <m:r>
              <m:rPr>
                <m:sty m:val="p"/>
              </m:rPr>
              <m:t>Δ</m:t>
            </m:r>
            <m:r>
              <m:t>δ</m:t>
            </m:r>
          </m:sub>
        </m:sSub>
        <m:r>
          <m:rPr>
            <m:sty m:val="p"/>
          </m:rPr>
          <m:t>,</m:t>
        </m:r>
        <m:sSub>
          <m:e>
            <m:r>
              <m:t>w</m:t>
            </m:r>
          </m:e>
          <m:sub>
            <m:r>
              <m:rPr>
                <m:sty m:val="p"/>
              </m:rPr>
              <m:t>Δ</m:t>
            </m:r>
            <m:r>
              <m:t>q</m:t>
            </m:r>
          </m:sub>
        </m:sSub>
      </m:oMath>
      <w:r>
        <w:rPr>
          <w:rFonts w:ascii="Times New Roman" w:hAnsi="Times New Roman" w:eastAsia="宋体"/>
          <w:sz w:val="21"/>
        </w:rPr>
        <w:t xml:space="preserve"> </w:t>
      </w:r>
      <w:r>
        <w:rPr>
          <w:rFonts w:hint="eastAsia" w:ascii="Times New Roman" w:hAnsi="Times New Roman" w:eastAsia="宋体"/>
          <w:sz w:val="21"/>
        </w:rPr>
        <w:t xml:space="preserve">为正权重。单场景损失为：</w:t>
      </w:r>
    </w:p>
    <w:p>
      <w:pPr>
        <w:pStyle w:val="BodyText"/>
        <w:spacing w:before="80" w:after="80"/>
        <w:ind w:firstLine="0"/>
        <w:jc w:val="center"/>
      </w:pPr>
      <m:oMathPara>
        <m:oMathParaPr>
          <m:jc m:val="center"/>
        </m:oMathParaPr>
        <m:oMath>
          <m:eqArr>
            <m:e>
              <m:sSub>
                <m:e>
                  <m:r>
                    <m:t>ℓ</m:t>
                  </m:r>
                </m:e>
                <m:sub>
                  <m:r>
                    <m:t>b</m:t>
                  </m:r>
                </m:sub>
              </m:sSub>
              <m:r>
                <m:rPr>
                  <m:sty m:val="p"/>
                </m:rPr>
                <m:t>(</m:t>
              </m:r>
              <m:r>
                <m:t>θ</m:t>
              </m:r>
              <m:r>
                <m:rPr>
                  <m:sty m:val="p"/>
                </m:rPr>
                <m:t>)</m:t>
              </m:r>
              <m:r>
                <m:rPr>
                  <m:sty m:val="p"/>
                </m:rPr>
                <m:t>=</m:t>
              </m:r>
              <m:r>
                <m:t>&amp;</m:t>
              </m:r>
              <m:f>
                <m:fPr>
                  <m:type m:val="bar"/>
                </m:fPr>
                <m:num>
                  <m:r>
                    <m:t>1</m:t>
                  </m:r>
                </m:num>
                <m:den>
                  <m:sSub>
                    <m:e>
                      <m:r>
                        <m:t>T</m:t>
                      </m:r>
                    </m:e>
                    <m:sub>
                      <m:r>
                        <m:t>b</m:t>
                      </m:r>
                    </m:sub>
                  </m:sSub>
                  <m:r>
                    <m:rPr>
                      <m:sty m:val="p"/>
                    </m:rPr>
                    <m:t>+</m:t>
                  </m:r>
                  <m:r>
                    <m:t>1</m:t>
                  </m:r>
                </m:den>
              </m:f>
              <m:nary>
                <m:naryPr>
                  <m:chr m:val="∑"/>
                  <m:limLoc m:val="undOvr"/>
                  <m:subHide m:val="off"/>
                  <m:supHide m:val="off"/>
                </m:naryPr>
                <m:sub>
                  <m:r>
                    <m:t>t</m:t>
                  </m:r>
                  <m:r>
                    <m:rPr>
                      <m:sty m:val="p"/>
                    </m:rPr>
                    <m:t>=</m:t>
                  </m:r>
                  <m:r>
                    <m:t>0</m:t>
                  </m:r>
                </m:sub>
                <m:sup>
                  <m:sSub>
                    <m:e>
                      <m:r>
                        <m:t>T</m:t>
                      </m:r>
                    </m:e>
                    <m:sub>
                      <m:r>
                        <m:t>b</m:t>
                      </m:r>
                    </m:sub>
                  </m:sSub>
                </m:sup>
                <m:e>
                  <m:d>
                    <m:dPr>
                      <m:begChr m:val="("/>
                      <m:sepChr m:val=""/>
                      <m:endChr m:val=")"/>
                      <m:grow/>
                    </m:dPr>
                    <m:e>
                      <m:sSub>
                        <m:e>
                          <m:r>
                            <m:t>w</m:t>
                          </m:r>
                        </m:e>
                        <m:sub>
                          <m:r>
                            <m:rPr>
                              <m:sty m:val="p"/>
                            </m:rPr>
                            <m:t>l</m:t>
                          </m:r>
                          <m:r>
                            <m:rPr>
                              <m:sty m:val="p"/>
                            </m:rPr>
                            <m:t>a</m:t>
                          </m:r>
                          <m:r>
                            <m:rPr>
                              <m:sty m:val="p"/>
                            </m:rPr>
                            <m:t>t</m:t>
                          </m:r>
                        </m:sub>
                      </m:sSub>
                      <m:sSubSup>
                        <m:e>
                          <m:r>
                            <m:t>e</m:t>
                          </m:r>
                        </m:e>
                        <m:sub>
                          <m:r>
                            <m:t>b</m:t>
                          </m:r>
                          <m:r>
                            <m:rPr>
                              <m:sty m:val="p"/>
                            </m:rPr>
                            <m:t>,</m:t>
                          </m:r>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b</m:t>
                          </m:r>
                          <m:r>
                            <m:rPr>
                              <m:sty m:val="p"/>
                            </m:rPr>
                            <m:t>,</m:t>
                          </m:r>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b</m:t>
                          </m:r>
                          <m:r>
                            <m:rPr>
                              <m:sty m:val="p"/>
                            </m:rPr>
                            <m:t>,</m:t>
                          </m:r>
                          <m:r>
                            <m:t>t</m:t>
                          </m:r>
                          <m:r>
                            <m:rPr>
                              <m:sty m:val="p"/>
                            </m:rPr>
                            <m:t>,</m:t>
                          </m:r>
                          <m:r>
                            <m:rPr>
                              <m:sty m:val="p"/>
                            </m:rPr>
                            <m:t>s</m:t>
                          </m:r>
                          <m:r>
                            <m:rPr>
                              <m:sty m:val="p"/>
                            </m:rPr>
                            <m:t>p</m:t>
                          </m:r>
                          <m:r>
                            <m:rPr>
                              <m:sty m:val="p"/>
                            </m:rPr>
                            <m:t>d</m:t>
                          </m:r>
                        </m:sub>
                        <m:sup>
                          <m:r>
                            <m:t>2</m:t>
                          </m:r>
                        </m:sup>
                      </m:sSubSup>
                    </m:e>
                  </m:d>
                </m:e>
              </m:nary>
            </m:e>
            <m:e>
              <m:r>
                <m:t>&amp;</m:t>
              </m:r>
              <m:r>
                <m:rPr>
                  <m:sty m:val="p"/>
                </m:rPr>
                <m:t>+</m:t>
              </m:r>
              <m:f>
                <m:fPr>
                  <m:type m:val="bar"/>
                </m:fPr>
                <m:num>
                  <m:r>
                    <m:t>1</m:t>
                  </m:r>
                </m:num>
                <m:den>
                  <m:r>
                    <m:rPr>
                      <m:sty m:val="p"/>
                    </m:rPr>
                    <m:t>max</m:t>
                  </m:r>
                  <m:r>
                    <m:rPr>
                      <m:sty m:val="p"/>
                    </m:rPr>
                    <m:t>(</m:t>
                  </m:r>
                  <m:sSub>
                    <m:e>
                      <m:r>
                        <m:t>T</m:t>
                      </m:r>
                    </m:e>
                    <m:sub>
                      <m:r>
                        <m:t>b</m:t>
                      </m:r>
                    </m:sub>
                  </m:sSub>
                  <m:r>
                    <m:rPr>
                      <m:sty m:val="p"/>
                    </m:rPr>
                    <m:t>,</m:t>
                  </m:r>
                  <m:r>
                    <m:t>1</m:t>
                  </m:r>
                  <m:r>
                    <m:rPr>
                      <m:sty m:val="p"/>
                    </m:rPr>
                    <m:t>)</m:t>
                  </m:r>
                </m:den>
              </m:f>
              <m:nary>
                <m:naryPr>
                  <m:chr m:val="∑"/>
                  <m:limLoc m:val="undOvr"/>
                  <m:subHide m:val="off"/>
                  <m:supHide m:val="off"/>
                </m:naryPr>
                <m:sub>
                  <m:r>
                    <m:t>t</m:t>
                  </m:r>
                  <m:r>
                    <m:rPr>
                      <m:sty m:val="p"/>
                    </m:rPr>
                    <m:t>=</m:t>
                  </m:r>
                  <m:r>
                    <m:t>1</m:t>
                  </m:r>
                </m:sub>
                <m:sup>
                  <m:sSub>
                    <m:e>
                      <m:r>
                        <m:t>T</m:t>
                      </m:r>
                    </m:e>
                    <m:sub>
                      <m:r>
                        <m:t>b</m:t>
                      </m:r>
                    </m:sub>
                  </m:sSub>
                </m:sup>
                <m:e>
                  <m:d>
                    <m:dPr>
                      <m:begChr m:val="("/>
                      <m:sepChr m:val=""/>
                      <m:endChr m:val=")"/>
                      <m:grow/>
                    </m:dPr>
                    <m:e>
                      <m:sSub>
                        <m:e>
                          <m:r>
                            <m:t>w</m:t>
                          </m:r>
                        </m:e>
                        <m:sub>
                          <m:r>
                            <m:rPr>
                              <m:sty m:val="p"/>
                            </m:rPr>
                            <m:t>Δ</m:t>
                          </m:r>
                          <m:r>
                            <m:t>δ</m:t>
                          </m:r>
                        </m:sub>
                      </m:sSub>
                      <m:r>
                        <m:rPr>
                          <m:sty m:val="p"/>
                        </m:rPr>
                        <m:t>Δ</m:t>
                      </m:r>
                      <m:sSubSup>
                        <m:e>
                          <m:r>
                            <m:t>δ</m:t>
                          </m:r>
                        </m:e>
                        <m:sub>
                          <m:r>
                            <m:t>b</m:t>
                          </m:r>
                          <m:r>
                            <m:rPr>
                              <m:sty m:val="p"/>
                            </m:rPr>
                            <m:t>,</m:t>
                          </m:r>
                          <m:r>
                            <m:t>t</m:t>
                          </m:r>
                        </m:sub>
                        <m:sup>
                          <m:r>
                            <m:t>2</m:t>
                          </m:r>
                        </m:sup>
                      </m:sSubSup>
                      <m:r>
                        <m:rPr>
                          <m:sty m:val="p"/>
                        </m:rPr>
                        <m:t>+</m:t>
                      </m:r>
                      <m:sSub>
                        <m:e>
                          <m:r>
                            <m:t>w</m:t>
                          </m:r>
                        </m:e>
                        <m:sub>
                          <m:r>
                            <m:rPr>
                              <m:sty m:val="p"/>
                            </m:rPr>
                            <m:t>Δ</m:t>
                          </m:r>
                          <m:r>
                            <m:t>q</m:t>
                          </m:r>
                        </m:sub>
                      </m:sSub>
                      <m:r>
                        <m:rPr>
                          <m:sty m:val="p"/>
                        </m:rPr>
                        <m:t>Δ</m:t>
                      </m:r>
                      <m:sSubSup>
                        <m:e>
                          <m:r>
                            <m:t>q</m:t>
                          </m:r>
                        </m:e>
                        <m:sub>
                          <m:r>
                            <m:t>b</m:t>
                          </m:r>
                          <m:r>
                            <m:rPr>
                              <m:sty m:val="p"/>
                            </m:rPr>
                            <m:t>,</m:t>
                          </m:r>
                          <m:r>
                            <m:t>t</m:t>
                          </m:r>
                        </m:sub>
                        <m:sup>
                          <m:r>
                            <m:t>2</m:t>
                          </m:r>
                        </m:sup>
                      </m:sSubSup>
                    </m:e>
                  </m:d>
                </m:e>
              </m:nary>
              <m:r>
                <m:t>  </m:t>
              </m:r>
              <m:r>
                <m:rPr>
                  <m:sty m:val="p"/>
                </m:rPr>
                <m:t>(</m:t>
              </m:r>
              <m:r>
                <m:rPr>
                  <m:sty m:val="p"/>
                </m:rPr>
                <m:t>5</m:t>
              </m:r>
              <m:r>
                <m:rPr>
                  <m:sty m:val="p"/>
                </m:rPr>
                <m:t>)</m:t>
              </m:r>
            </m:e>
          </m:eqArr>
        </m:oMath>
      </m:oMathPara>
    </w:p>
    <w:p>
      <w:pPr>
        <w:pStyle w:val="FirstParagraph"/>
        <w:spacing w:line="276" w:lineRule="auto" w:after="120"/>
        <w:ind w:firstLine="420"/>
        <w:jc w:val="both"/>
      </w:pPr>
      <w:r>
        <w:rPr>
          <w:rFonts w:hint="eastAsia" w:ascii="Times New Roman" w:hAnsi="Times New Roman" w:eastAsia="宋体"/>
          <w:sz w:val="21"/>
        </w:rPr>
        <w:t xml:space="preserve">其中，</w:t>
      </w:r>
      <m:oMath>
        <m:r>
          <m:rPr>
            <m:sty m:val="p"/>
          </m:rPr>
          <m:t>Δ</m:t>
        </m:r>
        <m:sSub>
          <m:e>
            <m:r>
              <m:t>δ</m:t>
            </m:r>
          </m:e>
          <m:sub>
            <m:r>
              <m:t>b</m:t>
            </m:r>
            <m:r>
              <m:rPr>
                <m:sty m:val="p"/>
              </m:rPr>
              <m:t>,</m:t>
            </m:r>
            <m:r>
              <m:t>t</m:t>
            </m:r>
          </m:sub>
        </m:sSub>
        <m:r>
          <m:rPr>
            <m:sty m:val="p"/>
          </m:rPr>
          <m:t>=</m:t>
        </m:r>
        <m:sSub>
          <m:e>
            <m:r>
              <m:t>δ</m:t>
            </m:r>
          </m:e>
          <m:sub>
            <m:r>
              <m:t>b</m:t>
            </m:r>
            <m:r>
              <m:rPr>
                <m:sty m:val="p"/>
              </m:rPr>
              <m:t>,</m:t>
            </m:r>
            <m:r>
              <m:t>t</m:t>
            </m:r>
          </m:sub>
        </m:sSub>
        <m:r>
          <m:rPr>
            <m:sty m:val="p"/>
          </m:rPr>
          <m:t>−</m:t>
        </m:r>
        <m:sSub>
          <m:e>
            <m:r>
              <m:t>δ</m:t>
            </m:r>
          </m:e>
          <m:sub>
            <m:r>
              <m:t>b</m:t>
            </m:r>
            <m:r>
              <m:rPr>
                <m:sty m:val="p"/>
              </m:rPr>
              <m:t>,</m:t>
            </m:r>
            <m:r>
              <m:t>t</m:t>
            </m:r>
            <m:r>
              <m:rPr>
                <m:sty m:val="p"/>
              </m:rPr>
              <m:t>−</m:t>
            </m:r>
            <m:r>
              <m:t>1</m:t>
            </m:r>
          </m:sub>
        </m:sSub>
      </m:oMath>
      <w:r>
        <w:rPr>
          <w:rFonts w:hint="eastAsia" w:ascii="Times New Roman" w:hAnsi="Times New Roman" w:eastAsia="宋体"/>
          <w:sz w:val="21"/>
        </w:rPr>
        <w:t xml:space="preserve">，</w:t>
      </w:r>
      <m:oMath>
        <m:r>
          <m:rPr>
            <m:sty m:val="p"/>
          </m:rPr>
          <m:t>Δ</m:t>
        </m:r>
        <m:sSub>
          <m:e>
            <m:r>
              <m:t>q</m:t>
            </m:r>
          </m:e>
          <m:sub>
            <m:r>
              <m:t>b</m:t>
            </m:r>
            <m:r>
              <m:rPr>
                <m:sty m:val="p"/>
              </m:rPr>
              <m:t>,</m:t>
            </m:r>
            <m:r>
              <m:t>t</m:t>
            </m:r>
          </m:sub>
        </m:sSub>
        <m:r>
          <m:rPr>
            <m:sty m:val="p"/>
          </m:rPr>
          <m:t>=</m:t>
        </m:r>
        <m:sSub>
          <m:e>
            <m:r>
              <m:t>q</m:t>
            </m:r>
          </m:e>
          <m:sub>
            <m:r>
              <m:t>b</m:t>
            </m:r>
            <m:r>
              <m:rPr>
                <m:sty m:val="p"/>
              </m:rPr>
              <m:t>,</m:t>
            </m:r>
            <m:r>
              <m:t>t</m:t>
            </m:r>
          </m:sub>
        </m:sSub>
        <m:r>
          <m:rPr>
            <m:sty m:val="p"/>
          </m:rPr>
          <m:t>−</m:t>
        </m:r>
        <m:sSub>
          <m:e>
            <m:r>
              <m:t>q</m:t>
            </m:r>
          </m:e>
          <m:sub>
            <m:r>
              <m:t>b</m:t>
            </m:r>
            <m:r>
              <m:rPr>
                <m:sty m:val="p"/>
              </m:rPr>
              <m:t>,</m:t>
            </m:r>
            <m:r>
              <m:t>t</m:t>
            </m:r>
            <m:r>
              <m:rPr>
                <m:sty m:val="p"/>
              </m:rPr>
              <m:t>−</m:t>
            </m:r>
            <m:r>
              <m:t>1</m:t>
            </m:r>
          </m:sub>
        </m:sSub>
      </m:oMath>
      <w:r>
        <w:rPr>
          <w:rFonts w:hint="eastAsia" w:ascii="Times New Roman" w:hAnsi="Times New Roman" w:eastAsia="宋体"/>
          <w:sz w:val="21"/>
        </w:rPr>
        <w:t xml:space="preserve">。平滑项从</w:t>
      </w:r>
      <w:r>
        <w:rPr>
          <w:rFonts w:ascii="Times New Roman" w:hAnsi="Times New Roman" w:eastAsia="宋体"/>
          <w:sz w:val="21"/>
        </w:rPr>
        <w:t xml:space="preserve"> </w:t>
      </w:r>
      <m:oMath>
        <m:r>
          <m:t>t</m:t>
        </m:r>
        <m:r>
          <m:rPr>
            <m:sty m:val="p"/>
          </m:rPr>
          <m:t>=</m:t>
        </m:r>
        <m:r>
          <m:t>1</m:t>
        </m:r>
      </m:oMath>
      <w:r>
        <w:rPr>
          <w:rFonts w:ascii="Times New Roman" w:hAnsi="Times New Roman" w:eastAsia="宋体"/>
          <w:sz w:val="21"/>
        </w:rPr>
        <w:t xml:space="preserve"> </w:t>
      </w:r>
      <w:r>
        <w:rPr>
          <w:rFonts w:hint="eastAsia" w:ascii="Times New Roman" w:hAnsi="Times New Roman" w:eastAsia="宋体"/>
          <w:sz w:val="21"/>
        </w:rPr>
        <w:t xml:space="preserve">开始累计，避免使用未定义的前一周期指令。</w:t>
      </w:r>
    </w:p>
    <w:p>
      <w:pPr>
        <w:pStyle w:val="BodyText"/>
        <w:spacing w:line="276" w:lineRule="auto" w:after="120"/>
        <w:ind w:firstLine="420"/>
        <w:jc w:val="both"/>
      </w:pPr>
      <w:r>
        <w:rPr>
          <w:rFonts w:hint="eastAsia" w:ascii="Times New Roman" w:hAnsi="Times New Roman" w:eastAsia="宋体"/>
          <w:sz w:val="21"/>
        </w:rPr>
        <w:t xml:space="preserve">为减少不同轨迹量级差异对训练的影响，令</w:t>
      </w:r>
      <w:r>
        <w:rPr>
          <w:rFonts w:ascii="Times New Roman" w:hAnsi="Times New Roman" w:eastAsia="宋体"/>
          <w:sz w:val="21"/>
        </w:rPr>
        <w:t xml:space="preserve"> </w:t>
      </w:r>
      <m:oMath>
        <m:r>
          <m:t>ϵ</m:t>
        </m:r>
        <m:r>
          <m:rPr>
            <m:sty m:val="p"/>
          </m:rPr>
          <m:t>&gt;</m:t>
        </m:r>
        <m:r>
          <m:t>0</m:t>
        </m:r>
      </m:oMath>
      <w:r>
        <w:rPr>
          <w:rFonts w:ascii="Times New Roman" w:hAnsi="Times New Roman" w:eastAsia="宋体"/>
          <w:sz w:val="21"/>
        </w:rPr>
        <w:t xml:space="preserve"> </w:t>
      </w:r>
      <w:r>
        <w:rPr>
          <w:rFonts w:hint="eastAsia" w:ascii="Times New Roman" w:hAnsi="Times New Roman" w:eastAsia="宋体"/>
          <w:sz w:val="21"/>
        </w:rPr>
        <w:t xml:space="preserve">为防止分母为零的小常数，</w:t>
      </w:r>
      <m:oMath>
        <m:r>
          <m:t>λ</m:t>
        </m:r>
        <m:r>
          <m:rPr>
            <m:sty m:val="p"/>
          </m:rPr>
          <m:t>≥</m:t>
        </m:r>
        <m:r>
          <m:t>0</m:t>
        </m:r>
      </m:oMath>
      <w:r>
        <w:rPr>
          <w:rFonts w:ascii="Times New Roman" w:hAnsi="Times New Roman" w:eastAsia="宋体"/>
          <w:sz w:val="21"/>
        </w:rPr>
        <w:t xml:space="preserve"> </w:t>
      </w:r>
      <w:r>
        <w:rPr>
          <w:rFonts w:hint="eastAsia" w:ascii="Times New Roman" w:hAnsi="Times New Roman" w:eastAsia="宋体"/>
          <w:sz w:val="21"/>
        </w:rPr>
        <w:t xml:space="preserve">为参数偏移正则权重，则批量目标函数为：</w:t>
      </w:r>
    </w:p>
    <w:p>
      <w:pPr>
        <w:pStyle w:val="BodyText"/>
        <w:spacing w:before="80" w:after="80"/>
        <w:ind w:firstLine="0"/>
        <w:jc w:val="center"/>
      </w:pPr>
      <m:oMathPara>
        <m:oMathParaPr>
          <m:jc m:val="center"/>
        </m:oMathParaPr>
        <m:oMath>
          <m:r>
            <m:t>J</m:t>
          </m:r>
          <m:r>
            <m:rPr>
              <m:sty m:val="p"/>
            </m:rPr>
            <m:t>(</m:t>
          </m:r>
          <m:r>
            <m:t>θ</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sSub>
                    <m:e>
                      <m:r>
                        <m:t>ℓ</m:t>
                      </m:r>
                    </m:e>
                    <m:sub>
                      <m:r>
                        <m:t>b</m:t>
                      </m:r>
                    </m:sub>
                  </m:sSub>
                  <m:r>
                    <m:rPr>
                      <m:sty m:val="p"/>
                    </m:rPr>
                    <m:t>(</m:t>
                  </m:r>
                  <m:r>
                    <m:t>θ</m:t>
                  </m:r>
                  <m:r>
                    <m:rPr>
                      <m:sty m:val="p"/>
                    </m:rPr>
                    <m:t>)</m:t>
                  </m:r>
                </m:num>
                <m:den>
                  <m:sSub>
                    <m:e>
                      <m:r>
                        <m:t>ℓ</m:t>
                      </m:r>
                    </m:e>
                    <m:sub>
                      <m:r>
                        <m:t>b</m:t>
                      </m:r>
                      <m:r>
                        <m:rPr>
                          <m:sty m:val="p"/>
                        </m:rPr>
                        <m:t>,</m:t>
                      </m:r>
                      <m:r>
                        <m:rPr>
                          <m:sty m:val="p"/>
                        </m:rPr>
                        <m:t>r</m:t>
                      </m:r>
                      <m:r>
                        <m:rPr>
                          <m:sty m:val="p"/>
                        </m:rPr>
                        <m:t>e</m:t>
                      </m:r>
                      <m:r>
                        <m:rPr>
                          <m:sty m:val="p"/>
                        </m:rPr>
                        <m:t>f</m:t>
                      </m:r>
                    </m:sub>
                  </m:sSub>
                  <m:r>
                    <m:rPr>
                      <m:sty m:val="p"/>
                    </m:rPr>
                    <m:t>+</m:t>
                  </m:r>
                  <m:r>
                    <m:t>ϵ</m:t>
                  </m:r>
                </m:den>
              </m:f>
            </m:e>
          </m:nary>
          <m:r>
            <m:rPr>
              <m:sty m:val="p"/>
            </m:rPr>
            <m:t>+</m:t>
          </m:r>
          <m:r>
            <m:t>λ</m:t>
          </m:r>
          <m:sSubSup>
            <m:e>
              <m:d>
                <m:dPr>
                  <m:begChr m:val="‖"/>
                  <m:sepChr m:val=""/>
                  <m:endChr m:val="‖"/>
                  <m:grow/>
                </m:dPr>
                <m:e>
                  <m:r>
                    <m:t>θ</m:t>
                  </m:r>
                  <m:r>
                    <m:rPr>
                      <m:sty m:val="p"/>
                    </m:rPr>
                    <m:t>−</m:t>
                  </m:r>
                  <m:sSub>
                    <m:e>
                      <m:r>
                        <m:t>θ</m:t>
                      </m:r>
                    </m:e>
                    <m:sub>
                      <m:r>
                        <m:t>0</m:t>
                      </m:r>
                    </m:sub>
                  </m:sSub>
                </m:e>
              </m:d>
            </m:e>
            <m:sub>
              <m:r>
                <m:t>2</m:t>
              </m:r>
            </m:sub>
            <m:sup>
              <m:r>
                <m:t>2</m:t>
              </m:r>
            </m:sup>
          </m:sSubSup>
          <m:r>
            <m:t>  </m:t>
          </m:r>
          <m:r>
            <m:rPr>
              <m:sty m:val="p"/>
            </m:rPr>
            <m:t>(</m:t>
          </m:r>
          <m:r>
            <m:rPr>
              <m:sty m:val="p"/>
            </m:rPr>
            <m:t>6</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第</w:t>
      </w:r>
      <w:r>
        <w:rPr>
          <w:rFonts w:ascii="Times New Roman" w:hAnsi="Times New Roman" w:eastAsia="宋体"/>
          <w:sz w:val="21"/>
        </w:rPr>
        <w:t xml:space="preserve"> </w:t>
      </w:r>
      <m:oMath>
        <m:r>
          <m:t>k</m:t>
        </m:r>
      </m:oMath>
      <w:r>
        <w:rPr>
          <w:rFonts w:ascii="Times New Roman" w:hAnsi="Times New Roman" w:eastAsia="宋体"/>
          <w:sz w:val="21"/>
        </w:rPr>
        <w:t xml:space="preserve"> </w:t>
      </w:r>
      <w:r>
        <w:rPr>
          <w:rFonts w:hint="eastAsia" w:ascii="Times New Roman" w:hAnsi="Times New Roman" w:eastAsia="宋体"/>
          <w:sz w:val="21"/>
        </w:rPr>
        <w:t xml:space="preserve">次更新先依据梯度得到候选参数，再执行物理边界投影：</w:t>
      </w:r>
    </w:p>
    <w:p>
      <w:pPr>
        <w:pStyle w:val="BodyText"/>
        <w:spacing w:before="80" w:after="80"/>
        <w:ind w:firstLine="0"/>
        <w:jc w:val="center"/>
      </w:pPr>
      <m:oMathPara>
        <m:oMathParaPr>
          <m:jc m:val="center"/>
        </m:oMathParaPr>
        <m:oMath>
          <m:sSup>
            <m:e>
              <m:acc>
                <m:accPr>
                  <m:chr m:val="̃"/>
                </m:accPr>
                <m:e>
                  <m:r>
                    <m:t>θ</m:t>
                  </m:r>
                </m:e>
              </m:acc>
            </m:e>
            <m:sup>
              <m:r>
                <m:t>k</m:t>
              </m:r>
              <m:r>
                <m:rPr>
                  <m:sty m:val="p"/>
                </m:rPr>
                <m:t>+</m:t>
              </m:r>
              <m:r>
                <m:t>1</m:t>
              </m:r>
            </m:sup>
          </m:sSup>
          <m:r>
            <m:rPr>
              <m:sty m:val="p"/>
            </m:rPr>
            <m:t>=</m:t>
          </m:r>
          <m:sSup>
            <m:e>
              <m:r>
                <m:t>θ</m:t>
              </m:r>
            </m:e>
            <m:sup>
              <m:r>
                <m:t>k</m:t>
              </m:r>
            </m:sup>
          </m:sSup>
          <m:r>
            <m:rPr>
              <m:sty m:val="p"/>
            </m:rPr>
            <m:t>−</m:t>
          </m:r>
          <m:sSub>
            <m:e>
              <m:r>
                <m:t>η</m:t>
              </m:r>
            </m:e>
            <m:sub>
              <m:r>
                <m:t>k</m:t>
              </m:r>
            </m:sub>
          </m:sSub>
          <m:acc>
            <m:accPr>
              <m:chr m:val="̂"/>
            </m:accPr>
            <m:e>
              <m:sSub>
                <m:e>
                  <m:r>
                    <m:rPr>
                      <m:sty m:val="p"/>
                    </m:rPr>
                    <m:t>∇</m:t>
                  </m:r>
                </m:e>
                <m:sub>
                  <m:r>
                    <m:t>θ</m:t>
                  </m:r>
                </m:sub>
              </m:sSub>
              <m:r>
                <m:t>J</m:t>
              </m:r>
              <m:r>
                <m:rPr>
                  <m:sty m:val="p"/>
                </m:rPr>
                <m:t>(</m:t>
              </m:r>
              <m:sSup>
                <m:e>
                  <m:r>
                    <m:t>θ</m:t>
                  </m:r>
                </m:e>
                <m:sup>
                  <m:r>
                    <m:t>k</m:t>
                  </m:r>
                </m:sup>
              </m:sSup>
              <m:r>
                <m:rPr>
                  <m:sty m:val="p"/>
                </m:rPr>
                <m:t>)</m:t>
              </m:r>
            </m:e>
          </m:acc>
          <m:r>
            <m:rPr>
              <m:sty m:val="p"/>
            </m:rPr>
            <m:t>,</m:t>
          </m:r>
          <m:r>
            <m:t> </m:t>
          </m:r>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acc>
                    <m:accPr>
                      <m:chr m:val="̃"/>
                    </m:accPr>
                    <m:e>
                      <m:r>
                        <m:t>θ</m:t>
                      </m:r>
                    </m:e>
                  </m:acc>
                </m:e>
                <m:sup>
                  <m:r>
                    <m:t>k</m:t>
                  </m:r>
                  <m:r>
                    <m:rPr>
                      <m:sty m:val="p"/>
                    </m:rPr>
                    <m:t>+</m:t>
                  </m:r>
                  <m:r>
                    <m:t>1</m:t>
                  </m:r>
                </m:sup>
              </m:sSup>
            </m:e>
          </m:d>
          <m:r>
            <m:t>  </m:t>
          </m:r>
          <m:r>
            <m:rPr>
              <m:sty m:val="p"/>
            </m:rPr>
            <m:t>(</m:t>
          </m:r>
          <m:r>
            <m:rPr>
              <m:sty m:val="p"/>
            </m:rPr>
            <m:t>7</m:t>
          </m:r>
          <m:r>
            <m:rPr>
              <m:sty m:val="p"/>
            </m:rPr>
            <m:t>)</m:t>
          </m:r>
        </m:oMath>
      </m:oMathPara>
    </w:p>
    <w:p>
      <w:pPr>
        <w:pStyle w:val="FirstParagraph"/>
        <w:spacing w:line="276" w:lineRule="auto" w:after="120"/>
        <w:ind w:firstLine="420"/>
        <w:jc w:val="both"/>
      </w:pPr>
      <w:r>
        <w:rPr>
          <w:rFonts w:hint="eastAsia" w:ascii="Times New Roman" w:hAnsi="Times New Roman" w:eastAsia="宋体"/>
          <w:sz w:val="21"/>
        </w:rPr>
        <w:t xml:space="preserve">其中，</w:t>
      </w:r>
      <m:oMath>
        <m:acc>
          <m:accPr>
            <m:chr m:val="̂"/>
          </m:accPr>
          <m:e>
            <m:sSub>
              <m:e>
                <m:r>
                  <m:rPr>
                    <m:sty m:val="p"/>
                  </m:rPr>
                  <m:t>∇</m:t>
                </m:r>
              </m:e>
              <m:sub>
                <m:r>
                  <m:t>θ</m:t>
                </m:r>
              </m:sub>
            </m:sSub>
            <m:r>
              <m:t>J</m:t>
            </m:r>
          </m:e>
        </m:acc>
      </m:oMath>
      <w:r>
        <w:rPr>
          <w:rFonts w:ascii="Times New Roman" w:hAnsi="Times New Roman" w:eastAsia="宋体"/>
          <w:sz w:val="21"/>
        </w:rPr>
        <w:t xml:space="preserve"> </w:t>
      </w:r>
      <w:r>
        <w:rPr>
          <w:rFonts w:hint="eastAsia" w:ascii="Times New Roman" w:hAnsi="Times New Roman" w:eastAsia="宋体"/>
          <w:sz w:val="21"/>
        </w:rPr>
        <w:t xml:space="preserve">表示可经过预设范数裁剪的梯度。参数投影至少保证横向时间类参数和</w:t>
      </w:r>
      <w:r>
        <w:rPr>
          <w:rFonts w:ascii="Times New Roman" w:hAnsi="Times New Roman" w:eastAsia="宋体"/>
          <w:sz w:val="21"/>
        </w:rPr>
        <w:t xml:space="preserve"> PID </w:t>
      </w:r>
      <w:r>
        <w:rPr>
          <w:rFonts w:hint="eastAsia" w:ascii="Times New Roman" w:hAnsi="Times New Roman" w:eastAsia="宋体"/>
          <w:sz w:val="21"/>
        </w:rPr>
        <w:t xml:space="preserve">增益非负，并把速度切换阈值等参数限制在工程范围内。</w:t>
      </w:r>
    </w:p>
    <w:p>
      <w:pPr>
        <w:pStyle w:val="BodyText"/>
        <w:spacing w:line="276" w:lineRule="auto" w:after="120"/>
        <w:ind w:firstLine="420"/>
        <w:jc w:val="both"/>
      </w:pPr>
      <w:r>
        <w:rPr>
          <w:rFonts w:hint="eastAsia" w:ascii="Times New Roman" w:hAnsi="Times New Roman" w:eastAsia="宋体"/>
          <w:sz w:val="21"/>
        </w:rPr>
        <w:t xml:space="preserve">训练完成后，以候选参数</w:t>
      </w:r>
      <w:r>
        <w:rPr>
          <w:rFonts w:ascii="Times New Roman" w:hAnsi="Times New Roman" w:eastAsia="宋体"/>
          <w:sz w:val="21"/>
        </w:rPr>
        <w:t xml:space="preserve"> </w:t>
      </w:r>
      <m:oMath>
        <m:sSup>
          <m:e>
            <m:r>
              <m:t>θ</m:t>
            </m:r>
          </m:e>
          <m:sup>
            <m:r>
              <m:rPr>
                <m:sty m:val="p"/>
              </m:rPr>
              <m:t>*</m:t>
            </m:r>
          </m:sup>
        </m:sSup>
      </m:oMath>
      <w:r>
        <w:rPr>
          <w:rFonts w:ascii="Times New Roman" w:hAnsi="Times New Roman" w:eastAsia="宋体"/>
          <w:sz w:val="21"/>
        </w:rPr>
        <w:t xml:space="preserve"> </w:t>
      </w:r>
      <w:r>
        <w:rPr>
          <w:rFonts w:hint="eastAsia" w:ascii="Times New Roman" w:hAnsi="Times New Roman" w:eastAsia="宋体"/>
          <w:sz w:val="21"/>
        </w:rPr>
        <w:t xml:space="preserve">运行</w:t>
      </w:r>
      <w:r>
        <w:rPr>
          <w:rFonts w:ascii="Times New Roman" w:hAnsi="Times New Roman" w:eastAsia="宋体"/>
          <w:sz w:val="21"/>
        </w:rPr>
        <w:t xml:space="preserve"> </w:t>
      </w:r>
      <m:oMath>
        <m:sSub>
          <m:e>
            <m:r>
              <m:t>g</m:t>
            </m:r>
          </m:e>
          <m:sub>
            <m:r>
              <m:rPr>
                <m:sty m:val="p"/>
              </m:rPr>
              <m:t>h</m:t>
            </m:r>
            <m:r>
              <m:rPr>
                <m:sty m:val="p"/>
              </m:rPr>
              <m:t>a</m:t>
            </m:r>
            <m:r>
              <m:rPr>
                <m:sty m:val="p"/>
              </m:rPr>
              <m:t>r</m:t>
            </m:r>
            <m:r>
              <m:rPr>
                <m:sty m:val="p"/>
              </m:rPr>
              <m:t>d</m:t>
            </m:r>
          </m:sub>
        </m:sSub>
        <m:r>
          <m:rPr>
            <m:sty m:val="p"/>
          </m:rPr>
          <m:t>(</m:t>
        </m:r>
        <m:r>
          <m:rPr>
            <m:sty m:val="p"/>
          </m:rPr>
          <m:t>⋅</m:t>
        </m:r>
        <m:r>
          <m:rPr>
            <m:sty m:val="p"/>
          </m:rPr>
          <m:t>)</m:t>
        </m:r>
      </m:oMath>
      <w:r>
        <w:rPr>
          <w:rFonts w:hint="eastAsia" w:ascii="Times New Roman" w:hAnsi="Times New Roman" w:eastAsia="宋体"/>
          <w:sz w:val="21"/>
        </w:rPr>
        <w:t xml:space="preserve">。验证路径使用相同参数、相同单位和相同配置映射，但恢复原始硬分支、硬限幅和硬速率限制。只有在全量验证结果满足预设阈值时，</w:t>
      </w:r>
      <m:oMath>
        <m:sSup>
          <m:e>
            <m:r>
              <m:t>θ</m:t>
            </m:r>
          </m:e>
          <m:sup>
            <m:r>
              <m:rPr>
                <m:sty m:val="p"/>
              </m:rPr>
              <m:t>*</m:t>
            </m:r>
          </m:sup>
        </m:sSup>
      </m:oMath>
      <w:r>
        <w:rPr>
          <w:rFonts w:ascii="Times New Roman" w:hAnsi="Times New Roman" w:eastAsia="宋体"/>
          <w:sz w:val="21"/>
        </w:rPr>
        <w:t xml:space="preserve"> </w:t>
      </w:r>
      <w:r>
        <w:rPr>
          <w:rFonts w:hint="eastAsia" w:ascii="Times New Roman" w:hAnsi="Times New Roman" w:eastAsia="宋体"/>
          <w:sz w:val="21"/>
        </w:rPr>
        <w:t xml:space="preserve">才被写入部署配置。</w:t>
      </w:r>
    </w:p>
    <w:bookmarkEnd w:id="43"/>
    <w:bookmarkEnd w:id="44"/>
    <w:bookmarkEnd w:id="45"/>
    <w:bookmarkStart w:id="46" w:name="关键技术参数"/>
    <w:p>
      <w:pPr>
        <w:pStyle w:val="Heading3"/>
        <w:ind w:firstLine="0"/>
        <w:jc w:val="left"/>
      </w:pPr>
      <w:r>
        <w:rPr>
          <w:rFonts w:ascii="Times New Roman" w:hAnsi="Times New Roman" w:eastAsia="黑体"/>
          <w:b/>
          <w:i w:val="0"/>
          <w:sz w:val="24"/>
        </w:rPr>
        <w:t xml:space="preserve">3.5 </w:t>
      </w:r>
      <w:r>
        <w:rPr>
          <w:rFonts w:hint="eastAsia" w:ascii="Times New Roman" w:hAnsi="Times New Roman" w:eastAsia="黑体"/>
          <w:b/>
          <w:i w:val="0"/>
          <w:sz w:val="24"/>
        </w:rPr>
        <w:t xml:space="preserve">关键技术参数</w:t>
      </w:r>
    </w:p>
    <w:p>
      <w:pPr>
        <w:pStyle w:val="FirstParagraph"/>
        <w:spacing w:line="276" w:lineRule="auto" w:after="120"/>
        <w:ind w:firstLine="420"/>
        <w:jc w:val="both"/>
      </w:pPr>
      <w:r>
        <w:rPr>
          <w:rFonts w:hint="eastAsia" w:ascii="Times New Roman" w:hAnsi="Times New Roman" w:eastAsia="宋体"/>
          <w:sz w:val="21"/>
        </w:rPr>
        <w:t xml:space="preserve">下表中的具体数值为一个实施例，用于说明可实施性，不作为权利要求限制。</w:t>
      </w:r>
    </w:p>
    <w:tbl>
      <w:tblPr>
        <w:tblStyle w:val="Table"/>
        <w:tblW w:type="pct" w:w="5000"/>
        <w:jc w:val="center"/>
        <w:tblLayout w:type="autofit"/>
        <w:tblLook w:firstRow="1" w:lastRow="0" w:firstColumn="0" w:lastColumn="0" w:noHBand="0" w:noVBand="0" w:val="0020"/>
        <w:tblBorders>
          <w:top w:val="single" w:sz="12" w:color="000000" w:space="0"/>
          <w:left w:val="nil"/>
          <w:bottom w:val="single" w:sz="12" w:color="000000" w:space="0"/>
          <w:right w:val="nil"/>
          <w:insideH w:val="nil"/>
          <w:insideV w:val="nil"/>
        </w:tblBorders>
      </w:tblPr>
      <w:tblGrid>
        <w:gridCol w:w="1980"/>
        <w:gridCol w:w="1980"/>
        <w:gridCol w:w="1980"/>
        <w:gridCol w:w="1980"/>
      </w:tblGrid>
      <w:tr>
        <w:trPr>
          <w:tblHeader w:val="on"/>
          <w:tblHeader w:val="true"/>
          <w:cantSplit/>
        </w:trPr>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符号或参数组</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参数内容</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实施例约束或取值</w:t>
            </w:r>
          </w:p>
        </w:tc>
        <w:tc>
          <w:tcPr>
            <w:vAlign w:val="center"/>
            <w:tcMar>
              <w:top w:w="55" w:type="dxa"/>
              <w:start w:w="70" w:type="dxa"/>
              <w:bottom w:w="55" w:type="dxa"/>
              <w:end w:w="70" w:type="dxa"/>
            </w:tcMar>
            <w:tcBorders>
              <w:bottom w:val="single" w:sz="8" w:color="000000" w:space="0"/>
            </w:tcBorders>
          </w:tcPr>
          <w:p>
            <w:pPr>
              <w:pStyle w:val="Compact"/>
              <w:spacing w:before="0" w:after="60" w:line="264" w:lineRule="auto"/>
              <w:ind w:firstLine="0"/>
              <w:jc w:val="center"/>
            </w:pPr>
            <w:r>
              <w:rPr>
                <w:rFonts w:hint="eastAsia" w:ascii="Times New Roman" w:hAnsi="Times New Roman" w:eastAsia="宋体"/>
                <w:b/>
                <w:sz w:val="19"/>
              </w:rPr>
              <w:t xml:space="preserve">作用</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rPr>
                  <m:sty m:val="p"/>
                </m:rPr>
                <m:t>Δ</m:t>
              </m:r>
              <m:r>
                <m:t>t</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控制周期</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0.02 </w:t>
            </w:r>
            <w:r>
              <w:rPr>
                <w:rFonts w:hint="eastAsia" w:ascii="Times New Roman" w:hAnsi="Times New Roman" w:eastAsia="宋体"/>
                <w:sz w:val="19"/>
              </w:rPr>
              <w:t xml:space="preserve">s，即</w:t>
            </w:r>
            <w:r>
              <w:rPr>
                <w:rFonts w:ascii="Times New Roman" w:hAnsi="Times New Roman" w:eastAsia="宋体"/>
                <w:sz w:val="19"/>
              </w:rPr>
              <w:t xml:space="preserve"> 50 Hz</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决定闭环离散时间步长</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θ</m:t>
                  </m:r>
                </m:e>
                <m:sub>
                  <m:r>
                    <m:rPr>
                      <m:sty m:val="p"/>
                    </m:rPr>
                    <m:t>l</m:t>
                  </m:r>
                  <m:r>
                    <m:rPr>
                      <m:sty m:val="p"/>
                    </m:rPr>
                    <m:t>a</m:t>
                  </m:r>
                  <m:r>
                    <m:rPr>
                      <m:sty m:val="p"/>
                    </m:rPr>
                    <m:t>t</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横向预瞄、收敛、角速度误差预瞄及远预瞄查表节点</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时间类节点非负；速度断点固定</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调节横向跟踪与转向平滑性</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θ</m:t>
                  </m:r>
                </m:e>
                <m:sub>
                  <m:r>
                    <m:rPr>
                      <m:sty m:val="p"/>
                    </m:rPr>
                    <m:t>l</m:t>
                  </m:r>
                  <m:r>
                    <m:rPr>
                      <m:sty m:val="p"/>
                    </m:rPr>
                    <m:t>o</m:t>
                  </m:r>
                  <m:r>
                    <m:rPr>
                      <m:sty m:val="p"/>
                    </m:rPr>
                    <m:t>n</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位置环、低速速度环、高速速度环增益及切换速度</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增益非负；切换速度</w:t>
            </w:r>
            <w:r>
              <w:rPr>
                <w:rFonts w:ascii="Times New Roman" w:hAnsi="Times New Roman" w:eastAsia="宋体"/>
                <w:sz w:val="19"/>
              </w:rPr>
              <w:t xml:space="preserve"> 0.5–10 m/s</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调节速度跟踪和加减速响应</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B</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同步闭环场景数</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基础训练为</w:t>
            </w:r>
            <w:r>
              <w:rPr>
                <w:rFonts w:ascii="Times New Roman" w:hAnsi="Times New Roman" w:eastAsia="宋体"/>
                <w:sz w:val="19"/>
              </w:rPr>
              <w:t xml:space="preserve"> </w:t>
            </w:r>
            <w:r>
              <w:rPr>
                <w:rFonts w:hint="eastAsia" w:ascii="Times New Roman" w:hAnsi="Times New Roman" w:eastAsia="宋体"/>
                <w:sz w:val="19"/>
              </w:rPr>
              <w:t xml:space="preserve">48；四组车辆参数域时为</w:t>
            </w:r>
            <w:r>
              <w:rPr>
                <w:rFonts w:ascii="Times New Roman" w:hAnsi="Times New Roman" w:eastAsia="宋体"/>
                <w:sz w:val="19"/>
              </w:rPr>
              <w:t xml:space="preserve"> 192</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批量覆盖多轨迹、多速度和车辆域</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K</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窗口式反向传播长度</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150 </w:t>
            </w:r>
            <w:r>
              <w:rPr>
                <w:rFonts w:hint="eastAsia" w:ascii="Times New Roman" w:hAnsi="Times New Roman" w:eastAsia="宋体"/>
                <w:sz w:val="19"/>
              </w:rPr>
              <w:t xml:space="preserve">步，即</w:t>
            </w:r>
            <w:r>
              <w:rPr>
                <w:rFonts w:ascii="Times New Roman" w:hAnsi="Times New Roman" w:eastAsia="宋体"/>
                <w:sz w:val="19"/>
              </w:rPr>
              <w:t xml:space="preserve"> 3 s</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控制计算图长度和梯度稳定性</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跟踪误差权重</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10、8、3</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平衡横向、航向和速度目标</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w</m:t>
                  </m:r>
                </m:e>
                <m:sub>
                  <m:r>
                    <m:rPr>
                      <m:sty m:val="p"/>
                    </m:rPr>
                    <m:t>Δ</m:t>
                  </m:r>
                  <m:r>
                    <m:t>δ</m:t>
                  </m:r>
                </m:sub>
              </m:sSub>
              <m:r>
                <m:rPr>
                  <m:sty m:val="p"/>
                </m:rPr>
                <m:t>,</m:t>
              </m:r>
              <m:sSub>
                <m:e>
                  <m:r>
                    <m:t>w</m:t>
                  </m:r>
                </m:e>
                <m:sub>
                  <m:r>
                    <m:rPr>
                      <m:sty m:val="p"/>
                    </m:rPr>
                    <m:t>Δ</m:t>
                  </m:r>
                  <m:r>
                    <m:t>q</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控制平滑权重</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0.05、0.01</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抑制转向和纵向指令突变</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λ</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参数偏移正则权重</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0.01</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避免参数过度偏离初始标定</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梯度裁剪阈值</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梯度范数上限</w:t>
            </w:r>
          </w:p>
        </w:tc>
        <w:tc>
          <w:tcPr>
            <w:vAlign w:val="center"/>
            <w:tcMar>
              <w:top w:w="55" w:type="dxa"/>
              <w:start w:w="70" w:type="dxa"/>
              <w:bottom w:w="55" w:type="dxa"/>
              <w:end w:w="70" w:type="dxa"/>
            </w:tcMar>
          </w:tcPr>
          <w:p>
            <w:pPr>
              <w:pStyle w:val="Compact"/>
              <w:spacing w:before="0" w:after="60" w:line="264" w:lineRule="auto"/>
              <w:ind w:firstLine="0"/>
              <w:jc w:val="left"/>
            </w:pPr>
            <w:r>
              <w:rPr>
                <w:rFonts w:ascii="Times New Roman" w:hAnsi="Times New Roman" w:eastAsia="宋体"/>
                <w:sz w:val="19"/>
              </w:rPr>
              <w:t xml:space="preserve">10</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防止极端场景产生不稳定更新</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sSub>
                <m:e>
                  <m:r>
                    <m:t>ϕ</m:t>
                  </m:r>
                </m:e>
                <m:sub>
                  <m:r>
                    <m:t>b</m:t>
                  </m:r>
                </m:sub>
              </m:sSub>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车辆参数域</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质量为名义值的</w:t>
            </w:r>
            <w:r>
              <w:rPr>
                <w:rFonts w:ascii="Times New Roman" w:hAnsi="Times New Roman" w:eastAsia="宋体"/>
                <w:sz w:val="19"/>
              </w:rPr>
              <w:t xml:space="preserve"> </w:t>
            </w:r>
            <w:r>
              <w:rPr>
                <w:rFonts w:hint="eastAsia" w:ascii="Times New Roman" w:hAnsi="Times New Roman" w:eastAsia="宋体"/>
                <w:sz w:val="19"/>
              </w:rPr>
              <w:t xml:space="preserve">±10%；前后轴侧偏刚度为</w:t>
            </w:r>
            <w:r>
              <w:rPr>
                <w:rFonts w:ascii="Times New Roman" w:hAnsi="Times New Roman" w:eastAsia="宋体"/>
                <w:sz w:val="19"/>
              </w:rPr>
              <w:t xml:space="preserve"> ±20%</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提高对车辆差异的鲁棒性</w:t>
            </w:r>
          </w:p>
        </w:tc>
      </w:tr>
      <w:tr>
        <w:trPr>
          <w:cantSplit/>
        </w:trPr>
        <w:tc>
          <w:tcPr>
            <w:vAlign w:val="center"/>
            <w:tcMar>
              <w:top w:w="55" w:type="dxa"/>
              <w:start w:w="70" w:type="dxa"/>
              <w:bottom w:w="55" w:type="dxa"/>
              <w:end w:w="70" w:type="dxa"/>
            </w:tcMar>
          </w:tcPr>
          <w:p>
            <w:pPr>
              <w:pStyle w:val="Compact"/>
              <w:spacing w:before="0" w:after="60" w:line="264" w:lineRule="auto"/>
              <w:ind w:firstLine="0"/>
              <w:jc w:val="left"/>
            </w:pPr>
            <m:oMath>
              <m:r>
                <m:t>ψ</m:t>
              </m:r>
            </m:oMath>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可选残差模型权重</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在控制器整定阶段固定</w:t>
            </w:r>
          </w:p>
        </w:tc>
        <w:tc>
          <w:tcPr>
            <w:vAlign w:val="center"/>
            <w:tcMar>
              <w:top w:w="55" w:type="dxa"/>
              <w:start w:w="70" w:type="dxa"/>
              <w:bottom w:w="55" w:type="dxa"/>
              <w:end w:w="70" w:type="dxa"/>
            </w:tcMar>
          </w:tcPr>
          <w:p>
            <w:pPr>
              <w:pStyle w:val="Compact"/>
              <w:spacing w:before="0" w:after="60" w:line="264" w:lineRule="auto"/>
              <w:ind w:firstLine="0"/>
              <w:jc w:val="left"/>
            </w:pPr>
            <w:r>
              <w:rPr>
                <w:rFonts w:hint="eastAsia" w:ascii="Times New Roman" w:hAnsi="Times New Roman" w:eastAsia="宋体"/>
                <w:sz w:val="19"/>
              </w:rPr>
              <w:t xml:space="preserve">只修正被控对象，不与控制器参数联合训练</w:t>
            </w:r>
          </w:p>
        </w:tc>
      </w:tr>
    </w:tbl>
    <w:bookmarkEnd w:id="46"/>
    <w:bookmarkEnd w:id="47"/>
    <w:bookmarkStart w:id="48" w:name="四与现有技术相比的有益效果"/>
    <w:p>
      <w:pPr>
        <w:pStyle w:val="Heading2"/>
        <w:ind w:firstLine="0"/>
        <w:jc w:val="left"/>
      </w:pPr>
      <w:r>
        <w:rPr>
          <w:rFonts w:hint="eastAsia" w:ascii="Times New Roman" w:hAnsi="Times New Roman" w:eastAsia="黑体"/>
          <w:b/>
          <w:i w:val="0"/>
          <w:sz w:val="28"/>
        </w:rPr>
        <w:t xml:space="preserve">四、与现有技术相比的有益效果</w:t>
      </w:r>
    </w:p>
    <w:p>
      <w:pPr>
        <w:numPr>
          <w:ilvl w:val="0"/>
          <w:numId w:val="1004"/>
        </w:numPr>
        <w:spacing w:after="60" w:line="276" w:lineRule="auto"/>
      </w:pPr>
      <w:r>
        <w:rPr>
          <w:rFonts w:hint="eastAsia" w:ascii="Times New Roman" w:hAnsi="Times New Roman" w:eastAsia="宋体"/>
          <w:sz w:val="21"/>
        </w:rPr>
        <w:t xml:space="preserve">本发明直接整定已有车辆横向和纵向工程控制器内部的标定参数，输出仍可回写原配置，不需要把工程控制器替换为端到端网络。</w:t>
      </w:r>
    </w:p>
    <w:p>
      <w:pPr>
        <w:numPr>
          <w:ilvl w:val="0"/>
          <w:numId w:val="1004"/>
        </w:numPr>
        <w:spacing w:after="60" w:line="276" w:lineRule="auto"/>
      </w:pPr>
      <w:r>
        <w:rPr>
          <w:rFonts w:hint="eastAsia" w:ascii="Times New Roman" w:hAnsi="Times New Roman" w:eastAsia="宋体"/>
          <w:sz w:val="21"/>
        </w:rPr>
        <w:t xml:space="preserve">训练路径与验证路径共享参数，训练阶段能够获得梯度，部署前又能恢复原始硬逻辑，兼顾可优化性和工程一致性。</w:t>
      </w:r>
    </w:p>
    <w:p>
      <w:pPr>
        <w:numPr>
          <w:ilvl w:val="0"/>
          <w:numId w:val="1004"/>
        </w:numPr>
        <w:spacing w:after="60" w:line="276" w:lineRule="auto"/>
      </w:pPr>
      <w:r>
        <w:rPr>
          <w:rFonts w:hint="eastAsia" w:ascii="Times New Roman" w:hAnsi="Times New Roman" w:eastAsia="宋体"/>
          <w:sz w:val="21"/>
        </w:rPr>
        <w:t xml:space="preserve">横向控制、纵向控制和车辆动力学按真实控制周期串联，使若干周期后的轨迹误差能够反向影响预瞄表节点、位置环和速度环参数。</w:t>
      </w:r>
    </w:p>
    <w:p>
      <w:pPr>
        <w:numPr>
          <w:ilvl w:val="0"/>
          <w:numId w:val="1004"/>
        </w:numPr>
        <w:spacing w:after="60" w:line="276" w:lineRule="auto"/>
      </w:pPr>
      <w:r>
        <w:rPr>
          <w:rFonts w:hint="eastAsia" w:ascii="Times New Roman" w:hAnsi="Times New Roman" w:eastAsia="宋体"/>
          <w:sz w:val="21"/>
        </w:rPr>
        <w:t xml:space="preserve">逐场景归一化和批量多域训练降低了长轨迹、高误差轨迹或单一车辆参数支配更新的风险。</w:t>
      </w:r>
    </w:p>
    <w:p>
      <w:pPr>
        <w:numPr>
          <w:ilvl w:val="0"/>
          <w:numId w:val="1004"/>
        </w:numPr>
        <w:spacing w:after="60" w:line="276" w:lineRule="auto"/>
      </w:pPr>
      <w:r>
        <w:rPr>
          <w:rFonts w:hint="eastAsia" w:ascii="Times New Roman" w:hAnsi="Times New Roman" w:eastAsia="宋体"/>
          <w:sz w:val="21"/>
        </w:rPr>
        <w:t xml:space="preserve">参数投影、梯度裁剪和硬逻辑验收门槛共同限制自动更新结果，减少参数越过物理或安全边界的可能性。</w:t>
      </w:r>
    </w:p>
    <w:p>
      <w:pPr>
        <w:numPr>
          <w:ilvl w:val="0"/>
          <w:numId w:val="1004"/>
        </w:numPr>
        <w:spacing w:after="60" w:line="276" w:lineRule="auto"/>
      </w:pPr>
      <w:r>
        <w:rPr>
          <w:rFonts w:hint="eastAsia" w:ascii="Times New Roman" w:hAnsi="Times New Roman" w:eastAsia="宋体"/>
          <w:sz w:val="21"/>
        </w:rPr>
        <w:t xml:space="preserve">参数登记表保留原名称、形状、单位、边界和回写位置，使整定过程、验证结果和配置导出具有可追溯性。</w:t>
      </w:r>
    </w:p>
    <w:p>
      <w:pPr>
        <w:numPr>
          <w:ilvl w:val="0"/>
          <w:numId w:val="1004"/>
        </w:numPr>
        <w:spacing w:after="60" w:line="276" w:lineRule="auto"/>
      </w:pPr>
      <w:r>
        <w:rPr>
          <w:rFonts w:hint="eastAsia" w:ascii="Times New Roman" w:hAnsi="Times New Roman" w:eastAsia="宋体"/>
          <w:sz w:val="21"/>
        </w:rPr>
        <w:t xml:space="preserve">可选的机理模型加冻结残差模型方式在不改变核心优化对象的前提下提高车辆响应逼真度；可选诊断流程能够区分控制器不足和残差模型失效。</w:t>
      </w:r>
    </w:p>
    <w:bookmarkEnd w:id="48"/>
    <w:bookmarkStart w:id="52" w:name="五本发明的技术关键点和保护点"/>
    <w:p>
      <w:pPr>
        <w:pStyle w:val="Heading2"/>
        <w:ind w:firstLine="0"/>
        <w:jc w:val="left"/>
      </w:pPr>
      <w:r>
        <w:rPr>
          <w:rFonts w:hint="eastAsia" w:ascii="Times New Roman" w:hAnsi="Times New Roman" w:eastAsia="黑体"/>
          <w:b/>
          <w:i w:val="0"/>
          <w:sz w:val="28"/>
        </w:rPr>
        <w:t xml:space="preserve">五、本发明的技术关键点和保护点</w:t>
      </w:r>
    </w:p>
    <w:bookmarkStart w:id="49" w:name="建议独立权利要求的核心主线"/>
    <w:p>
      <w:pPr>
        <w:pStyle w:val="Heading3"/>
        <w:ind w:firstLine="0"/>
        <w:jc w:val="left"/>
      </w:pPr>
      <w:r>
        <w:rPr>
          <w:rFonts w:ascii="Times New Roman" w:hAnsi="Times New Roman" w:eastAsia="黑体"/>
          <w:b/>
          <w:i w:val="0"/>
          <w:sz w:val="24"/>
        </w:rPr>
        <w:t xml:space="preserve">5.1 </w:t>
      </w:r>
      <w:r>
        <w:rPr>
          <w:rFonts w:hint="eastAsia" w:ascii="Times New Roman" w:hAnsi="Times New Roman" w:eastAsia="黑体"/>
          <w:b/>
          <w:i w:val="0"/>
          <w:sz w:val="24"/>
        </w:rPr>
        <w:t xml:space="preserve">建议独立权利要求的核心主线</w:t>
      </w:r>
    </w:p>
    <w:p>
      <w:pPr>
        <w:numPr>
          <w:ilvl w:val="0"/>
          <w:numId w:val="1005"/>
        </w:numPr>
        <w:spacing w:after="60" w:line="276" w:lineRule="auto"/>
      </w:pPr>
      <w:r>
        <w:rPr>
          <w:rFonts w:hint="eastAsia" w:ascii="Times New Roman" w:hAnsi="Times New Roman" w:eastAsia="宋体"/>
          <w:sz w:val="21"/>
        </w:rPr>
        <w:t xml:space="preserve">一种车辆横纵向控制器参数自动整定方法，包括：取得工程控制器的待整定参数及参数边界；构建共享所述待整定参数的训练路径和验证路径；在多个轨迹场景中按控制周期串联横向控制、纵向控制和车辆动力学状态更新；根据闭环状态计算归一化综合损失；沿时间链路获得参数梯度并执行参数更新和边界投影；将候选参数送入保留原始硬逻辑的验证路径复验；在满足验收条件后按原配置映射导出参数。</w:t>
      </w:r>
    </w:p>
    <w:p>
      <w:pPr>
        <w:numPr>
          <w:ilvl w:val="0"/>
          <w:numId w:val="1005"/>
        </w:numPr>
        <w:spacing w:after="60" w:line="276" w:lineRule="auto"/>
      </w:pPr>
      <w:r>
        <w:rPr>
          <w:rFonts w:hint="eastAsia" w:ascii="Times New Roman" w:hAnsi="Times New Roman" w:eastAsia="宋体"/>
          <w:sz w:val="21"/>
        </w:rPr>
        <w:t xml:space="preserve">上述独立主线中的“双路径共享参数、可微闭环更新、物理边界投影、原始硬逻辑复验和配置回写”建议作为相互配合的核心技术特征。独立权利要求不宜把</w:t>
      </w:r>
      <w:r>
        <w:rPr>
          <w:rFonts w:ascii="Times New Roman" w:hAnsi="Times New Roman" w:eastAsia="宋体"/>
          <w:sz w:val="21"/>
        </w:rPr>
        <w:t xml:space="preserve"> MLP </w:t>
      </w:r>
      <w:r>
        <w:rPr>
          <w:rFonts w:hint="eastAsia" w:ascii="Times New Roman" w:hAnsi="Times New Roman" w:eastAsia="宋体"/>
          <w:sz w:val="21"/>
        </w:rPr>
        <w:t xml:space="preserve">残差模型、特定车辆类型、特定轨迹数量或具体损失权重写成必要限定。</w:t>
      </w:r>
    </w:p>
    <w:bookmarkEnd w:id="49"/>
    <w:bookmarkStart w:id="50" w:name="建议从属保护层级"/>
    <w:p>
      <w:pPr>
        <w:pStyle w:val="Heading3"/>
        <w:ind w:firstLine="0"/>
        <w:jc w:val="left"/>
      </w:pPr>
      <w:r>
        <w:rPr>
          <w:rFonts w:ascii="Times New Roman" w:hAnsi="Times New Roman" w:eastAsia="黑体"/>
          <w:b/>
          <w:i w:val="0"/>
          <w:sz w:val="24"/>
        </w:rPr>
        <w:t xml:space="preserve">5.2 </w:t>
      </w:r>
      <w:r>
        <w:rPr>
          <w:rFonts w:hint="eastAsia" w:ascii="Times New Roman" w:hAnsi="Times New Roman" w:eastAsia="黑体"/>
          <w:b/>
          <w:i w:val="0"/>
          <w:sz w:val="24"/>
        </w:rPr>
        <w:t xml:space="preserve">建议从属保护层级</w:t>
      </w:r>
    </w:p>
    <w:p>
      <w:pPr>
        <w:numPr>
          <w:ilvl w:val="0"/>
          <w:numId w:val="1006"/>
        </w:numPr>
        <w:spacing w:after="60" w:line="276" w:lineRule="auto"/>
      </w:pPr>
      <w:r>
        <w:rPr>
          <w:rFonts w:hint="eastAsia" w:ascii="Times New Roman" w:hAnsi="Times New Roman" w:eastAsia="宋体"/>
          <w:sz w:val="21"/>
        </w:rPr>
        <w:t xml:space="preserve">训练路径对高低速分支采用连续权重混合，对速率限制或限幅采用前向受限、反向近似传递梯度的方式，并使验证路径恢复硬分支和硬限制。</w:t>
      </w:r>
    </w:p>
    <w:p>
      <w:pPr>
        <w:numPr>
          <w:ilvl w:val="0"/>
          <w:numId w:val="1006"/>
        </w:numPr>
        <w:spacing w:after="60" w:line="276" w:lineRule="auto"/>
      </w:pPr>
      <w:r>
        <w:rPr>
          <w:rFonts w:hint="eastAsia" w:ascii="Times New Roman" w:hAnsi="Times New Roman" w:eastAsia="宋体"/>
          <w:sz w:val="21"/>
        </w:rPr>
        <w:t xml:space="preserve">待整定参数包括横向预瞄类查表节点、收敛类查表节点、角速度误差预瞄节点、远预瞄节点、纵向位置环增益、速度环增益和速度切换阈值中的一种或多种。</w:t>
      </w:r>
    </w:p>
    <w:p>
      <w:pPr>
        <w:numPr>
          <w:ilvl w:val="0"/>
          <w:numId w:val="1006"/>
        </w:numPr>
        <w:spacing w:after="60" w:line="276" w:lineRule="auto"/>
      </w:pPr>
      <w:r>
        <w:rPr>
          <w:rFonts w:hint="eastAsia" w:ascii="Times New Roman" w:hAnsi="Times New Roman" w:eastAsia="宋体"/>
          <w:sz w:val="21"/>
        </w:rPr>
        <w:t xml:space="preserve">横向控制器先于纵向控制器执行，二者输出共同驱动车辆动力学模型，多个周期后的状态误差反向作用于横纵向参数。</w:t>
      </w:r>
    </w:p>
    <w:p>
      <w:pPr>
        <w:numPr>
          <w:ilvl w:val="0"/>
          <w:numId w:val="1006"/>
        </w:numPr>
        <w:spacing w:after="60" w:line="276" w:lineRule="auto"/>
      </w:pPr>
      <w:r>
        <w:rPr>
          <w:rFonts w:hint="eastAsia" w:ascii="Times New Roman" w:hAnsi="Times New Roman" w:eastAsia="宋体"/>
          <w:sz w:val="21"/>
        </w:rPr>
        <w:t xml:space="preserve">各场景损失先以场景基准损失归一化，再在轨迹类型、速度段和车辆参数域组成的批量场景中求平均。</w:t>
      </w:r>
    </w:p>
    <w:p>
      <w:pPr>
        <w:numPr>
          <w:ilvl w:val="0"/>
          <w:numId w:val="1006"/>
        </w:numPr>
        <w:spacing w:after="60" w:line="276" w:lineRule="auto"/>
      </w:pPr>
      <w:r>
        <w:rPr>
          <w:rFonts w:hint="eastAsia" w:ascii="Times New Roman" w:hAnsi="Times New Roman" w:eastAsia="宋体"/>
          <w:sz w:val="21"/>
        </w:rPr>
        <w:t xml:space="preserve">采用窗口式时间反向传播，窗口边界截断历史梯度但保留车辆状态和控制器内部状态的连续数值。</w:t>
      </w:r>
    </w:p>
    <w:p>
      <w:pPr>
        <w:numPr>
          <w:ilvl w:val="0"/>
          <w:numId w:val="1006"/>
        </w:numPr>
        <w:spacing w:after="60" w:line="276" w:lineRule="auto"/>
      </w:pPr>
      <w:r>
        <w:rPr>
          <w:rFonts w:hint="eastAsia" w:ascii="Times New Roman" w:hAnsi="Times New Roman" w:eastAsia="宋体"/>
          <w:sz w:val="21"/>
        </w:rPr>
        <w:t xml:space="preserve">更新后的查表节点和增益通过投影限制在各自上下界内，并按参数登记表回写到原配置中的对应名称、形状、单位和位置。</w:t>
      </w:r>
    </w:p>
    <w:p>
      <w:pPr>
        <w:numPr>
          <w:ilvl w:val="0"/>
          <w:numId w:val="1006"/>
        </w:numPr>
        <w:spacing w:after="60" w:line="276" w:lineRule="auto"/>
      </w:pPr>
      <w:r>
        <w:rPr>
          <w:rFonts w:hint="eastAsia" w:ascii="Times New Roman" w:hAnsi="Times New Roman" w:eastAsia="宋体"/>
          <w:sz w:val="21"/>
        </w:rPr>
        <w:t xml:space="preserve">训练阶段加入车辆质量、侧偏刚度、轮胎或传动参数采样，或者加入反馈噪声和控制指令抖动；验证阶段关闭所述训练扰动。</w:t>
      </w:r>
    </w:p>
    <w:p>
      <w:pPr>
        <w:numPr>
          <w:ilvl w:val="0"/>
          <w:numId w:val="1006"/>
        </w:numPr>
        <w:spacing w:after="60" w:line="276" w:lineRule="auto"/>
      </w:pPr>
      <w:r>
        <w:rPr>
          <w:rFonts w:hint="eastAsia" w:ascii="Times New Roman" w:hAnsi="Times New Roman" w:eastAsia="宋体"/>
          <w:sz w:val="21"/>
        </w:rPr>
        <w:t xml:space="preserve">被控对象包括机理动力学模型和可选的冻结残差模型，残差模型权重不更新，但允许梯度经其输入输出映射回到控制器参数。</w:t>
      </w:r>
    </w:p>
    <w:p>
      <w:pPr>
        <w:numPr>
          <w:ilvl w:val="0"/>
          <w:numId w:val="1006"/>
        </w:numPr>
        <w:spacing w:after="60" w:line="276" w:lineRule="auto"/>
      </w:pPr>
      <w:r>
        <w:rPr>
          <w:rFonts w:hint="eastAsia" w:ascii="Times New Roman" w:hAnsi="Times New Roman" w:eastAsia="宋体"/>
          <w:sz w:val="21"/>
        </w:rPr>
        <w:t xml:space="preserve">对残差模型执行无激励静态扫描、输入分布外距离计算、纯机理对照和输出分量消融，以判断闭环异常来源。</w:t>
      </w:r>
    </w:p>
    <w:p>
      <w:pPr>
        <w:numPr>
          <w:ilvl w:val="0"/>
          <w:numId w:val="1006"/>
        </w:numPr>
        <w:spacing w:after="60" w:line="276" w:lineRule="auto"/>
      </w:pPr>
      <w:r>
        <w:rPr>
          <w:rFonts w:hint="eastAsia" w:ascii="Times New Roman" w:hAnsi="Times New Roman" w:eastAsia="宋体"/>
          <w:sz w:val="21"/>
        </w:rPr>
        <w:t xml:space="preserve">硬逻辑验收条件包括跟踪误差、控制平滑性、参数边界、非有限数值、控制命令越界和车辆状态发散中的一种或多种。</w:t>
      </w:r>
    </w:p>
    <w:bookmarkEnd w:id="50"/>
    <w:bookmarkStart w:id="51" w:name="建议并行保护的主题"/>
    <w:p>
      <w:pPr>
        <w:pStyle w:val="Heading3"/>
        <w:ind w:firstLine="0"/>
        <w:jc w:val="left"/>
      </w:pPr>
      <w:r>
        <w:rPr>
          <w:rFonts w:ascii="Times New Roman" w:hAnsi="Times New Roman" w:eastAsia="黑体"/>
          <w:b/>
          <w:i w:val="0"/>
          <w:sz w:val="24"/>
        </w:rPr>
        <w:t xml:space="preserve">5.3 </w:t>
      </w:r>
      <w:r>
        <w:rPr>
          <w:rFonts w:hint="eastAsia" w:ascii="Times New Roman" w:hAnsi="Times New Roman" w:eastAsia="黑体"/>
          <w:b/>
          <w:i w:val="0"/>
          <w:sz w:val="24"/>
        </w:rPr>
        <w:t xml:space="preserve">建议并行保护的主题</w:t>
      </w:r>
    </w:p>
    <w:p>
      <w:pPr>
        <w:pStyle w:val="FirstParagraph"/>
        <w:spacing w:line="276" w:lineRule="auto" w:after="120"/>
        <w:ind w:firstLine="420"/>
        <w:jc w:val="both"/>
      </w:pPr>
      <w:r>
        <w:rPr>
          <w:rFonts w:hint="eastAsia" w:ascii="Times New Roman" w:hAnsi="Times New Roman" w:eastAsia="宋体"/>
          <w:sz w:val="21"/>
        </w:rPr>
        <w:t xml:space="preserve">在同一发明构思下，还可设置与上述方法对应的控制器参数自动整定系统、电子设备和计算机可读存储介质。系统模块可对应参数登记、双路径控制、场景生成、闭环展开、损失计算、自动微分、参数投影、硬逻辑复验和配置导出模块。</w:t>
      </w:r>
    </w:p>
    <w:bookmarkEnd w:id="51"/>
    <w:bookmarkEnd w:id="52"/>
    <w:bookmarkStart w:id="61" w:name="六实施例技术效果和参数示例"/>
    <w:p>
      <w:pPr>
        <w:pStyle w:val="Heading2"/>
        <w:ind w:firstLine="0"/>
        <w:jc w:val="left"/>
      </w:pPr>
      <w:r>
        <w:rPr>
          <w:rFonts w:hint="eastAsia" w:ascii="Times New Roman" w:hAnsi="Times New Roman" w:eastAsia="黑体"/>
          <w:b/>
          <w:i w:val="0"/>
          <w:sz w:val="28"/>
        </w:rPr>
        <w:t xml:space="preserve">六、实施例、技术效果和参数示例</w:t>
      </w:r>
    </w:p>
    <w:p>
      <w:pPr>
        <w:pStyle w:val="FirstParagraph"/>
        <w:spacing w:line="276" w:lineRule="auto" w:after="120"/>
        <w:ind w:firstLine="420"/>
        <w:jc w:val="both"/>
      </w:pPr>
      <w:r>
        <w:rPr>
          <w:rFonts w:hint="eastAsia" w:ascii="Times New Roman" w:hAnsi="Times New Roman" w:eastAsia="宋体"/>
          <w:sz w:val="21"/>
        </w:rPr>
        <w:t xml:space="preserve">以下数据用于证明方案已经实现并能够取得技术效果，不限定权利要求的轨迹数量、速度范围、优化轮数、损失权重、车辆参数范围或模型形式。</w:t>
      </w:r>
    </w:p>
    <w:bookmarkStart w:id="53" w:name="实施例一纯机理被控对象下的多车辆参数域整定"/>
    <w:p>
      <w:pPr>
        <w:pStyle w:val="Heading3"/>
        <w:ind w:firstLine="0"/>
        <w:jc w:val="left"/>
      </w:pPr>
      <w:r>
        <w:rPr>
          <w:rFonts w:ascii="Times New Roman" w:hAnsi="Times New Roman" w:eastAsia="黑体"/>
          <w:b/>
          <w:i w:val="0"/>
          <w:sz w:val="24"/>
        </w:rPr>
        <w:t xml:space="preserve">6.1 </w:t>
      </w:r>
      <w:r>
        <w:rPr>
          <w:rFonts w:hint="eastAsia" w:ascii="Times New Roman" w:hAnsi="Times New Roman" w:eastAsia="黑体"/>
          <w:b/>
          <w:i w:val="0"/>
          <w:sz w:val="24"/>
        </w:rPr>
        <w:t xml:space="preserve">实施例一：纯机理被控对象下的多车辆参数域整定</w:t>
      </w:r>
    </w:p>
    <w:p>
      <w:pPr>
        <w:pStyle w:val="FirstParagraph"/>
        <w:spacing w:line="276" w:lineRule="auto" w:after="120"/>
        <w:ind w:firstLine="420"/>
        <w:jc w:val="both"/>
      </w:pPr>
      <w:r>
        <w:rPr>
          <w:rFonts w:hint="eastAsia" w:ascii="Times New Roman" w:hAnsi="Times New Roman" w:eastAsia="宋体"/>
          <w:sz w:val="21"/>
        </w:rPr>
        <w:t xml:space="preserve">横向控制器采用重型车辆横向控制逻辑，纵向控制器包括位置环、低速速度环、高速速度环和车轮扭矩输出。被控对象采用牵引车—挂车机理动力学模型，不启用</w:t>
      </w:r>
      <w:r>
        <w:rPr>
          <w:rFonts w:ascii="Times New Roman" w:hAnsi="Times New Roman" w:eastAsia="宋体"/>
          <w:sz w:val="21"/>
        </w:rPr>
        <w:t xml:space="preserve"> MLP </w:t>
      </w:r>
      <w:r>
        <w:rPr>
          <w:rFonts w:hint="eastAsia" w:ascii="Times New Roman" w:hAnsi="Times New Roman" w:eastAsia="宋体"/>
          <w:sz w:val="21"/>
        </w:rPr>
        <w:t xml:space="preserve">残差模型。</w:t>
      </w:r>
    </w:p>
    <w:p>
      <w:pPr>
        <w:pStyle w:val="BodyText"/>
        <w:spacing w:line="276" w:lineRule="auto" w:after="120"/>
        <w:ind w:firstLine="420"/>
        <w:jc w:val="both"/>
      </w:pPr>
      <w:r>
        <w:rPr>
          <w:rFonts w:hint="eastAsia" w:ascii="Times New Roman" w:hAnsi="Times New Roman" w:eastAsia="宋体"/>
          <w:sz w:val="21"/>
        </w:rPr>
        <w:t xml:space="preserve">基础训练集含</w:t>
      </w:r>
      <w:r>
        <w:rPr>
          <w:rFonts w:ascii="Times New Roman" w:hAnsi="Times New Roman" w:eastAsia="宋体"/>
          <w:sz w:val="21"/>
        </w:rPr>
        <w:t xml:space="preserve"> 8 </w:t>
      </w:r>
      <w:r>
        <w:rPr>
          <w:rFonts w:hint="eastAsia" w:ascii="Times New Roman" w:hAnsi="Times New Roman" w:eastAsia="宋体"/>
          <w:sz w:val="21"/>
        </w:rPr>
        <w:t xml:space="preserve">类轨迹，每类覆盖</w:t>
      </w:r>
      <w:r>
        <w:rPr>
          <w:rFonts w:ascii="Times New Roman" w:hAnsi="Times New Roman" w:eastAsia="宋体"/>
          <w:sz w:val="21"/>
        </w:rPr>
        <w:t xml:space="preserve"> 5、18、25、35、45 </w:t>
      </w:r>
      <w:r>
        <w:rPr>
          <w:rFonts w:hint="eastAsia" w:ascii="Times New Roman" w:hAnsi="Times New Roman" w:eastAsia="宋体"/>
          <w:sz w:val="21"/>
        </w:rPr>
        <w:t xml:space="preserve">和</w:t>
      </w:r>
      <w:r>
        <w:rPr>
          <w:rFonts w:ascii="Times New Roman" w:hAnsi="Times New Roman" w:eastAsia="宋体"/>
          <w:sz w:val="21"/>
        </w:rPr>
        <w:t xml:space="preserve"> 55 km/h </w:t>
      </w:r>
      <w:r>
        <w:rPr>
          <w:rFonts w:hint="eastAsia" w:ascii="Times New Roman" w:hAnsi="Times New Roman" w:eastAsia="宋体"/>
          <w:sz w:val="21"/>
        </w:rPr>
        <w:t xml:space="preserve">六个速度段，共</w:t>
      </w:r>
      <w:r>
        <w:rPr>
          <w:rFonts w:ascii="Times New Roman" w:hAnsi="Times New Roman" w:eastAsia="宋体"/>
          <w:sz w:val="21"/>
        </w:rPr>
        <w:t xml:space="preserve"> 48 </w:t>
      </w:r>
      <w:r>
        <w:rPr>
          <w:rFonts w:hint="eastAsia" w:ascii="Times New Roman" w:hAnsi="Times New Roman" w:eastAsia="宋体"/>
          <w:sz w:val="21"/>
        </w:rPr>
        <w:t xml:space="preserve">条轨迹。每轮训练采样</w:t>
      </w:r>
      <w:r>
        <w:rPr>
          <w:rFonts w:ascii="Times New Roman" w:hAnsi="Times New Roman" w:eastAsia="宋体"/>
          <w:sz w:val="21"/>
        </w:rPr>
        <w:t xml:space="preserve"> 4 </w:t>
      </w:r>
      <w:r>
        <w:rPr>
          <w:rFonts w:hint="eastAsia" w:ascii="Times New Roman" w:hAnsi="Times New Roman" w:eastAsia="宋体"/>
          <w:sz w:val="21"/>
        </w:rPr>
        <w:t xml:space="preserve">组车辆参数，将基础训练集复制到</w:t>
      </w:r>
      <w:r>
        <w:rPr>
          <w:rFonts w:ascii="Times New Roman" w:hAnsi="Times New Roman" w:eastAsia="宋体"/>
          <w:sz w:val="21"/>
        </w:rPr>
        <w:t xml:space="preserve"> 4 </w:t>
      </w:r>
      <w:r>
        <w:rPr>
          <w:rFonts w:hint="eastAsia" w:ascii="Times New Roman" w:hAnsi="Times New Roman" w:eastAsia="宋体"/>
          <w:sz w:val="21"/>
        </w:rPr>
        <w:t xml:space="preserve">个车辆域，形成</w:t>
      </w:r>
      <w:r>
        <w:rPr>
          <w:rFonts w:ascii="Times New Roman" w:hAnsi="Times New Roman" w:eastAsia="宋体"/>
          <w:sz w:val="21"/>
        </w:rPr>
        <w:t xml:space="preserve"> 192 </w:t>
      </w:r>
      <w:r>
        <w:rPr>
          <w:rFonts w:hint="eastAsia" w:ascii="Times New Roman" w:hAnsi="Times New Roman" w:eastAsia="宋体"/>
          <w:sz w:val="21"/>
        </w:rPr>
        <w:t xml:space="preserve">条同步闭环样本；牵引车质量在名义值</w:t>
      </w:r>
      <w:r>
        <w:rPr>
          <w:rFonts w:ascii="Times New Roman" w:hAnsi="Times New Roman" w:eastAsia="宋体"/>
          <w:sz w:val="21"/>
        </w:rPr>
        <w:t xml:space="preserve"> ±10% </w:t>
      </w:r>
      <w:r>
        <w:rPr>
          <w:rFonts w:hint="eastAsia" w:ascii="Times New Roman" w:hAnsi="Times New Roman" w:eastAsia="宋体"/>
          <w:sz w:val="21"/>
        </w:rPr>
        <w:t xml:space="preserve">范围内采样，前后轴侧偏刚度在名义值</w:t>
      </w:r>
      <w:r>
        <w:rPr>
          <w:rFonts w:ascii="Times New Roman" w:hAnsi="Times New Roman" w:eastAsia="宋体"/>
          <w:sz w:val="21"/>
        </w:rPr>
        <w:t xml:space="preserve"> ±20% </w:t>
      </w:r>
      <w:r>
        <w:rPr>
          <w:rFonts w:hint="eastAsia" w:ascii="Times New Roman" w:hAnsi="Times New Roman" w:eastAsia="宋体"/>
          <w:sz w:val="21"/>
        </w:rPr>
        <w:t xml:space="preserve">范围内采样。</w:t>
      </w:r>
    </w:p>
    <w:p>
      <w:pPr>
        <w:pStyle w:val="BodyText"/>
        <w:spacing w:line="276" w:lineRule="auto" w:after="120"/>
        <w:ind w:firstLine="420"/>
        <w:jc w:val="both"/>
      </w:pPr>
      <w:r>
        <w:rPr>
          <w:rFonts w:hint="eastAsia" w:ascii="Times New Roman" w:hAnsi="Times New Roman" w:eastAsia="宋体"/>
          <w:sz w:val="21"/>
        </w:rPr>
        <w:t xml:space="preserve">经过</w:t>
      </w:r>
      <w:r>
        <w:rPr>
          <w:rFonts w:ascii="Times New Roman" w:hAnsi="Times New Roman" w:eastAsia="宋体"/>
          <w:sz w:val="21"/>
        </w:rPr>
        <w:t xml:space="preserve"> 6 </w:t>
      </w:r>
      <w:r>
        <w:rPr>
          <w:rFonts w:hint="eastAsia" w:ascii="Times New Roman" w:hAnsi="Times New Roman" w:eastAsia="宋体"/>
          <w:sz w:val="21"/>
        </w:rPr>
        <w:t xml:space="preserve">轮训练，综合损失由</w:t>
      </w:r>
      <w:r>
        <w:rPr>
          <w:rFonts w:ascii="Times New Roman" w:hAnsi="Times New Roman" w:eastAsia="宋体"/>
          <w:sz w:val="21"/>
        </w:rPr>
        <w:t xml:space="preserve"> 2.7083 </w:t>
      </w:r>
      <w:r>
        <w:rPr>
          <w:rFonts w:hint="eastAsia" w:ascii="Times New Roman" w:hAnsi="Times New Roman" w:eastAsia="宋体"/>
          <w:sz w:val="21"/>
        </w:rPr>
        <w:t xml:space="preserve">降至</w:t>
      </w:r>
      <w:r>
        <w:rPr>
          <w:rFonts w:ascii="Times New Roman" w:hAnsi="Times New Roman" w:eastAsia="宋体"/>
          <w:sz w:val="21"/>
        </w:rPr>
        <w:t xml:space="preserve"> </w:t>
      </w:r>
      <w:r>
        <w:rPr>
          <w:rFonts w:hint="eastAsia" w:ascii="Times New Roman" w:hAnsi="Times New Roman" w:eastAsia="宋体"/>
          <w:sz w:val="21"/>
        </w:rPr>
        <w:t xml:space="preserve">1.5639，下降</w:t>
      </w:r>
      <w:r>
        <w:rPr>
          <w:rFonts w:ascii="Times New Roman" w:hAnsi="Times New Roman" w:eastAsia="宋体"/>
          <w:sz w:val="21"/>
        </w:rPr>
        <w:t xml:space="preserve"> </w:t>
      </w:r>
      <w:r>
        <w:rPr>
          <w:rFonts w:hint="eastAsia" w:ascii="Times New Roman" w:hAnsi="Times New Roman" w:eastAsia="宋体"/>
          <w:sz w:val="21"/>
        </w:rPr>
        <w:t xml:space="preserve">42.26%。使用原始硬逻辑在</w:t>
      </w:r>
      <w:r>
        <w:rPr>
          <w:rFonts w:ascii="Times New Roman" w:hAnsi="Times New Roman" w:eastAsia="宋体"/>
          <w:sz w:val="21"/>
        </w:rPr>
        <w:t xml:space="preserve"> 49 </w:t>
      </w:r>
      <w:r>
        <w:rPr>
          <w:rFonts w:hint="eastAsia" w:ascii="Times New Roman" w:hAnsi="Times New Roman" w:eastAsia="宋体"/>
          <w:sz w:val="21"/>
        </w:rPr>
        <w:t xml:space="preserve">个场景中复验，47</w:t>
      </w:r>
      <w:r>
        <w:rPr>
          <w:rFonts w:ascii="Times New Roman" w:hAnsi="Times New Roman" w:eastAsia="宋体"/>
          <w:sz w:val="21"/>
        </w:rPr>
        <w:t xml:space="preserve"> </w:t>
      </w:r>
      <w:r>
        <w:rPr>
          <w:rFonts w:hint="eastAsia" w:ascii="Times New Roman" w:hAnsi="Times New Roman" w:eastAsia="宋体"/>
          <w:sz w:val="21"/>
        </w:rPr>
        <w:t xml:space="preserve">个场景的横向误差下降，47</w:t>
      </w:r>
      <w:r>
        <w:rPr>
          <w:rFonts w:ascii="Times New Roman" w:hAnsi="Times New Roman" w:eastAsia="宋体"/>
          <w:sz w:val="21"/>
        </w:rPr>
        <w:t xml:space="preserve"> </w:t>
      </w:r>
      <w:r>
        <w:rPr>
          <w:rFonts w:hint="eastAsia" w:ascii="Times New Roman" w:hAnsi="Times New Roman" w:eastAsia="宋体"/>
          <w:sz w:val="21"/>
        </w:rPr>
        <w:t xml:space="preserve">个场景的航向误差下降；横向误差变化平均值为</w:t>
      </w:r>
      <w:r>
        <w:rPr>
          <w:rFonts w:ascii="Times New Roman" w:hAnsi="Times New Roman" w:eastAsia="宋体"/>
          <w:sz w:val="21"/>
        </w:rPr>
        <w:t xml:space="preserve"> </w:t>
      </w:r>
      <w:r>
        <w:rPr>
          <w:rFonts w:hint="eastAsia" w:ascii="Times New Roman" w:hAnsi="Times New Roman" w:eastAsia="宋体"/>
          <w:sz w:val="21"/>
        </w:rPr>
        <w:t xml:space="preserve">−29.32%，航向误差变化平均值为</w:t>
      </w:r>
      <w:r>
        <w:rPr>
          <w:rFonts w:ascii="Times New Roman" w:hAnsi="Times New Roman" w:eastAsia="宋体"/>
          <w:sz w:val="21"/>
        </w:rPr>
        <w:t xml:space="preserve"> </w:t>
      </w:r>
      <w:r>
        <w:rPr>
          <w:rFonts w:hint="eastAsia" w:ascii="Times New Roman" w:hAnsi="Times New Roman" w:eastAsia="宋体"/>
          <w:sz w:val="21"/>
        </w:rPr>
        <w:t xml:space="preserve">−24.87%。该实施例说明核心整定方案可以在不使用残差模型的情况下实施。</w:t>
      </w:r>
    </w:p>
    <w:bookmarkEnd w:id="53"/>
    <w:bookmarkStart w:id="54" w:name="实施例二叠加冻结残差模型的闭环整定"/>
    <w:p>
      <w:pPr>
        <w:pStyle w:val="Heading3"/>
        <w:ind w:firstLine="0"/>
        <w:jc w:val="left"/>
      </w:pPr>
      <w:r>
        <w:rPr>
          <w:rFonts w:ascii="Times New Roman" w:hAnsi="Times New Roman" w:eastAsia="黑体"/>
          <w:b/>
          <w:i w:val="0"/>
          <w:sz w:val="24"/>
        </w:rPr>
        <w:t xml:space="preserve">6.2 </w:t>
      </w:r>
      <w:r>
        <w:rPr>
          <w:rFonts w:hint="eastAsia" w:ascii="Times New Roman" w:hAnsi="Times New Roman" w:eastAsia="黑体"/>
          <w:b/>
          <w:i w:val="0"/>
          <w:sz w:val="24"/>
        </w:rPr>
        <w:t xml:space="preserve">实施例二：叠加冻结残差模型的闭环整定</w:t>
      </w:r>
    </w:p>
    <w:p>
      <w:pPr>
        <w:pStyle w:val="FirstParagraph"/>
        <w:spacing w:line="276" w:lineRule="auto" w:after="120"/>
        <w:ind w:firstLine="420"/>
        <w:jc w:val="both"/>
      </w:pPr>
      <w:r>
        <w:rPr>
          <w:rFonts w:hint="eastAsia" w:ascii="Times New Roman" w:hAnsi="Times New Roman" w:eastAsia="宋体"/>
          <w:sz w:val="21"/>
        </w:rPr>
        <w:t xml:space="preserve">在另一实施例中，牵引车—挂车机理动力学模型后叠加冻结的</w:t>
      </w:r>
      <w:r>
        <w:rPr>
          <w:rFonts w:ascii="Times New Roman" w:hAnsi="Times New Roman" w:eastAsia="宋体"/>
          <w:sz w:val="21"/>
        </w:rPr>
        <w:t xml:space="preserve"> MLP </w:t>
      </w:r>
      <w:r>
        <w:rPr>
          <w:rFonts w:hint="eastAsia" w:ascii="Times New Roman" w:hAnsi="Times New Roman" w:eastAsia="宋体"/>
          <w:sz w:val="21"/>
        </w:rPr>
        <w:t xml:space="preserve">残差模型。残差模型接收车辆状态、控制指令、车辆配置和铰接状态等特征，输出速度或相对位姿残差；残差经转换后修正下一周期车辆状态。整定过程中只更新控制器参数，不更新残差模型权重。</w:t>
      </w:r>
    </w:p>
    <w:p>
      <w:pPr>
        <w:pStyle w:val="BodyText"/>
        <w:spacing w:line="276" w:lineRule="auto" w:after="120"/>
        <w:ind w:firstLine="420"/>
        <w:jc w:val="both"/>
      </w:pPr>
      <w:r>
        <w:rPr>
          <w:rFonts w:hint="eastAsia" w:ascii="Times New Roman" w:hAnsi="Times New Roman" w:eastAsia="宋体"/>
          <w:sz w:val="21"/>
        </w:rPr>
        <w:t xml:space="preserve">经过</w:t>
      </w:r>
      <w:r>
        <w:rPr>
          <w:rFonts w:ascii="Times New Roman" w:hAnsi="Times New Roman" w:eastAsia="宋体"/>
          <w:sz w:val="21"/>
        </w:rPr>
        <w:t xml:space="preserve"> 6 </w:t>
      </w:r>
      <w:r>
        <w:rPr>
          <w:rFonts w:hint="eastAsia" w:ascii="Times New Roman" w:hAnsi="Times New Roman" w:eastAsia="宋体"/>
          <w:sz w:val="21"/>
        </w:rPr>
        <w:t xml:space="preserve">轮训练，综合损失由</w:t>
      </w:r>
      <w:r>
        <w:rPr>
          <w:rFonts w:ascii="Times New Roman" w:hAnsi="Times New Roman" w:eastAsia="宋体"/>
          <w:sz w:val="21"/>
        </w:rPr>
        <w:t xml:space="preserve"> 3.9303 </w:t>
      </w:r>
      <w:r>
        <w:rPr>
          <w:rFonts w:hint="eastAsia" w:ascii="Times New Roman" w:hAnsi="Times New Roman" w:eastAsia="宋体"/>
          <w:sz w:val="21"/>
        </w:rPr>
        <w:t xml:space="preserve">降至</w:t>
      </w:r>
      <w:r>
        <w:rPr>
          <w:rFonts w:ascii="Times New Roman" w:hAnsi="Times New Roman" w:eastAsia="宋体"/>
          <w:sz w:val="21"/>
        </w:rPr>
        <w:t xml:space="preserve"> </w:t>
      </w:r>
      <w:r>
        <w:rPr>
          <w:rFonts w:hint="eastAsia" w:ascii="Times New Roman" w:hAnsi="Times New Roman" w:eastAsia="宋体"/>
          <w:sz w:val="21"/>
        </w:rPr>
        <w:t xml:space="preserve">3.0535，下降</w:t>
      </w:r>
      <w:r>
        <w:rPr>
          <w:rFonts w:ascii="Times New Roman" w:hAnsi="Times New Roman" w:eastAsia="宋体"/>
          <w:sz w:val="21"/>
        </w:rPr>
        <w:t xml:space="preserve"> 22.31%。49 </w:t>
      </w:r>
      <w:r>
        <w:rPr>
          <w:rFonts w:hint="eastAsia" w:ascii="Times New Roman" w:hAnsi="Times New Roman" w:eastAsia="宋体"/>
          <w:sz w:val="21"/>
        </w:rPr>
        <w:t xml:space="preserve">个硬逻辑复验场景中，38</w:t>
      </w:r>
      <w:r>
        <w:rPr>
          <w:rFonts w:ascii="Times New Roman" w:hAnsi="Times New Roman" w:eastAsia="宋体"/>
          <w:sz w:val="21"/>
        </w:rPr>
        <w:t xml:space="preserve"> </w:t>
      </w:r>
      <w:r>
        <w:rPr>
          <w:rFonts w:hint="eastAsia" w:ascii="Times New Roman" w:hAnsi="Times New Roman" w:eastAsia="宋体"/>
          <w:sz w:val="21"/>
        </w:rPr>
        <w:t xml:space="preserve">个场景的横向误差下降，43</w:t>
      </w:r>
      <w:r>
        <w:rPr>
          <w:rFonts w:ascii="Times New Roman" w:hAnsi="Times New Roman" w:eastAsia="宋体"/>
          <w:sz w:val="21"/>
        </w:rPr>
        <w:t xml:space="preserve"> </w:t>
      </w:r>
      <w:r>
        <w:rPr>
          <w:rFonts w:hint="eastAsia" w:ascii="Times New Roman" w:hAnsi="Times New Roman" w:eastAsia="宋体"/>
          <w:sz w:val="21"/>
        </w:rPr>
        <w:t xml:space="preserve">个场景的航向误差下降；横向误差变化平均值为</w:t>
      </w:r>
      <w:r>
        <w:rPr>
          <w:rFonts w:ascii="Times New Roman" w:hAnsi="Times New Roman" w:eastAsia="宋体"/>
          <w:sz w:val="21"/>
        </w:rPr>
        <w:t xml:space="preserve"> </w:t>
      </w:r>
      <w:r>
        <w:rPr>
          <w:rFonts w:hint="eastAsia" w:ascii="Times New Roman" w:hAnsi="Times New Roman" w:eastAsia="宋体"/>
          <w:sz w:val="21"/>
        </w:rPr>
        <w:t xml:space="preserve">−11.20%，航向误差变化平均值为</w:t>
      </w:r>
      <w:r>
        <w:rPr>
          <w:rFonts w:ascii="Times New Roman" w:hAnsi="Times New Roman" w:eastAsia="宋体"/>
          <w:sz w:val="21"/>
        </w:rPr>
        <w:t xml:space="preserve"> −15.11%。</w:t>
      </w:r>
    </w:p>
    <w:bookmarkEnd w:id="54"/>
    <w:bookmarkStart w:id="58" w:name="实施例三车辆参数域反馈噪声和指令抖动联合训练"/>
    <w:p>
      <w:pPr>
        <w:pStyle w:val="Heading3"/>
        <w:ind w:firstLine="0"/>
        <w:jc w:val="left"/>
      </w:pPr>
      <w:r>
        <w:rPr>
          <w:rFonts w:ascii="Times New Roman" w:hAnsi="Times New Roman" w:eastAsia="黑体"/>
          <w:b/>
          <w:i w:val="0"/>
          <w:sz w:val="24"/>
        </w:rPr>
        <w:t xml:space="preserve">6.3 </w:t>
      </w:r>
      <w:r>
        <w:rPr>
          <w:rFonts w:hint="eastAsia" w:ascii="Times New Roman" w:hAnsi="Times New Roman" w:eastAsia="黑体"/>
          <w:b/>
          <w:i w:val="0"/>
          <w:sz w:val="24"/>
        </w:rPr>
        <w:t xml:space="preserve">实施例三：车辆参数域、反馈噪声和指令抖动联合训练</w:t>
      </w:r>
    </w:p>
    <w:p>
      <w:pPr>
        <w:pStyle w:val="FirstParagraph"/>
        <w:spacing w:line="276" w:lineRule="auto" w:after="120"/>
        <w:ind w:firstLine="420"/>
        <w:jc w:val="both"/>
      </w:pPr>
      <w:r>
        <w:rPr>
          <w:rFonts w:hint="eastAsia" w:ascii="Times New Roman" w:hAnsi="Times New Roman" w:eastAsia="宋体"/>
          <w:sz w:val="21"/>
        </w:rPr>
        <w:t xml:space="preserve">在另一实施例中，同时启用车辆参数域随机化、反馈噪声和指令抖动。反馈噪声作用于位置、航向、速度和横摆角速度等控制器输入；指令抖动作用于转向和车轮扭矩指令。损失始终使用车辆真实状态计算，硬逻辑复验阶段关闭上述噪声和抖动。</w:t>
      </w:r>
    </w:p>
    <w:p>
      <w:pPr>
        <w:pStyle w:val="BodyText"/>
        <w:spacing w:line="276" w:lineRule="auto" w:after="120"/>
        <w:ind w:firstLine="420"/>
        <w:jc w:val="both"/>
      </w:pPr>
      <w:r>
        <w:rPr>
          <w:rFonts w:hint="eastAsia" w:ascii="Times New Roman" w:hAnsi="Times New Roman" w:eastAsia="宋体"/>
          <w:sz w:val="21"/>
        </w:rPr>
        <w:t xml:space="preserve">经过</w:t>
      </w:r>
      <w:r>
        <w:rPr>
          <w:rFonts w:ascii="Times New Roman" w:hAnsi="Times New Roman" w:eastAsia="宋体"/>
          <w:sz w:val="21"/>
        </w:rPr>
        <w:t xml:space="preserve"> 6 </w:t>
      </w:r>
      <w:r>
        <w:rPr>
          <w:rFonts w:hint="eastAsia" w:ascii="Times New Roman" w:hAnsi="Times New Roman" w:eastAsia="宋体"/>
          <w:sz w:val="21"/>
        </w:rPr>
        <w:t xml:space="preserve">轮训练，综合损失由</w:t>
      </w:r>
      <w:r>
        <w:rPr>
          <w:rFonts w:ascii="Times New Roman" w:hAnsi="Times New Roman" w:eastAsia="宋体"/>
          <w:sz w:val="21"/>
        </w:rPr>
        <w:t xml:space="preserve"> 4.6378 </w:t>
      </w:r>
      <w:r>
        <w:rPr>
          <w:rFonts w:hint="eastAsia" w:ascii="Times New Roman" w:hAnsi="Times New Roman" w:eastAsia="宋体"/>
          <w:sz w:val="21"/>
        </w:rPr>
        <w:t xml:space="preserve">降至</w:t>
      </w:r>
      <w:r>
        <w:rPr>
          <w:rFonts w:ascii="Times New Roman" w:hAnsi="Times New Roman" w:eastAsia="宋体"/>
          <w:sz w:val="21"/>
        </w:rPr>
        <w:t xml:space="preserve"> </w:t>
      </w:r>
      <w:r>
        <w:rPr>
          <w:rFonts w:hint="eastAsia" w:ascii="Times New Roman" w:hAnsi="Times New Roman" w:eastAsia="宋体"/>
          <w:sz w:val="21"/>
        </w:rPr>
        <w:t xml:space="preserve">3.5931，下降</w:t>
      </w:r>
      <w:r>
        <w:rPr>
          <w:rFonts w:ascii="Times New Roman" w:hAnsi="Times New Roman" w:eastAsia="宋体"/>
          <w:sz w:val="21"/>
        </w:rPr>
        <w:t xml:space="preserve"> 22.53%。49 </w:t>
      </w:r>
      <w:r>
        <w:rPr>
          <w:rFonts w:hint="eastAsia" w:ascii="Times New Roman" w:hAnsi="Times New Roman" w:eastAsia="宋体"/>
          <w:sz w:val="21"/>
        </w:rPr>
        <w:t xml:space="preserve">个硬逻辑复验场景中，43</w:t>
      </w:r>
      <w:r>
        <w:rPr>
          <w:rFonts w:ascii="Times New Roman" w:hAnsi="Times New Roman" w:eastAsia="宋体"/>
          <w:sz w:val="21"/>
        </w:rPr>
        <w:t xml:space="preserve"> </w:t>
      </w:r>
      <w:r>
        <w:rPr>
          <w:rFonts w:hint="eastAsia" w:ascii="Times New Roman" w:hAnsi="Times New Roman" w:eastAsia="宋体"/>
          <w:sz w:val="21"/>
        </w:rPr>
        <w:t xml:space="preserve">个场景的横向误差下降，33</w:t>
      </w:r>
      <w:r>
        <w:rPr>
          <w:rFonts w:ascii="Times New Roman" w:hAnsi="Times New Roman" w:eastAsia="宋体"/>
          <w:sz w:val="21"/>
        </w:rPr>
        <w:t xml:space="preserve"> </w:t>
      </w:r>
      <w:r>
        <w:rPr>
          <w:rFonts w:hint="eastAsia" w:ascii="Times New Roman" w:hAnsi="Times New Roman" w:eastAsia="宋体"/>
          <w:sz w:val="21"/>
        </w:rPr>
        <w:t xml:space="preserve">个场景的航向误差下降；横向误差变化平均值为</w:t>
      </w:r>
      <w:r>
        <w:rPr>
          <w:rFonts w:ascii="Times New Roman" w:hAnsi="Times New Roman" w:eastAsia="宋体"/>
          <w:sz w:val="21"/>
        </w:rPr>
        <w:t xml:space="preserve"> −17.61%。</w:t>
      </w:r>
    </w:p>
    <w:p>
      <w:pPr>
        <w:pStyle w:val="BodyText"/>
        <w:spacing w:before="80" w:after="60"/>
        <w:ind w:firstLine="0"/>
        <w:jc w:val="center"/>
      </w:pPr>
      <w:r>
        <w:rPr>
          <w:rFonts w:ascii="Times New Roman" w:hAnsi="Times New Roman" w:eastAsia="宋体"/>
          <w:sz w:val="21"/>
        </w:rPr>
        <w:drawing>
          <wp:inline>
            <wp:extent cx="5334000" cy="2047393"/>
            <wp:effectExtent b="0" l="0" r="0" t="0"/>
            <wp:docPr descr="" title="" id="56" name="Picture"/>
            <a:graphic>
              <a:graphicData uri="http://schemas.openxmlformats.org/drawingml/2006/picture">
                <pic:pic>
                  <pic:nvPicPr>
                    <pic:cNvPr descr="figures/fig3_experiment_summary.png" id="57" name="Picture"/>
                    <pic:cNvPicPr>
                      <a:picLocks noChangeArrowheads="1" noChangeAspect="1"/>
                    </pic:cNvPicPr>
                  </pic:nvPicPr>
                  <pic:blipFill>
                    <a:blip r:embed="rId55"/>
                    <a:stretch>
                      <a:fillRect/>
                    </a:stretch>
                  </pic:blipFill>
                  <pic:spPr bwMode="auto">
                    <a:xfrm>
                      <a:off x="0" y="0"/>
                      <a:ext cx="5334000" cy="2047393"/>
                    </a:xfrm>
                    <a:prstGeom prst="rect">
                      <a:avLst/>
                    </a:prstGeom>
                    <a:noFill/>
                    <a:ln w="9525">
                      <a:noFill/>
                      <a:headEnd/>
                      <a:tailEnd/>
                    </a:ln>
                  </pic:spPr>
                </pic:pic>
              </a:graphicData>
            </a:graphic>
          </wp:inline>
        </w:drawing>
      </w:r>
    </w:p>
    <w:p>
      <w:pPr>
        <w:pStyle w:val="BodyText"/>
        <w:keepNext w:val="0"/>
        <w:spacing w:before="40" w:after="160"/>
        <w:ind w:firstLine="0"/>
        <w:jc w:val="center"/>
      </w:pPr>
      <w:r>
        <w:rPr>
          <w:rFonts w:hint="eastAsia" w:ascii="Times New Roman" w:hAnsi="Times New Roman" w:eastAsia="宋体"/>
          <w:i w:val="0"/>
          <w:iCs/>
          <w:sz w:val="20"/>
        </w:rPr>
        <w:t xml:space="preserve">图3</w:t>
      </w:r>
      <w:r>
        <w:rPr>
          <w:rFonts w:ascii="Times New Roman" w:hAnsi="Times New Roman" w:eastAsia="宋体"/>
          <w:i w:val="0"/>
          <w:iCs/>
          <w:sz w:val="20"/>
        </w:rPr>
        <w:t xml:space="preserve"> </w:t>
      </w:r>
      <w:r>
        <w:rPr>
          <w:rFonts w:hint="eastAsia" w:ascii="Times New Roman" w:hAnsi="Times New Roman" w:eastAsia="宋体"/>
          <w:i w:val="0"/>
          <w:iCs/>
          <w:sz w:val="20"/>
        </w:rPr>
        <w:t xml:space="preserve">三组实施例的训练损失与硬逻辑复验摘要</w:t>
      </w:r>
    </w:p>
    <w:bookmarkEnd w:id="58"/>
    <w:bookmarkStart w:id="59" w:name="实施例四残差模型可信度诊断"/>
    <w:p>
      <w:pPr>
        <w:pStyle w:val="Heading3"/>
        <w:ind w:firstLine="0"/>
        <w:jc w:val="left"/>
      </w:pPr>
      <w:r>
        <w:rPr>
          <w:rFonts w:ascii="Times New Roman" w:hAnsi="Times New Roman" w:eastAsia="黑体"/>
          <w:b/>
          <w:i w:val="0"/>
          <w:sz w:val="24"/>
        </w:rPr>
        <w:t xml:space="preserve">6.4 </w:t>
      </w:r>
      <w:r>
        <w:rPr>
          <w:rFonts w:hint="eastAsia" w:ascii="Times New Roman" w:hAnsi="Times New Roman" w:eastAsia="黑体"/>
          <w:b/>
          <w:i w:val="0"/>
          <w:sz w:val="24"/>
        </w:rPr>
        <w:t xml:space="preserve">实施例四：残差模型可信度诊断</w:t>
      </w:r>
    </w:p>
    <w:p>
      <w:pPr>
        <w:pStyle w:val="FirstParagraph"/>
        <w:spacing w:line="276" w:lineRule="auto" w:after="120"/>
        <w:ind w:firstLine="420"/>
        <w:jc w:val="both"/>
      </w:pPr>
      <w:r>
        <w:rPr>
          <w:rFonts w:hint="eastAsia" w:ascii="Times New Roman" w:hAnsi="Times New Roman" w:eastAsia="宋体"/>
          <w:sz w:val="21"/>
        </w:rPr>
        <w:t xml:space="preserve">当混合被控对象在特定场景出现误差突增时，系统先运行纯机理路径和完整残差路径，再依次屏蔽牵引车速度残差、挂车速度残差或相对位姿残差。若屏蔽某一残差分量后误差恢复到纯机理水平，则该分量被标记为主要异常来源；若两条路径均出现相似误差，则优先检查控制器参数和控制器结构。</w:t>
      </w:r>
    </w:p>
    <w:p>
      <w:pPr>
        <w:pStyle w:val="BodyText"/>
        <w:spacing w:line="276" w:lineRule="auto" w:after="120"/>
        <w:ind w:firstLine="420"/>
        <w:jc w:val="both"/>
      </w:pPr>
      <w:r>
        <w:rPr>
          <w:rFonts w:hint="eastAsia" w:ascii="Times New Roman" w:hAnsi="Times New Roman" w:eastAsia="宋体"/>
          <w:sz w:val="21"/>
        </w:rPr>
        <w:t xml:space="preserve">系统还可在无侧向速度、无横摆角速度和无控制激励的输入条件下扫描纵向速度。若残差模型在该条件下持续输出侧向残差，则说明模型存在无激励偏置；该偏置在</w:t>
      </w:r>
      <w:r>
        <w:rPr>
          <w:rFonts w:ascii="Times New Roman" w:hAnsi="Times New Roman" w:eastAsia="宋体"/>
          <w:sz w:val="21"/>
        </w:rPr>
        <w:t xml:space="preserve"> 50 Hz </w:t>
      </w:r>
      <w:r>
        <w:rPr>
          <w:rFonts w:hint="eastAsia" w:ascii="Times New Roman" w:hAnsi="Times New Roman" w:eastAsia="宋体"/>
          <w:sz w:val="21"/>
        </w:rPr>
        <w:t xml:space="preserve">闭环中会逐周期积累，并诱发控制器进行反向补偿。诊断结论用于决定是否更换残差模型、限制其使用域或回到纯机理模型继续整定，不改变已经导出的控制器参数含义。</w:t>
      </w:r>
    </w:p>
    <w:bookmarkEnd w:id="59"/>
    <w:bookmarkStart w:id="60" w:name="可实施性及替代方式"/>
    <w:p>
      <w:pPr>
        <w:pStyle w:val="Heading3"/>
        <w:ind w:firstLine="0"/>
        <w:jc w:val="left"/>
      </w:pPr>
      <w:r>
        <w:rPr>
          <w:rFonts w:ascii="Times New Roman" w:hAnsi="Times New Roman" w:eastAsia="黑体"/>
          <w:b/>
          <w:i w:val="0"/>
          <w:sz w:val="24"/>
        </w:rPr>
        <w:t xml:space="preserve">6.5 </w:t>
      </w:r>
      <w:r>
        <w:rPr>
          <w:rFonts w:hint="eastAsia" w:ascii="Times New Roman" w:hAnsi="Times New Roman" w:eastAsia="黑体"/>
          <w:b/>
          <w:i w:val="0"/>
          <w:sz w:val="24"/>
        </w:rPr>
        <w:t xml:space="preserve">可实施性及替代方式</w:t>
      </w:r>
    </w:p>
    <w:p>
      <w:pPr>
        <w:pStyle w:val="FirstParagraph"/>
        <w:spacing w:line="276" w:lineRule="auto" w:after="120"/>
        <w:ind w:firstLine="420"/>
        <w:jc w:val="both"/>
      </w:pPr>
      <w:r>
        <w:rPr>
          <w:rFonts w:hint="eastAsia" w:ascii="Times New Roman" w:hAnsi="Times New Roman" w:eastAsia="宋体"/>
          <w:sz w:val="21"/>
        </w:rPr>
        <w:t xml:space="preserve">本发明可在通用计算设备、仿真服务器或车端开发环境中实施。控制器可以是</w:t>
      </w:r>
      <w:r>
        <w:rPr>
          <w:rFonts w:ascii="Times New Roman" w:hAnsi="Times New Roman" w:eastAsia="宋体"/>
          <w:sz w:val="21"/>
        </w:rPr>
        <w:t xml:space="preserve"> </w:t>
      </w:r>
      <w:r>
        <w:rPr>
          <w:rFonts w:hint="eastAsia" w:ascii="Times New Roman" w:hAnsi="Times New Roman" w:eastAsia="宋体"/>
          <w:sz w:val="21"/>
        </w:rPr>
        <w:t xml:space="preserve">PID、前馈—反馈组合、查表控制器或含分段增益的其它工程控制器；车辆动力学模型可以采用运动学模型、单体动力学模型或牵引车—挂车模型；参数优化器可以采用一阶梯度方法或其它利用闭环梯度的更新方法。</w:t>
      </w:r>
    </w:p>
    <w:p>
      <w:pPr>
        <w:pStyle w:val="BodyText"/>
        <w:spacing w:line="276" w:lineRule="auto" w:after="120"/>
        <w:ind w:firstLine="420"/>
        <w:jc w:val="both"/>
      </w:pPr>
      <w:r>
        <w:rPr>
          <w:rFonts w:hint="eastAsia" w:ascii="Times New Roman" w:hAnsi="Times New Roman" w:eastAsia="宋体"/>
          <w:sz w:val="21"/>
        </w:rPr>
        <w:t xml:space="preserve">训练完成后，系统输出参数配置、参数变化记录、训练超参数、场景级验证指标和验收结论。上述输出不限定具体编程语言、软件目录、配置文件扩展名或图表样式。</w:t>
      </w:r>
    </w:p>
    <w:bookmarkEnd w:id="60"/>
    <w:bookmarkEnd w:id="61"/>
    <w:bookmarkEnd w:id="62"/>
    <w:sectPr>
      <w:footerReference w:type="default" r:id="rId10"/>
      <w:footnotePr>
        <w:numRestart w:val="eachSect"/>
      </w:footnotePr>
      <w:pgSz w:w="11906" w:h="16838"/>
      <w:pgMar w:left="1800" w:right="1800" w:top="1440" w:bottom="1440" w:header="648"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sz w:val="18"/>
      </w:rPr>
      <w:t xml:space="preserve">第 </w:t>
    </w:r>
    <w:r>
      <w:fldChar w:fldCharType="begin"/>
    </w:r>
    <w:r>
      <w:instrText xml:space="preserve"> PAGE </w:instrText>
    </w:r>
    <w:r>
      <w:fldChar w:fldCharType="separate"/>
    </w:r>
    <w:r>
      <w:t>1</w:t>
    </w:r>
    <w:r>
      <w:fldChar w:fldCharType="end"/>
    </w:r>
    <w:r>
      <w:rPr>
        <w:rFonts w:ascii="Times New Roman" w:hAnsi="Times New Roman" w:eastAsia="宋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ind w:firstLine="420"/>
      <w:jc w:val="both"/>
    </w:pPr>
    <w:rPr>
      <w:rFonts w:ascii="Times New Roman" w:hAnsi="Times New Roman" w:eastAsia="宋体"/>
      <w:b w:val="0"/>
      <w:i w:val="0"/>
      <w:sz w:val="21"/>
    </w:rPr>
  </w:style>
  <w:style w:styleId="BodyText" w:type="paragraph">
    <w:name w:val="Body Text"/>
    <w:basedOn w:val="Normal"/>
    <w:link w:val="BodyTextChar"/>
    <w:qFormat/>
    <w:pPr>
      <w:spacing w:after="180" w:before="180"/>
    </w:pPr>
    <w:rPr>
      <w:rFonts w:ascii="Times New Roman" w:hAnsi="Times New Roman" w:eastAsia="宋体"/>
      <w:b w:val="0"/>
      <w:i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269" w:lineRule="auto"/>
      <w:ind w:firstLine="0"/>
      <w:outlineLvl w:val="0"/>
    </w:pPr>
    <w:rPr>
      <w:rFonts w:asciiTheme="majorHAnsi" w:cstheme="majorBidi" w:eastAsiaTheme="majorEastAsia" w:hAnsiTheme="majorHAnsi" w:ascii="Times New Roman" w:hAnsi="Times New Roman" w:eastAsia="黑体"/>
      <w:b/>
      <w:i w:val="0"/>
      <w:sz w:val="36"/>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69" w:lineRule="auto"/>
      <w:ind w:firstLine="0"/>
      <w:outlineLvl w:val="1"/>
    </w:pPr>
    <w:rPr>
      <w:rFonts w:asciiTheme="majorHAnsi" w:cstheme="majorBidi" w:eastAsiaTheme="majorEastAsia" w:hAnsiTheme="majorHAnsi" w:ascii="Times New Roman" w:hAnsi="Times New Roman" w:eastAsia="黑体"/>
      <w:b/>
      <w:i w:val="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69" w:lineRule="auto"/>
      <w:ind w:firstLine="0"/>
      <w:outlineLvl w:val="2"/>
    </w:pPr>
    <w:rPr>
      <w:rFonts w:cstheme="majorBidi" w:eastAsiaTheme="majorEastAsia" w:ascii="Times New Roman" w:hAnsi="Times New Roman" w:eastAsia="黑体"/>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60" w:line="269" w:lineRule="auto"/>
      <w:ind w:firstLine="0"/>
      <w:outlineLvl w:val="3"/>
    </w:pPr>
    <w:rPr>
      <w:rFonts w:cstheme="majorBidi" w:eastAsiaTheme="majorEastAsia" w:ascii="Times New Roman" w:hAnsi="Times New Roman" w:eastAsia="黑体"/>
      <w:b/>
      <w:i w:val="0"/>
      <w:iCs/>
      <w:sz w:val="22"/>
    </w:rPr>
  </w:style>
  <w:style w:styleId="Heading5" w:type="paragraph">
    <w:name w:val="heading 5"/>
    <w:basedOn w:val="Normal"/>
    <w:next w:val="BodyText"/>
    <w:link w:val="Heading5Char"/>
    <w:uiPriority w:val="9"/>
    <w:semiHidden/>
    <w:unhideWhenUsed/>
    <w:qFormat/>
    <w:rsid w:val="00A10FD9"/>
    <w:pPr>
      <w:keepNext/>
      <w:keepLines/>
      <w:spacing w:after="60" w:before="120" w:line="269" w:lineRule="auto"/>
      <w:ind w:firstLine="0"/>
      <w:outlineLvl w:val="4"/>
    </w:pPr>
    <w:rPr>
      <w:rFonts w:cstheme="majorBidi" w:eastAsiaTheme="majorEastAsia" w:ascii="Times New Roman" w:hAnsi="Times New Roman" w:eastAsia="黑体"/>
      <w:b/>
      <w:i w:val="0"/>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png"/><Relationship Id="rId32" Type="http://schemas.openxmlformats.org/officeDocument/2006/relationships/image" Target="media/rId32.png"/><Relationship Id="rId37" Type="http://schemas.openxmlformats.org/officeDocument/2006/relationships/image" Target="media/rId37.png"/><Relationship Id="rId25" Type="http://schemas.openxmlformats.org/officeDocument/2006/relationships/hyperlink" Target="https://arxiv.org/abs/2209.10021" TargetMode="External"/><Relationship Id="rId15" Type="http://schemas.openxmlformats.org/officeDocument/2006/relationships/hyperlink" Target="https://patents.google.com/patent/CN112039742A/zh" TargetMode="External"/><Relationship Id="rId17" Type="http://schemas.openxmlformats.org/officeDocument/2006/relationships/hyperlink" Target="https://patents.google.com/patent/CN115907250A/zh" TargetMode="External"/><Relationship Id="rId9" Type="http://schemas.openxmlformats.org/officeDocument/2006/relationships/hyperlink" Target="https://patents.google.com/patent/CN119734760A/zh" TargetMode="External"/><Relationship Id="rId13" Type="http://schemas.openxmlformats.org/officeDocument/2006/relationships/hyperlink" Target="https://patents.google.com/patent/CN120308157A/zh" TargetMode="External"/><Relationship Id="rId11" Type="http://schemas.openxmlformats.org/officeDocument/2006/relationships/hyperlink" Target="https://patents.google.com/patent/CN120517441A/zh" TargetMode="External"/><Relationship Id="rId19"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21" Type="http://schemas.openxmlformats.org/officeDocument/2006/relationships/hyperlink" Target="https://patents.google.com/patent/US20220171353A1/en"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5" Type="http://schemas.openxmlformats.org/officeDocument/2006/relationships/hyperlink" Target="https://arxiv.org/abs/2209.10021" TargetMode="External"/><Relationship Id="rId15" Type="http://schemas.openxmlformats.org/officeDocument/2006/relationships/hyperlink" Target="https://patents.google.com/patent/CN112039742A/zh" TargetMode="External"/><Relationship Id="rId17" Type="http://schemas.openxmlformats.org/officeDocument/2006/relationships/hyperlink" Target="https://patents.google.com/patent/CN115907250A/zh" TargetMode="External"/><Relationship Id="rId9" Type="http://schemas.openxmlformats.org/officeDocument/2006/relationships/hyperlink" Target="https://patents.google.com/patent/CN119734760A/zh" TargetMode="External"/><Relationship Id="rId13" Type="http://schemas.openxmlformats.org/officeDocument/2006/relationships/hyperlink" Target="https://patents.google.com/patent/CN120308157A/zh" TargetMode="External"/><Relationship Id="rId11" Type="http://schemas.openxmlformats.org/officeDocument/2006/relationships/hyperlink" Target="https://patents.google.com/patent/CN120517441A/zh" TargetMode="External"/><Relationship Id="rId19"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21" Type="http://schemas.openxmlformats.org/officeDocument/2006/relationships/hyperlink" Target="https://patents.google.com/patent/US20220171353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可微控制；参数整定；车辆动力学；横纵向控制</cp:keywords>
  <dcterms:created xsi:type="dcterms:W3CDTF">2026-07-10T05:27:23Z</dcterms:created>
  <dcterms:modified xsi:type="dcterms:W3CDTF">2026-07-10T05:27:23Z</dcterms:modified>
  <dc:subject>专利技术交底书代理人正式稿</dc:subject>
</cp:coreProperties>
</file>

<file path=docProps/custom.xml><?xml version="1.0" encoding="utf-8"?>
<Properties xmlns="http://schemas.openxmlformats.org/officeDocument/2006/custom-properties" xmlns:vt="http://schemas.openxmlformats.org/officeDocument/2006/docPropsVTypes"/>
</file>