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69" w:name="技术交底书"/>
    <w:p>
      <w:pPr>
        <w:pStyle w:val="Heading1"/>
      </w:pPr>
      <w:r>
        <w:rPr>
          <w:rFonts w:hint="eastAsia" w:ascii="Times New Roman" w:hAnsi="Times New Roman" w:eastAsia="黑体"/>
          <w:b/>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pStyle w:val="BodyText"/>
        <w:spacing w:line="324" w:lineRule="auto" w:after="120"/>
      </w:pPr>
      <w:r>
        <w:rPr>
          <w:rFonts w:hint="eastAsia" w:ascii="Times New Roman" w:hAnsi="Times New Roman" w:eastAsia="宋体"/>
          <w:b/>
          <w:bCs/>
          <w:color w:val="000000"/>
        </w:rPr>
        <w:t xml:space="preserve">版本说明</w:t>
      </w:r>
      <w:r>
        <w:rPr>
          <w:rFonts w:hint="eastAsia" w:ascii="Times New Roman" w:hAnsi="Times New Roman" w:eastAsia="宋体"/>
          <w:color w:val="000000"/>
        </w:rPr>
        <w:t xml:space="preserve">：V3；形成时间：2026-07-09；本版在</w:t>
      </w:r>
      <w:r>
        <w:rPr>
          <w:rFonts w:ascii="Times New Roman" w:hAnsi="Times New Roman" w:eastAsia="宋体"/>
          <w:color w:val="000000"/>
        </w:rPr>
        <w:t xml:space="preserve"> V2 </w:t>
      </w:r>
      <w:r>
        <w:rPr>
          <w:rFonts w:hint="eastAsia" w:ascii="Times New Roman" w:hAnsi="Times New Roman" w:eastAsia="宋体"/>
          <w:color w:val="000000"/>
        </w:rPr>
        <w:t xml:space="preserve">基础上补充国家知识产权局专利公布公告系统查新结果，并将</w:t>
      </w:r>
      <w:r>
        <w:rPr>
          <w:rFonts w:ascii="Times New Roman" w:hAnsi="Times New Roman" w:eastAsia="宋体"/>
          <w:color w:val="000000"/>
        </w:rPr>
        <w:t xml:space="preserve"> Word </w:t>
      </w:r>
      <w:r>
        <w:rPr>
          <w:rFonts w:hint="eastAsia" w:ascii="Times New Roman" w:hAnsi="Times New Roman" w:eastAsia="宋体"/>
          <w:color w:val="000000"/>
        </w:rPr>
        <w:t xml:space="preserve">版调整为黑白正式排版和原生数学公式呈现。</w:t>
      </w:r>
    </w:p>
    <w:p>
      <w:pPr>
        <w:spacing w:line="324" w:lineRule="auto" w:after="120"/>
      </w:pPr>
      <w:r>
        <w:rPr>
          <w:rFonts w:ascii="Times New Roman" w:hAnsi="Times New Roman" w:eastAsia="宋体"/>
          <w:color w:val="000000"/>
        </w:rPr>
        <w:pict>
          <v:rect style="width:0;height:1.5pt" o:hralign="center" o:hrstd="t" o:hr="t"/>
        </w:pict>
      </w:r>
    </w:p>
    <w:bookmarkStart w:id="9" w:name="注意事项"/>
    <w:p>
      <w:pPr>
        <w:pStyle w:val="Heading2"/>
      </w:pPr>
      <w:r>
        <w:rPr>
          <w:rFonts w:hint="eastAsia" w:ascii="Times New Roman" w:hAnsi="Times New Roman" w:eastAsia="黑体"/>
          <w:b/>
          <w:color w:val="000000"/>
        </w:rPr>
        <w:t xml:space="preserve">注意事项</w:t>
      </w:r>
    </w:p>
    <w:p>
      <w:pPr>
        <w:pStyle w:val="FirstParagraph"/>
        <w:spacing w:line="324" w:lineRule="auto" w:after="120"/>
      </w:pPr>
      <w:r>
        <w:rPr>
          <w:rFonts w:hint="eastAsia" w:ascii="Times New Roman" w:hAnsi="Times New Roman" w:eastAsia="宋体"/>
          <w:color w:val="000000"/>
        </w:rPr>
        <w:t xml:space="preserve">（1）交底书应使代理人能够看懂，尤其是背景技术和详细技术方案，应当写得全面、清楚、完整。</w:t>
      </w:r>
    </w:p>
    <w:p>
      <w:pPr>
        <w:pStyle w:val="BodyText"/>
        <w:spacing w:line="324" w:lineRule="auto" w:after="120"/>
      </w:pPr>
      <w:r>
        <w:rPr>
          <w:rFonts w:hint="eastAsia" w:ascii="Times New Roman" w:hAnsi="Times New Roman" w:eastAsia="宋体"/>
          <w:color w:val="000000"/>
        </w:rPr>
        <w:t xml:space="preserve">（2）技术公开程度应以本领域普通技术人员不需付出创造性劳动即可实施为准。</w:t>
      </w:r>
    </w:p>
    <w:p>
      <w:pPr>
        <w:pStyle w:val="BodyText"/>
        <w:spacing w:line="324" w:lineRule="auto" w:after="120"/>
      </w:pPr>
      <w:r>
        <w:rPr>
          <w:rFonts w:hint="eastAsia" w:ascii="Times New Roman" w:hAnsi="Times New Roman" w:eastAsia="宋体"/>
          <w:color w:val="000000"/>
        </w:rPr>
        <w:t xml:space="preserve">（3）本交底书中的实施例和参数取值用于说明可实施方式，不作为权利要求保护范围的限定。</w:t>
      </w:r>
    </w:p>
    <w:bookmarkEnd w:id="9"/>
    <w:bookmarkStart w:id="28" w:name="一介绍相关技术背景描述与本发明技术最相近的现有技术并说明该现有技术存在的缺点"/>
    <w:p>
      <w:pPr>
        <w:pStyle w:val="Heading2"/>
      </w:pPr>
      <w:r>
        <w:rPr>
          <w:rFonts w:hint="eastAsia" w:ascii="Times New Roman" w:hAnsi="Times New Roman" w:eastAsia="黑体"/>
          <w:b/>
          <w:color w:val="000000"/>
        </w:rPr>
        <w:t xml:space="preserve">一、介绍相关技术背景，描述与本发明技术最相近的现有技术，并说明该现有技术存在的缺点</w:t>
      </w:r>
    </w:p>
    <w:bookmarkStart w:id="26" w:name="现有技术"/>
    <w:p>
      <w:pPr>
        <w:pStyle w:val="Heading3"/>
      </w:pPr>
      <w:r>
        <w:rPr>
          <w:rFonts w:ascii="Times New Roman" w:hAnsi="Times New Roman" w:eastAsia="黑体"/>
          <w:b/>
          <w:color w:val="000000"/>
        </w:rPr>
        <w:t xml:space="preserve">1.1 </w:t>
      </w:r>
      <w:r>
        <w:rPr>
          <w:rFonts w:hint="eastAsia" w:ascii="Times New Roman" w:hAnsi="Times New Roman" w:eastAsia="黑体"/>
          <w:b/>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10">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2">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3">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4">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5">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6">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7">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8">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9">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w:t>
      </w:r>
      <w:r>
        <w:rPr>
          <w:rFonts w:ascii="Times New Roman" w:hAnsi="Times New Roman" w:eastAsia="宋体"/>
          <w:color w:val="000000"/>
        </w:rPr>
        <w:t xml:space="preserve"> YAML </w:t>
      </w:r>
      <w:r>
        <w:rPr>
          <w:rFonts w:hint="eastAsia" w:ascii="Times New Roman" w:hAnsi="Times New Roman" w:eastAsia="宋体"/>
          <w:color w:val="000000"/>
        </w:rPr>
        <w:t xml:space="preserve">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20">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1">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2">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3">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4">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5">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6"/>
    <w:bookmarkStart w:id="27" w:name="现有技术存在的缺点"/>
    <w:p>
      <w:pPr>
        <w:pStyle w:val="Heading3"/>
      </w:pPr>
      <w:r>
        <w:rPr>
          <w:rFonts w:ascii="Times New Roman" w:hAnsi="Times New Roman" w:eastAsia="黑体"/>
          <w:b/>
          <w:color w:val="000000"/>
        </w:rPr>
        <w:t xml:space="preserve">1.2 </w:t>
      </w:r>
      <w:r>
        <w:rPr>
          <w:rFonts w:hint="eastAsia" w:ascii="Times New Roman" w:hAnsi="Times New Roman" w:eastAsia="黑体"/>
          <w:b/>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bookmarkEnd w:id="27"/>
    <w:bookmarkEnd w:id="28"/>
    <w:bookmarkStart w:id="29" w:name="二针对上述缺点说明本发明所要解决的技术问题"/>
    <w:p>
      <w:pPr>
        <w:pStyle w:val="Heading2"/>
      </w:pPr>
      <w:r>
        <w:rPr>
          <w:rFonts w:hint="eastAsia" w:ascii="Times New Roman" w:hAnsi="Times New Roman" w:eastAsia="黑体"/>
          <w:b/>
          <w:color w:val="000000"/>
        </w:rPr>
        <w:t xml:space="preserve">二、针对上述缺点，说明本发明所要解决的技术问题</w:t>
      </w:r>
    </w:p>
    <w:p>
      <w:pPr>
        <w:pStyle w:val="FirstParagraph"/>
        <w:spacing w:line="324" w:lineRule="auto" w:after="120"/>
      </w:pPr>
      <w:r>
        <w:rPr>
          <w:rFonts w:hint="eastAsia" w:ascii="Times New Roman" w:hAnsi="Times New Roman" w:eastAsia="宋体"/>
          <w:color w:val="000000"/>
        </w:rPr>
        <w:t xml:space="preserve">本发明要解决的技术问题是：如何在不推翻既有车辆横向、纵向工程控制器结构的前提下，构建一个可微闭环仿真环境，使控制器参数能够根据轨迹跟踪误差、速度误差和控制平滑性自动更新；同时，如何在训练时允许可微近似，在验证和部署前仍保留原始硬限幅、硬分支和硬速率限制，保证整定参数具有工程可落地性。</w:t>
      </w:r>
    </w:p>
    <w:p>
      <w:pPr>
        <w:pStyle w:val="BodyText"/>
        <w:spacing w:line="324" w:lineRule="auto" w:after="120"/>
      </w:pPr>
      <w:r>
        <w:rPr>
          <w:rFonts w:hint="eastAsia" w:ascii="Times New Roman" w:hAnsi="Times New Roman" w:eastAsia="宋体"/>
          <w:color w:val="000000"/>
        </w:rPr>
        <w:t xml:space="preserve">进一步地，本发明还要解决以下问题：如何把多轨迹、多速度和车辆物理参数不确定性纳入同一批量训练过程；如何同时整定横向预瞄、收敛、角速度误差预瞄、纵向位置环和速度环等多类参数；如何在参数更新过程中维持物理边界和安全边界；如何生成可追溯的整定配置、训练曲线、验证图和日志。</w:t>
      </w:r>
    </w:p>
    <w:bookmarkEnd w:id="29"/>
    <w:bookmarkStart w:id="46" w:name="三本发明技术方案的详细阐述"/>
    <w:p>
      <w:pPr>
        <w:pStyle w:val="Heading2"/>
      </w:pPr>
      <w:r>
        <w:rPr>
          <w:rFonts w:hint="eastAsia" w:ascii="Times New Roman" w:hAnsi="Times New Roman" w:eastAsia="黑体"/>
          <w:b/>
          <w:color w:val="000000"/>
        </w:rPr>
        <w:t xml:space="preserve">三、本发明技术方案的详细阐述</w:t>
      </w:r>
    </w:p>
    <w:bookmarkStart w:id="30" w:name="背景"/>
    <w:p>
      <w:pPr>
        <w:pStyle w:val="Heading3"/>
      </w:pPr>
      <w:r>
        <w:rPr>
          <w:rFonts w:ascii="Times New Roman" w:hAnsi="Times New Roman" w:eastAsia="黑体"/>
          <w:b/>
          <w:color w:val="000000"/>
        </w:rPr>
        <w:t xml:space="preserve">3.1 </w:t>
      </w:r>
      <w:r>
        <w:rPr>
          <w:rFonts w:hint="eastAsia" w:ascii="Times New Roman" w:hAnsi="Times New Roman" w:eastAsia="黑体"/>
          <w:b/>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bookmarkEnd w:id="30"/>
    <w:bookmarkStart w:id="34" w:name="系统框图"/>
    <w:p>
      <w:pPr>
        <w:pStyle w:val="Heading3"/>
      </w:pPr>
      <w:r>
        <w:rPr>
          <w:rFonts w:ascii="Times New Roman" w:hAnsi="Times New Roman" w:eastAsia="黑体"/>
          <w:b/>
          <w:color w:val="000000"/>
        </w:rPr>
        <w:t xml:space="preserve">3.2 </w:t>
      </w:r>
      <w:r>
        <w:rPr>
          <w:rFonts w:hint="eastAsia" w:ascii="Times New Roman" w:hAnsi="Times New Roman" w:eastAsia="黑体"/>
          <w:b/>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车辆动力学模型、多场景轨迹库、闭环展开模块、损失计算模块、自动微分模块、参数投影模块、产物生成模块和硬逻辑复验模块。各模块之间形成从工程控制器复现、闭环仿真、参数更新到部署验证的闭环流程。</w:t>
      </w:r>
    </w:p>
    <w:p>
      <w:pPr>
        <w:pStyle w:val="CaptionedFigure"/>
        <w:spacing w:line="324" w:lineRule="auto" w:after="120"/>
        <w:jc w:val="center"/>
      </w:pPr>
      <w:r>
        <w:rPr>
          <w:rFonts w:ascii="Times New Roman" w:hAnsi="Times New Roman" w:eastAsia="宋体"/>
          <w:color w:val="000000"/>
        </w:rPr>
        <w:drawing>
          <wp:inline>
            <wp:extent cx="5334000" cy="3200400"/>
            <wp:effectExtent b="0" l="0" r="0" t="0"/>
            <wp:docPr descr="图1 可微闭环整定系统框图" title="" id="32" name="Picture"/>
            <a:graphic>
              <a:graphicData uri="http://schemas.openxmlformats.org/drawingml/2006/picture">
                <pic:pic>
                  <pic:nvPicPr>
                    <pic:cNvPr descr="figures/fig1_system_architecture.pn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4"/>
    <w:bookmarkStart w:id="35" w:name="模块功能说明"/>
    <w:p>
      <w:pPr>
        <w:pStyle w:val="Heading3"/>
      </w:pPr>
      <w:r>
        <w:rPr>
          <w:rFonts w:ascii="Times New Roman" w:hAnsi="Times New Roman" w:eastAsia="黑体"/>
          <w:b/>
          <w:color w:val="000000"/>
        </w:rPr>
        <w:t xml:space="preserve">3.3 </w:t>
      </w:r>
      <w:r>
        <w:rPr>
          <w:rFonts w:hint="eastAsia" w:ascii="Times New Roman" w:hAnsi="Times New Roman" w:eastAsia="黑体"/>
          <w:b/>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（3）车辆动力学模型用于将转向、加速度或扭矩等控制指令转化为车辆状态变化。车辆动力学模型可以采用运动学自行车模型、动力学自行车模型、机理模型与残差模型组合，或牵引车与挂车双体模型。</w:t>
      </w:r>
    </w:p>
    <w:p>
      <w:pPr>
        <w:pStyle w:val="BodyText"/>
        <w:spacing w:line="324" w:lineRule="auto" w:after="120"/>
      </w:pPr>
      <w:r>
        <w:rPr>
          <w:rFonts w:hint="eastAsia" w:ascii="Times New Roman" w:hAnsi="Times New Roman" w:eastAsia="宋体"/>
          <w:color w:val="000000"/>
        </w:rPr>
        <w:t xml:space="preserve">（4）多场景轨迹库用于提供换道、双换道、渐变曲率弯道、S弯、弯前减速和换道加减速等场景，并覆盖多个速度段。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（5）闭环展开模块用于按控制周期串联横向控制器、纵向控制器和车辆动力学模型，使每一时刻的状态变化都依赖前一时刻的控制结果。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（6）损失计算模块用于评价横向误差、航向误差、速度误差、转向平滑性、加速度平滑性和参数偏移，得到可优化的综合损失。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（7）自动微分模块用于沿闭环时间链路反向传播，计算综合损失对控制器参数的梯度。</w:t>
      </w:r>
    </w:p>
    <w:p>
      <w:pPr>
        <w:pStyle w:val="BodyText"/>
        <w:spacing w:line="324" w:lineRule="auto" w:after="120"/>
      </w:pPr>
      <w:r>
        <w:rPr>
          <w:rFonts w:hint="eastAsia" w:ascii="Times New Roman" w:hAnsi="Times New Roman" w:eastAsia="宋体"/>
          <w:color w:val="000000"/>
        </w:rPr>
        <w:t xml:space="preserve">（8）参数投影模块用于将更新后的参数限制在物理合理范围和安全范围内，防止自动整定越过工程可部署边界。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（9）产物生成模块用于输出整定后的参数配置、训练曲线、参数变化图、验证统计图和日志。</w:t>
      </w:r>
    </w:p>
    <w:p>
      <w:pPr>
        <w:pStyle w:val="BodyText"/>
        <w:spacing w:line="324" w:lineRule="auto" w:after="120"/>
      </w:pPr>
      <w:r>
        <w:rPr>
          <w:rFonts w:hint="eastAsia" w:ascii="Times New Roman" w:hAnsi="Times New Roman" w:eastAsia="宋体"/>
          <w:color w:val="000000"/>
        </w:rPr>
        <w:t xml:space="preserve">（10）硬逻辑复验模块用于使用验证模式运行全场景闭环仿真，检查整定参数在原始硬分支、硬限幅和硬速率限制下的表现。</w:t>
      </w:r>
    </w:p>
    <w:bookmarkEnd w:id="35"/>
    <w:bookmarkStart w:id="39" w:name="系统流程说明"/>
    <w:p>
      <w:pPr>
        <w:pStyle w:val="Heading3"/>
      </w:pPr>
      <w:r>
        <w:rPr>
          <w:rFonts w:ascii="Times New Roman" w:hAnsi="Times New Roman" w:eastAsia="黑体"/>
          <w:b/>
          <w:color w:val="000000"/>
        </w:rPr>
        <w:t xml:space="preserve">3.4 </w:t>
      </w:r>
      <w:r>
        <w:rPr>
          <w:rFonts w:hint="eastAsia" w:ascii="Times New Roman" w:hAnsi="Times New Roman" w:eastAsia="黑体"/>
          <w:b/>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556000"/>
            <wp:effectExtent b="0" l="0" r="0" t="0"/>
            <wp:docPr descr="图2 控制器参数自动整定流程" title="" id="37" name="Picture"/>
            <a:graphic>
              <a:graphicData uri="http://schemas.openxmlformats.org/drawingml/2006/picture">
                <pic:pic>
                  <pic:nvPicPr>
                    <pic:cNvPr descr="figures/fig2_method_flow.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S3，构建车辆动力学模型，并根据需要构建车辆物理参数域。物理参数域可包括牵引车质量、前轴侧偏刚度、后轴侧偏刚度和挂车相关参数。</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S5，在每一个控制周期内，按横向控制、纵向控制和车辆动力学更新的顺序推进闭环状态。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bookmarkEnd w:id="39"/>
    <w:bookmarkStart w:id="44" w:name="符号与公式"/>
    <w:p>
      <w:pPr>
        <w:pStyle w:val="Heading3"/>
      </w:pPr>
      <w:r>
        <w:rPr>
          <w:rFonts w:ascii="Times New Roman" w:hAnsi="Times New Roman" w:eastAsia="黑体"/>
          <w:b/>
          <w:color w:val="000000"/>
        </w:rPr>
        <w:t xml:space="preserve">3.4.1 </w:t>
      </w:r>
      <w:r>
        <w:rPr>
          <w:rFonts w:hint="eastAsia" w:ascii="Times New Roman" w:hAnsi="Times New Roman" w:eastAsia="黑体"/>
          <w:b/>
          <w:color w:val="000000"/>
        </w:rPr>
        <w:t xml:space="preserve">符号与公式</w:t>
      </w:r>
    </w:p>
    <w:bookmarkStart w:id="40" w:name="符号与变量定义"/>
    <w:p>
      <w:pPr>
        <w:pStyle w:val="Heading4"/>
      </w:pPr>
      <w:r>
        <w:rPr>
          <w:rFonts w:hint="eastAsia" w:ascii="Times New Roman" w:hAnsi="Times New Roman" w:eastAsia="黑体"/>
          <w:b/>
          <w:color w:val="000000"/>
        </w:rPr>
        <w:t xml:space="preserve">（1）符号与变量定义</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66"/>
        <w:gridCol w:w="2066"/>
        <w:gridCol w:w="3787"/>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含义</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下标/量纲</w:t>
            </w:r>
          </w:p>
        </w:tc>
      </w:tr>
      <w:tr>
        <w:tc>
          <w:tcPr>
            <w:vAlign w:val="center"/>
            <w:shd w:fill="FFFFFF"/>
          </w:tcPr>
          <w:p>
            <w:pPr>
              <w:pStyle w:val="Compact"/>
              <w:spacing w:line="288" w:lineRule="auto" w:after="40"/>
            </w:pPr>
            <m:oMath>
              <m:r>
                <m:t>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控制周期索引</w:t>
            </w:r>
          </w:p>
        </w:tc>
        <w:tc>
          <w:tcPr>
            <w:vAlign w:val="center"/>
            <w:shd w:fill="FFFFFF"/>
          </w:tcPr>
          <w:p>
            <w:pPr>
              <w:pStyle w:val="Compact"/>
              <w:spacing w:line="288" w:lineRule="auto" w:after="40"/>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Pr>
          <w:p>
            <w:pPr>
              <w:pStyle w:val="Compact"/>
              <w:spacing w:line="288" w:lineRule="auto" w:after="40"/>
            </w:pPr>
            <m:oMath>
              <m:sSub>
                <m:e>
                  <m:r>
                    <m:t>x</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包括位置、航向、速度、横摆角速度等</w:t>
            </w:r>
          </w:p>
        </w:tc>
      </w:tr>
      <w:tr>
        <w:tc>
          <w:tcPr>
            <w:vAlign w:val="center"/>
            <w:shd w:fill="FFFFFF"/>
          </w:tcPr>
          <w:p>
            <w:pPr>
              <w:pStyle w:val="Compact"/>
              <w:spacing w:line="288" w:lineRule="auto" w:after="40"/>
            </w:pPr>
            <m:oMath>
              <m:sSub>
                <m:e>
                  <m:r>
                    <m:t>r</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包括参考位置、航向、曲率和速度</w:t>
            </w:r>
          </w:p>
        </w:tc>
      </w:tr>
      <w:tr>
        <w:tc>
          <w:tcPr>
            <w:vAlign w:val="center"/>
            <w:shd w:fill="FFFFFF"/>
          </w:tcPr>
          <w:p>
            <w:pPr>
              <w:pStyle w:val="Compact"/>
              <w:spacing w:line="288" w:lineRule="auto" w:after="40"/>
            </w:pPr>
            <m:oMath>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包括转向、加速度或扭矩</w:t>
            </w:r>
          </w:p>
        </w:tc>
      </w:tr>
      <w:tr>
        <w:tc>
          <w:tcPr>
            <w:vAlign w:val="center"/>
            <w:shd w:fill="FFFFFF"/>
          </w:tcPr>
          <w:p>
            <w:pPr>
              <w:pStyle w:val="Compact"/>
              <w:spacing w:line="288" w:lineRule="auto" w:after="40"/>
            </w:pPr>
            <m:oMath>
              <m:r>
                <m:t>θ</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待整定控制器参数集合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车辆动力学参数集合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质量、侧偏刚度、轮胎半径等</w:t>
            </w:r>
          </w:p>
        </w:tc>
      </w:tr>
      <w:tr>
        <w:tc>
          <w:tcPr>
            <w:vAlign w:val="center"/>
            <w:shd w:fill="FFFFFF"/>
          </w:tcPr>
          <w:p>
            <w:pPr>
              <w:pStyle w:val="Compact"/>
              <w:spacing w:line="288" w:lineRule="auto" w:after="40"/>
            </w:pPr>
            <m:oMath>
              <m:sSub>
                <m:e>
                  <m:r>
                    <m:t>e</m:t>
                  </m:r>
                </m:e>
                <m:sub>
                  <m:r>
                    <m:t>t</m:t>
                  </m:r>
                  <m:r>
                    <m:rPr>
                      <m:sty m:val="p"/>
                    </m:rPr>
                    <m:t>,</m:t>
                  </m:r>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横向跟踪误差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Pr>
          <w:p>
            <w:pPr>
              <w:pStyle w:val="Compact"/>
              <w:spacing w:line="288" w:lineRule="auto" w:after="40"/>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航向误差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Pr>
          <w:p>
            <w:pPr>
              <w:pStyle w:val="Compact"/>
              <w:spacing w:line="288" w:lineRule="auto" w:after="40"/>
            </w:pPr>
            <m:oMath>
              <m:sSub>
                <m:e>
                  <m:r>
                    <m:t>e</m:t>
                  </m:r>
                </m:e>
                <m:sub>
                  <m:r>
                    <m:t>t</m:t>
                  </m:r>
                  <m:r>
                    <m:rPr>
                      <m:sty m:val="p"/>
                    </m:rPr>
                    <m:t>,</m:t>
                  </m:r>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速度误差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Pr>
          <w:p>
            <w:pPr>
              <w:pStyle w:val="Compact"/>
              <w:spacing w:line="288" w:lineRule="auto" w:after="40"/>
            </w:pPr>
            <m:oMath>
              <m:r>
                <m:rPr>
                  <m:sty m:val="p"/>
                </m:rPr>
                <m:t>Δ</m:t>
              </m:r>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相邻周期控制指令变化</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用于平滑性约束</w:t>
            </w:r>
          </w:p>
        </w:tc>
      </w:tr>
      <w:tr>
        <w:tc>
          <w:tcPr>
            <w:vAlign w:val="center"/>
            <w:shd w:fill="FFFFFF"/>
          </w:tcPr>
          <w:p>
            <w:pPr>
              <w:pStyle w:val="Compact"/>
              <w:spacing w:line="288" w:lineRule="auto" w:after="40"/>
            </w:pPr>
            <m:oMath>
              <m:r>
                <m:t>J</m:t>
              </m:r>
              <m:r>
                <m:rPr>
                  <m:sty m:val="p"/>
                </m:rPr>
                <m:t>(</m:t>
              </m:r>
              <m:r>
                <m:t>θ</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综合损失函数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无量纲或按归一化后加权</w:t>
            </w:r>
          </w:p>
        </w:tc>
      </w:tr>
      <w:tr>
        <w:tc>
          <w:tcPr>
            <w:vAlign w:val="center"/>
            <w:shd w:fill="FFFFFF"/>
          </w:tcPr>
          <w:p>
            <w:pPr>
              <w:pStyle w:val="Compact"/>
              <w:spacing w:line="288" w:lineRule="auto" w:after="40"/>
            </w:pPr>
            <m:oMath>
              <m:sSub>
                <m:e>
                  <m:r>
                    <m:rPr>
                      <m:sty m:val="p"/>
                    </m:rPr>
                    <m:t>Π</m:t>
                  </m:r>
                </m:e>
                <m:sub>
                  <m:r>
                    <m:rPr>
                      <m:sty m:val="p"/>
                    </m:rPr>
                    <m:t>Θ</m:t>
                  </m:r>
                </m:sub>
              </m:sSub>
              <m:r>
                <m:rPr>
                  <m:sty m:val="p"/>
                </m:rPr>
                <m:t>(</m:t>
              </m:r>
              <m:r>
                <m:rPr>
                  <m:sty m:val="p"/>
                </m:rPr>
                <m:t>⋅</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参数投影算子</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40"/>
    <w:bookmarkStart w:id="41" w:name="闭环状态更新"/>
    <w:p>
      <w:pPr>
        <w:pStyle w:val="Heading4"/>
      </w:pPr>
      <w:r>
        <w:rPr>
          <w:rFonts w:hint="eastAsia" w:ascii="Times New Roman" w:hAnsi="Times New Roman" w:eastAsia="黑体"/>
          <w:b/>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控制器和车辆动力学在每一周期形成如下关系。式（1）为控制器映射：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式（2）为车辆动力学更新：</w:t>
      </w:r>
    </w:p>
    <w:p>
      <w:pPr>
        <w:pStyle w:val="BodyText"/>
        <w:spacing w:line="324" w:lineRule="auto" w:after="120"/>
      </w:pPr>
      <m:oMathPara>
        <m:oMathParaPr>
          <m:jc m:val="center"/>
        </m:oMathParaPr>
        <m:oMath>
          <m:sSub>
            <m:e>
              <m:r>
                <m:t>x</m:t>
              </m:r>
            </m:e>
            <m:sub>
              <m:r>
                <m:t>t</m:t>
              </m:r>
              <m:r>
                <m:rPr>
                  <m:sty m:val="p"/>
                </m:rPr>
                <m:t>+</m:t>
              </m:r>
              <m:r>
                <m:t>1</m:t>
              </m:r>
            </m:sub>
          </m:sSub>
          <m:r>
            <m:rPr>
              <m:sty m:val="p"/>
            </m:rPr>
            <m:t>=</m:t>
          </m:r>
          <m:r>
            <m:t>f</m:t>
          </m:r>
          <m:r>
            <m:rPr>
              <m:sty m:val="p"/>
            </m:rPr>
            <m:t>(</m:t>
          </m:r>
          <m:sSub>
            <m:e>
              <m:r>
                <m:t>x</m:t>
              </m:r>
            </m:e>
            <m:sub>
              <m:r>
                <m:t>t</m:t>
              </m:r>
            </m:sub>
          </m:sSub>
          <m:r>
            <m:rPr>
              <m:sty m:val="p"/>
            </m:rPr>
            <m:t>,</m:t>
          </m:r>
          <m:sSub>
            <m:e>
              <m:r>
                <m:t>u</m:t>
              </m:r>
            </m:e>
            <m:sub>
              <m:r>
                <m:t>t</m:t>
              </m:r>
            </m:sub>
          </m:sSub>
          <m:r>
            <m:rPr>
              <m:sty m:val="p"/>
            </m:rPr>
            <m:t>,</m:t>
          </m:r>
          <m:r>
            <m:t>ϕ</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r>
          <m:t>f</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表示车辆动力学模型。由于</w:t>
      </w:r>
      <w:r>
        <w:rPr>
          <w:rFonts w:ascii="Times New Roman" w:hAnsi="Times New Roman" w:eastAsia="宋体"/>
          <w:color w:val="000000"/>
        </w:rPr>
        <w:t xml:space="preserve"> </w:t>
      </w:r>
      <m:oMath>
        <m:sSub>
          <m:e>
            <m:r>
              <m:t>x</m:t>
            </m:r>
          </m:e>
          <m:sub>
            <m:r>
              <m:t>t</m:t>
            </m:r>
            <m:r>
              <m:rPr>
                <m:sty m:val="p"/>
              </m:rPr>
              <m:t>+</m:t>
            </m:r>
            <m:r>
              <m:t>1</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sSub>
          <m:e>
            <m:r>
              <m:t>u</m:t>
            </m:r>
          </m:e>
          <m:sub>
            <m:r>
              <m:t>t</m:t>
            </m:r>
          </m:sub>
        </m:sSub>
      </m:oMath>
      <w:r>
        <w:rPr>
          <w:rFonts w:hint="eastAsia" w:ascii="Times New Roman" w:hAnsi="Times New Roman" w:eastAsia="宋体"/>
          <w:color w:val="000000"/>
        </w:rPr>
        <w:t xml:space="preserve">，而</w:t>
      </w:r>
      <w:r>
        <w:rPr>
          <w:rFonts w:ascii="Times New Roman" w:hAnsi="Times New Roman" w:eastAsia="宋体"/>
          <w:color w:val="000000"/>
        </w:rPr>
        <w:t xml:space="preserve"> </w:t>
      </w:r>
      <m:oMath>
        <m:sSub>
          <m:e>
            <m:r>
              <m:t>u</m:t>
            </m:r>
          </m:e>
          <m:sub>
            <m:r>
              <m:t>t</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r>
          <m:t>θ</m:t>
        </m:r>
      </m:oMath>
      <w:r>
        <w:rPr>
          <w:rFonts w:hint="eastAsia" w:ascii="Times New Roman" w:hAnsi="Times New Roman" w:eastAsia="宋体"/>
          <w:color w:val="000000"/>
        </w:rPr>
        <w:t xml:space="preserve">，因此多周期跟踪误差可以沿时间链路对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1"/>
    <w:bookmarkStart w:id="42" w:name="综合损失"/>
    <w:p>
      <w:pPr>
        <w:pStyle w:val="Heading4"/>
      </w:pPr>
      <w:r>
        <w:rPr>
          <w:rFonts w:hint="eastAsia" w:ascii="Times New Roman" w:hAnsi="Times New Roman" w:eastAsia="黑体"/>
          <w:b/>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训练阶段可采用如下综合损失。式（3）为多目标加权损失：</w:t>
      </w:r>
    </w:p>
    <w:p>
      <w:pPr>
        <w:pStyle w:val="BodyText"/>
        <w:spacing w:line="324" w:lineRule="auto" w:after="120"/>
      </w:pPr>
      <m:oMathPara>
        <m:oMathParaPr>
          <m:jc m:val="center"/>
        </m:oMathParaPr>
        <m:oMath>
          <m:r>
            <m:t>J</m:t>
          </m:r>
          <m:r>
            <m:rPr>
              <m:sty m:val="p"/>
            </m:rPr>
            <m:t>(</m:t>
          </m:r>
          <m:r>
            <m:t>θ</m:t>
          </m:r>
          <m:r>
            <m:rPr>
              <m:sty m:val="p"/>
            </m:rPr>
            <m:t>)</m:t>
          </m:r>
          <m:r>
            <m:rPr>
              <m:sty m:val="p"/>
            </m:rPr>
            <m:t>=</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2"/>
    <w:bookmarkStart w:id="43" w:name="参数更新与硬逻辑复验"/>
    <w:p>
      <w:pPr>
        <w:pStyle w:val="Heading4"/>
      </w:pPr>
      <w:r>
        <w:rPr>
          <w:rFonts w:hint="eastAsia" w:ascii="Times New Roman" w:hAnsi="Times New Roman" w:eastAsia="黑体"/>
          <w:b/>
          <w:color w:val="000000"/>
        </w:rPr>
        <w:t xml:space="preserve">（4）参数更新与硬逻辑复验</w:t>
      </w:r>
    </w:p>
    <w:p>
      <w:pPr>
        <w:pStyle w:val="FirstParagraph"/>
        <w:spacing w:line="324" w:lineRule="auto" w:after="120"/>
      </w:pPr>
      <w:r>
        <w:rPr>
          <w:rFonts w:hint="eastAsia" w:ascii="Times New Roman" w:hAnsi="Times New Roman" w:eastAsia="宋体"/>
          <w:color w:val="000000"/>
        </w:rPr>
        <w:t xml:space="preserve">参数更新可表示为式（4）：</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后，将其放入验证模式，如式（5）：</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oMath>
      </m:oMathPara>
    </w:p>
    <w:p>
      <w:pPr>
        <w:pStyle w:val="FirstParagraph"/>
        <w:spacing w:line="324" w:lineRule="auto" w:after="120"/>
      </w:pPr>
      <w:r>
        <w:rPr>
          <w:rFonts w:hint="eastAsia" w:ascii="Times New Roman" w:hAnsi="Times New Roman" w:eastAsia="宋体"/>
          <w:color w:val="000000"/>
        </w:rPr>
        <w:t xml:space="preserve">式（5）表示用原始硬分支、硬限幅和硬速率限制运行全场景验证，并输出轨迹、误差、控制指令和日志。只有当验证结果满足预设要求时，整定参数才作为可部署配置输出。</w:t>
      </w:r>
    </w:p>
    <w:bookmarkEnd w:id="43"/>
    <w:bookmarkEnd w:id="44"/>
    <w:bookmarkStart w:id="45" w:name="关键技术参数"/>
    <w:p>
      <w:pPr>
        <w:pStyle w:val="Heading3"/>
      </w:pPr>
      <w:r>
        <w:rPr>
          <w:rFonts w:ascii="Times New Roman" w:hAnsi="Times New Roman" w:eastAsia="黑体"/>
          <w:b/>
          <w:color w:val="000000"/>
        </w:rPr>
        <w:t xml:space="preserve">3.5 </w:t>
      </w:r>
      <w:r>
        <w:rPr>
          <w:rFonts w:hint="eastAsia" w:ascii="Times New Roman" w:hAnsi="Times New Roman" w:eastAsia="黑体"/>
          <w:b/>
          <w:color w:val="000000"/>
        </w:rPr>
        <w:t xml:space="preserve">关键技术参数</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0"/>
        <w:gridCol w:w="1650"/>
        <w:gridCol w:w="1980"/>
        <w:gridCol w:w="2310"/>
        <w:gridCol w:w="990"/>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参数内容</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约束或范围</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是否参与整定</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作用</w:t>
            </w:r>
          </w:p>
        </w:tc>
      </w:tr>
      <w:tr>
        <w:tc>
          <w:tcPr>
            <w:vAlign w:val="center"/>
            <w:shd w:fill="FFFFFF"/>
          </w:tcPr>
          <w:p>
            <w:pPr>
              <w:pStyle w:val="Compact"/>
              <w:spacing w:line="288" w:lineRule="auto" w:after="40"/>
            </w:pPr>
            <m:oMath>
              <m:sSub>
                <m:e>
                  <m:r>
                    <m:t>θ</m:t>
                  </m:r>
                </m:e>
                <m:sub>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受速度段和转向稳定性约束</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对应横向控制器跟踪精度和转向平滑性</w:t>
            </w:r>
          </w:p>
        </w:tc>
      </w:tr>
      <w:tr>
        <w:tc>
          <w:tcPr>
            <w:vAlign w:val="center"/>
            <w:shd w:fill="FFFFFF"/>
          </w:tcPr>
          <w:p>
            <w:pPr>
              <w:pStyle w:val="Compact"/>
              <w:spacing w:line="288" w:lineRule="auto" w:after="40"/>
            </w:pPr>
            <m:oMath>
              <m:sSub>
                <m:e>
                  <m:r>
                    <m:t>θ</m:t>
                  </m:r>
                </m:e>
                <m:sub>
                  <m:r>
                    <m:rPr>
                      <m:sty m:val="p"/>
                    </m:rPr>
                    <m:t>l</m:t>
                  </m:r>
                  <m:r>
                    <m:rPr>
                      <m:sty m:val="p"/>
                    </m:rPr>
                    <m:t>o</m:t>
                  </m:r>
                  <m:r>
                    <m:rPr>
                      <m:sty m:val="p"/>
                    </m:rPr>
                    <m:t>n</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增益非负，切换速度位于工程范围内</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对应速度跟踪和加减速响应</w:t>
            </w:r>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质量、前后轴侧偏刚度、轮胎半径、传动效率</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名义值或采样范围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固定或采样</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用于车辆动力学与域随机化</w:t>
            </w:r>
          </w:p>
        </w:tc>
      </w:tr>
      <w:tr>
        <w:tc>
          <w:tcPr>
            <w:vAlign w:val="center"/>
            <w:shd w:fill="FFFFFF"/>
          </w:tcPr>
          <w:p>
            <w:pPr>
              <w:pStyle w:val="Compact"/>
              <w:spacing w:line="288" w:lineRule="auto" w:after="40"/>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跟踪误差权重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用于平衡横向、航向和速度目标</w:t>
            </w:r>
          </w:p>
        </w:tc>
      </w:tr>
      <w:tr>
        <w:tc>
          <w:tcPr>
            <w:vAlign w:val="center"/>
            <w:shd w:fill="FFFFFF"/>
          </w:tcPr>
          <w:p>
            <w:pPr>
              <w:pStyle w:val="Compact"/>
              <w:spacing w:line="288" w:lineRule="auto" w:after="40"/>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控制指令平滑权重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用于抑制转向和加速度突变</w:t>
            </w:r>
          </w:p>
        </w:tc>
      </w:tr>
      <w:tr>
        <w:tc>
          <w:tcPr>
            <w:vAlign w:val="center"/>
            <w:shd w:fill="FFFFFF"/>
          </w:tcPr>
          <w:p>
            <w:pPr>
              <w:pStyle w:val="Compact"/>
              <w:spacing w:line="288" w:lineRule="auto" w:after="40"/>
            </w:pPr>
            <m:oMath>
              <m:sSub>
                <m:e>
                  <m:r>
                    <m:rPr>
                      <m:sty m:val="p"/>
                    </m:rPr>
                    <m:t>Π</m:t>
                  </m:r>
                </m:e>
                <m:sub>
                  <m:r>
                    <m:rPr>
                      <m:sty m:val="p"/>
                    </m:rPr>
                    <m:t>Θ</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上下界由车辆物理和安全约束确定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防止自动更新越过可部署范围</w:t>
            </w:r>
          </w:p>
        </w:tc>
      </w:tr>
    </w:tbl>
    <w:bookmarkEnd w:id="45"/>
    <w:bookmarkEnd w:id="46"/>
    <w:bookmarkStart w:id="47" w:name="四与现有技术相比本发明具有哪些优点"/>
    <w:p>
      <w:pPr>
        <w:pStyle w:val="Heading2"/>
      </w:pPr>
      <w:r>
        <w:rPr>
          <w:rFonts w:hint="eastAsia" w:ascii="Times New Roman" w:hAnsi="Times New Roman" w:eastAsia="黑体"/>
          <w:b/>
          <w:color w:val="000000"/>
        </w:rPr>
        <w:t xml:space="preserve">四、与现有技术相比，本发明具有哪些优点？</w:t>
      </w:r>
    </w:p>
    <w:p>
      <w:pPr>
        <w:pStyle w:val="FirstParagraph"/>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（5）本发明通过参数投影模块把自动更新后的参数限制在工程可部署范围内，使输出参数更容易进入原控制模块配置文件。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（6）本发明能够输出训练曲线、参数变化图、硬逻辑验证统计和代表场景对比图，便于追溯参数整定过程。</w:t>
      </w:r>
    </w:p>
    <w:bookmarkEnd w:id="47"/>
    <w:bookmarkStart w:id="48" w:name="五本发明的技术关键点和欲保护点是什么"/>
    <w:p>
      <w:pPr>
        <w:pStyle w:val="Heading2"/>
      </w:pPr>
      <w:r>
        <w:rPr>
          <w:rFonts w:hint="eastAsia" w:ascii="Times New Roman" w:hAnsi="Times New Roman" w:eastAsia="黑体"/>
          <w:b/>
          <w:color w:val="000000"/>
        </w:rPr>
        <w:t xml:space="preserve">五、本发明的技术关键点和欲保护点是什么？</w:t>
      </w:r>
    </w:p>
    <w:p>
      <w:pPr>
        <w:pStyle w:val="FirstParagraph"/>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车辆动力学模型、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（3）保护横向控制器和纵向控制器串行闭环展开的整定链路。横向控制结果、纵向控制结果和车辆动力学状态更新按控制周期串联，使多个周期后的轨迹误差能够反向影响控制器参数。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（4）保护参数集合的自动识别与分组整定方式。待整定参数可包括横向预瞄类参数、收敛类参数、角速度误差预瞄类参数、远预瞄查表参数、纵向位置环参数、纵向速度环参数和速度段切换参数。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（5）保护面向车辆物理参数不确定性的域随机化整定方式。训练时可对车辆质量、侧偏刚度、轮胎或传动相关参数采样，使整定结果兼顾多组车辆物理参数。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（6）保护反馈噪声和指令抖动参与训练的鲁棒整定方式。训练时可对位置、航向、速度、横摆角速度等反馈量加入噪声，并对转向、扭矩或加速度指令加入扰动。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（7）保护综合损失构造方式。综合损失至少包括横向跟踪误差、航向误差、速度误差、控制指令平滑项和参数偏移正则项中的一种或多种组合。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（8）保护参数投影和可部署配置生成方式。参数更新后通过投影算子限制在预设范围内，并导出与原控制器配置格式对应的参数文件。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（9）保护硬逻辑复验方式。整定完成后将参数放回保留原始硬限幅、硬分支和硬速率限制的验证路径中运行全场景闭环仿真，以验证部署前性能。</w:t>
      </w:r>
    </w:p>
    <w:bookmarkEnd w:id="48"/>
    <w:bookmarkStart w:id="68" w:name="六其它实施例技术效果参数示例"/>
    <w:p>
      <w:pPr>
        <w:pStyle w:val="Heading2"/>
      </w:pPr>
      <w:r>
        <w:rPr>
          <w:rFonts w:hint="eastAsia" w:ascii="Times New Roman" w:hAnsi="Times New Roman" w:eastAsia="黑体"/>
          <w:b/>
          <w:color w:val="000000"/>
        </w:rPr>
        <w:t xml:space="preserve">六、其它（实施例、技术效果、参数示例）</w:t>
      </w:r>
    </w:p>
    <w:bookmarkStart w:id="64" w:name="实施例一基于牵引车-挂车模型的横纵向联合整定"/>
    <w:p>
      <w:pPr>
        <w:pStyle w:val="Heading3"/>
      </w:pPr>
      <w:r>
        <w:rPr>
          <w:rFonts w:ascii="Times New Roman" w:hAnsi="Times New Roman" w:eastAsia="黑体"/>
          <w:b/>
          <w:color w:val="000000"/>
        </w:rPr>
        <w:t xml:space="preserve">6.1 </w:t>
      </w:r>
      <w:r>
        <w:rPr>
          <w:rFonts w:hint="eastAsia" w:ascii="Times New Roman" w:hAnsi="Times New Roman" w:eastAsia="黑体"/>
          <w:b/>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运动学或动力学近似模型。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kph </w:t>
      </w:r>
      <w:r>
        <w:rPr>
          <w:rFonts w:hint="eastAsia" w:ascii="Times New Roman" w:hAnsi="Times New Roman" w:eastAsia="宋体"/>
          <w:color w:val="000000"/>
        </w:rPr>
        <w:t xml:space="preserve">至</w:t>
      </w:r>
      <w:r>
        <w:rPr>
          <w:rFonts w:ascii="Times New Roman" w:hAnsi="Times New Roman" w:eastAsia="宋体"/>
          <w:color w:val="000000"/>
        </w:rPr>
        <w:t xml:space="preserve"> 50 kph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50" name="Picture"/>
            <a:graphic>
              <a:graphicData uri="http://schemas.openxmlformats.org/drawingml/2006/picture">
                <pic:pic>
                  <pic:nvPicPr>
                    <pic:cNvPr descr="figures/fig3_loss_curve.png" id="51" name="Picture"/>
                    <pic:cNvPicPr>
                      <a:picLocks noChangeArrowheads="1" noChangeAspect="1"/>
                    </pic:cNvPicPr>
                  </pic:nvPicPr>
                  <pic:blipFill>
                    <a:blip r:embed="rId49"/>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3" name="Picture"/>
            <a:graphic>
              <a:graphicData uri="http://schemas.openxmlformats.org/drawingml/2006/picture">
                <pic:pic>
                  <pic:nvPicPr>
                    <pic:cNvPr descr="figures/fig4_parameter_changes.png" id="54" name="Picture"/>
                    <pic:cNvPicPr>
                      <a:picLocks noChangeArrowheads="1" noChangeAspect="1"/>
                    </pic:cNvPicPr>
                  </pic:nvPicPr>
                  <pic:blipFill>
                    <a:blip r:embed="rId52"/>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6" name="Picture"/>
            <a:graphic>
              <a:graphicData uri="http://schemas.openxmlformats.org/drawingml/2006/picture">
                <pic:pic>
                  <pic:nvPicPr>
                    <pic:cNvPr descr="figures/fig5_training_summary.png" id="57" name="Picture"/>
                    <pic:cNvPicPr>
                      <a:picLocks noChangeArrowheads="1" noChangeAspect="1"/>
                    </pic:cNvPicPr>
                  </pic:nvPicPr>
                  <pic:blipFill>
                    <a:blip r:embed="rId55"/>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图6和图7示出了代表场景的轨迹跟踪和横向误差对比；完整结果保留在项目结果目录中。</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9" name="Picture"/>
            <a:graphic>
              <a:graphicData uri="http://schemas.openxmlformats.org/drawingml/2006/picture">
                <pic:pic>
                  <pic:nvPicPr>
                    <pic:cNvPr descr="figures/fig6_comparison_trajectory.png" id="60" name="Picture"/>
                    <pic:cNvPicPr>
                      <a:picLocks noChangeArrowheads="1" noChangeAspect="1"/>
                    </pic:cNvPicPr>
                  </pic:nvPicPr>
                  <pic:blipFill>
                    <a:blip r:embed="rId58"/>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2" name="Picture"/>
            <a:graphic>
              <a:graphicData uri="http://schemas.openxmlformats.org/drawingml/2006/picture">
                <pic:pic>
                  <pic:nvPicPr>
                    <pic:cNvPr descr="figures/fig7_comparison_lateral_error.png" id="63" name="Picture"/>
                    <pic:cNvPicPr>
                      <a:picLocks noChangeArrowheads="1" noChangeAspect="1"/>
                    </pic:cNvPicPr>
                  </pic:nvPicPr>
                  <pic:blipFill>
                    <a:blip r:embed="rId61"/>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4"/>
    <w:bookmarkStart w:id="65" w:name="实施例二车辆物理参数域随机化整定"/>
    <w:p>
      <w:pPr>
        <w:pStyle w:val="Heading3"/>
      </w:pPr>
      <w:r>
        <w:rPr>
          <w:rFonts w:ascii="Times New Roman" w:hAnsi="Times New Roman" w:eastAsia="黑体"/>
          <w:b/>
          <w:color w:val="000000"/>
        </w:rPr>
        <w:t xml:space="preserve">6.2 </w:t>
      </w:r>
      <w:r>
        <w:rPr>
          <w:rFonts w:hint="eastAsia" w:ascii="Times New Roman" w:hAnsi="Times New Roman" w:eastAsia="黑体"/>
          <w:b/>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5"/>
    <w:bookmarkStart w:id="66" w:name="实施例三叠加反馈噪声和指令抖动的鲁棒整定"/>
    <w:p>
      <w:pPr>
        <w:pStyle w:val="Heading3"/>
      </w:pPr>
      <w:r>
        <w:rPr>
          <w:rFonts w:ascii="Times New Roman" w:hAnsi="Times New Roman" w:eastAsia="黑体"/>
          <w:b/>
          <w:color w:val="000000"/>
        </w:rPr>
        <w:t xml:space="preserve">6.3 </w:t>
      </w:r>
      <w:r>
        <w:rPr>
          <w:rFonts w:hint="eastAsia" w:ascii="Times New Roman" w:hAnsi="Times New Roman" w:eastAsia="黑体"/>
          <w:b/>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6"/>
    <w:bookmarkStart w:id="67" w:name="项目实现依据"/>
    <w:p>
      <w:pPr>
        <w:pStyle w:val="Heading3"/>
      </w:pPr>
      <w:r>
        <w:rPr>
          <w:rFonts w:ascii="Times New Roman" w:hAnsi="Times New Roman" w:eastAsia="黑体"/>
          <w:b/>
          <w:color w:val="000000"/>
        </w:rPr>
        <w:t xml:space="preserve">6.4 </w:t>
      </w:r>
      <w:r>
        <w:rPr>
          <w:rFonts w:hint="eastAsia" w:ascii="Times New Roman" w:hAnsi="Times New Roman" w:eastAsia="黑体"/>
          <w:b/>
          <w:color w:val="000000"/>
        </w:rPr>
        <w:t xml:space="preserve">项目实现依据</w:t>
      </w:r>
    </w:p>
    <w:p>
      <w:pPr>
        <w:pStyle w:val="FirstParagraph"/>
        <w:spacing w:line="324" w:lineRule="auto" w:after="120"/>
      </w:pPr>
      <w:r>
        <w:rPr>
          <w:rFonts w:hint="eastAsia" w:ascii="Times New Roman" w:hAnsi="Times New Roman" w:eastAsia="宋体"/>
          <w:color w:val="000000"/>
        </w:rPr>
        <w:t xml:space="preserve">控制器复现和参数分类可参考项目文件：</w:t>
      </w:r>
      <w:r>
        <w:rPr>
          <w:rStyle w:val="VerbatimChar"/>
          <w:rFonts w:ascii="Times New Roman" w:hAnsi="Times New Roman" w:eastAsia="宋体"/>
          <w:color w:val="000000"/>
        </w:rPr>
        <w:t xml:space="preserve">sim/controller/lat_truck.py</w:t>
      </w:r>
      <w:r>
        <w:rPr>
          <w:rFonts w:ascii="Times New Roman" w:hAnsi="Times New Roman" w:eastAsia="宋体"/>
          <w:color w:val="000000"/>
        </w:rPr>
        <w:t xml:space="preserve">、</w:t>
      </w:r>
      <w:r>
        <w:rPr>
          <w:rStyle w:val="VerbatimChar"/>
          <w:rFonts w:ascii="Times New Roman" w:hAnsi="Times New Roman" w:eastAsia="宋体"/>
          <w:color w:val="000000"/>
        </w:rPr>
        <w:t xml:space="preserve">sim/controller/lon.py</w:t>
      </w:r>
      <w:r>
        <w:rPr>
          <w:rFonts w:ascii="Times New Roman" w:hAnsi="Times New Roman" w:eastAsia="宋体"/>
          <w:color w:val="000000"/>
        </w:rPr>
        <w:t xml:space="preserve">、</w:t>
      </w:r>
      <w:r>
        <w:rPr>
          <w:rStyle w:val="VerbatimChar"/>
          <w:rFonts w:ascii="Times New Roman" w:hAnsi="Times New Roman" w:eastAsia="宋体"/>
          <w:color w:val="000000"/>
        </w:rPr>
        <w:t xml:space="preserve">docs/tunable_params_analysis.md</w:t>
      </w:r>
      <w:r>
        <w:rPr>
          <w:rFonts w:ascii="Times New Roman" w:hAnsi="Times New Roman" w:eastAsia="宋体"/>
          <w:color w:val="000000"/>
        </w:rPr>
        <w:t xml:space="preserve">。</w:t>
      </w:r>
    </w:p>
    <w:p>
      <w:pPr>
        <w:pStyle w:val="BodyText"/>
        <w:spacing w:line="324" w:lineRule="auto" w:after="120"/>
      </w:pPr>
      <w:r>
        <w:rPr>
          <w:rFonts w:hint="eastAsia" w:ascii="Times New Roman" w:hAnsi="Times New Roman" w:eastAsia="宋体"/>
          <w:color w:val="000000"/>
        </w:rPr>
        <w:t xml:space="preserve">闭环仿真和双路径验证可参考项目文件：</w:t>
      </w:r>
      <w:r>
        <w:rPr>
          <w:rStyle w:val="VerbatimChar"/>
          <w:rFonts w:ascii="Times New Roman" w:hAnsi="Times New Roman" w:eastAsia="宋体"/>
          <w:color w:val="000000"/>
        </w:rPr>
        <w:t xml:space="preserve">sim/sim_loop.py</w:t>
      </w:r>
      <w:r>
        <w:rPr>
          <w:rFonts w:ascii="Times New Roman" w:hAnsi="Times New Roman" w:eastAsia="宋体"/>
          <w:color w:val="000000"/>
        </w:rPr>
        <w:t xml:space="preserve">、</w:t>
      </w:r>
      <w:r>
        <w:rPr>
          <w:rStyle w:val="VerbatimChar"/>
          <w:rFonts w:ascii="Times New Roman" w:hAnsi="Times New Roman" w:eastAsia="宋体"/>
          <w:color w:val="000000"/>
        </w:rPr>
        <w:t xml:space="preserve">sim/common.py</w:t>
      </w:r>
      <w:r>
        <w:rPr>
          <w:rFonts w:ascii="Times New Roman" w:hAnsi="Times New Roman" w:eastAsia="宋体"/>
          <w:color w:val="000000"/>
        </w:rPr>
        <w:t xml:space="preserve">、</w:t>
      </w:r>
      <w:r>
        <w:rPr>
          <w:rStyle w:val="VerbatimChar"/>
          <w:rFonts w:ascii="Times New Roman" w:hAnsi="Times New Roman" w:eastAsia="宋体"/>
          <w:color w:val="000000"/>
        </w:rPr>
        <w:t xml:space="preserve">sim/optim/post_training.py</w:t>
      </w:r>
      <w:r>
        <w:rPr>
          <w:rFonts w:ascii="Times New Roman" w:hAnsi="Times New Roman" w:eastAsia="宋体"/>
          <w:color w:val="000000"/>
        </w:rPr>
        <w:t xml:space="preserve">。</w:t>
      </w:r>
    </w:p>
    <w:p>
      <w:pPr>
        <w:pStyle w:val="BodyText"/>
        <w:spacing w:line="324" w:lineRule="auto" w:after="120"/>
      </w:pPr>
      <w:r>
        <w:rPr>
          <w:rFonts w:hint="eastAsia" w:ascii="Times New Roman" w:hAnsi="Times New Roman" w:eastAsia="宋体"/>
          <w:color w:val="000000"/>
        </w:rPr>
        <w:t xml:space="preserve">批量并行训练、域随机化、反馈噪声和指令抖动可参考项目文件：</w:t>
      </w:r>
      <w:r>
        <w:rPr>
          <w:rStyle w:val="VerbatimChar"/>
          <w:rFonts w:ascii="Times New Roman" w:hAnsi="Times New Roman" w:eastAsia="宋体"/>
          <w:color w:val="000000"/>
        </w:rPr>
        <w:t xml:space="preserve">sim/optim/train_batch.py</w:t>
      </w:r>
      <w:r>
        <w:rPr>
          <w:rFonts w:ascii="Times New Roman" w:hAnsi="Times New Roman" w:eastAsia="宋体"/>
          <w:color w:val="000000"/>
        </w:rPr>
        <w:t xml:space="preserve">、</w:t>
      </w:r>
      <w:r>
        <w:rPr>
          <w:rStyle w:val="VerbatimChar"/>
          <w:rFonts w:ascii="Times New Roman" w:hAnsi="Times New Roman" w:eastAsia="宋体"/>
          <w:color w:val="000000"/>
        </w:rPr>
        <w:t xml:space="preserve">docs/plans/2026-05-08-domain-randomization-design.md</w:t>
      </w:r>
      <w:r>
        <w:rPr>
          <w:rFonts w:ascii="Times New Roman" w:hAnsi="Times New Roman" w:eastAsia="宋体"/>
          <w:color w:val="000000"/>
        </w:rPr>
        <w:t xml:space="preserve">、</w:t>
      </w:r>
      <w:r>
        <w:rPr>
          <w:rStyle w:val="VerbatimChar"/>
          <w:rFonts w:ascii="Times New Roman" w:hAnsi="Times New Roman" w:eastAsia="宋体"/>
          <w:color w:val="000000"/>
        </w:rPr>
        <w:t xml:space="preserve">docs/plans/2026-05-08-aggressive-dr-noise-dither-design.md</w:t>
      </w:r>
      <w:r>
        <w:rPr>
          <w:rFonts w:ascii="Times New Roman" w:hAnsi="Times New Roman" w:eastAsia="宋体"/>
          <w:color w:val="000000"/>
        </w:rPr>
        <w:t xml:space="preserve">。</w:t>
      </w:r>
    </w:p>
    <w:p>
      <w:pPr>
        <w:pStyle w:val="BodyText"/>
        <w:spacing w:line="324" w:lineRule="auto" w:after="120"/>
      </w:pPr>
      <w:r>
        <w:rPr>
          <w:rFonts w:hint="eastAsia" w:ascii="Times New Roman" w:hAnsi="Times New Roman" w:eastAsia="宋体"/>
          <w:color w:val="000000"/>
        </w:rPr>
        <w:t xml:space="preserve">实验结果图和日志可参考项目目录：</w:t>
      </w:r>
      <w:r>
        <w:rPr>
          <w:rStyle w:val="VerbatimChar"/>
          <w:rFonts w:ascii="Times New Roman" w:hAnsi="Times New Roman" w:eastAsia="宋体"/>
          <w:color w:val="000000"/>
        </w:rPr>
        <w:t xml:space="preserve">sim/results/training/truck_trailer/20260526_123421_mlp0525</w:t>
      </w:r>
      <w:r>
        <w:rPr>
          <w:rFonts w:ascii="Times New Roman" w:hAnsi="Times New Roman" w:eastAsia="宋体"/>
          <w:color w:val="000000"/>
        </w:rPr>
        <w:t xml:space="preserve">、</w:t>
      </w:r>
      <w:r>
        <w:rPr>
          <w:rStyle w:val="VerbatimChar"/>
          <w:rFonts w:ascii="Times New Roman" w:hAnsi="Times New Roman" w:eastAsia="宋体"/>
          <w:color w:val="000000"/>
        </w:rPr>
        <w:t xml:space="preserve">sim/results/training/truck_trailer/20260508_133208_nomlp_dr</w:t>
      </w:r>
      <w:r>
        <w:rPr>
          <w:rFonts w:ascii="Times New Roman" w:hAnsi="Times New Roman" w:eastAsia="宋体"/>
          <w:color w:val="000000"/>
        </w:rPr>
        <w:t xml:space="preserve">、</w:t>
      </w:r>
      <w:r>
        <w:rPr>
          <w:rStyle w:val="VerbatimChar"/>
          <w:rFonts w:ascii="Times New Roman" w:hAnsi="Times New Roman" w:eastAsia="宋体"/>
          <w:color w:val="000000"/>
        </w:rPr>
        <w:t xml:space="preserve">sim/results/training/truck_trailer/20260509_181719_mlp0509_dr+noise+dither</w:t>
      </w:r>
      <w:r>
        <w:rPr>
          <w:rFonts w:ascii="Times New Roman" w:hAnsi="Times New Roman" w:eastAsia="宋体"/>
          <w:color w:val="000000"/>
        </w:rPr>
        <w:t xml:space="preserve">。</w:t>
      </w:r>
    </w:p>
    <w:bookmarkEnd w:id="67"/>
    <w:bookmarkEnd w:id="68"/>
    <w:bookmarkEnd w:id="69"/>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17" Type="http://schemas.openxmlformats.org/officeDocument/2006/relationships/hyperlink" Target="http://epub.cnipa.gov.cn/patent/CN112039742A" TargetMode="External"/><Relationship Id="rId12" Type="http://schemas.openxmlformats.org/officeDocument/2006/relationships/hyperlink" Target="http://epub.cnipa.gov.cn/patent/CN118062031A" TargetMode="External"/><Relationship Id="rId14" Type="http://schemas.openxmlformats.org/officeDocument/2006/relationships/hyperlink" Target="http://epub.cnipa.gov.cn/patent/CN118560523A" TargetMode="External"/><Relationship Id="rId11" Type="http://schemas.openxmlformats.org/officeDocument/2006/relationships/hyperlink" Target="http://epub.cnipa.gov.cn/patent/CN119270808A" TargetMode="External"/><Relationship Id="rId10" Type="http://schemas.openxmlformats.org/officeDocument/2006/relationships/hyperlink" Target="http://epub.cnipa.gov.cn/patent/CN119734760A" TargetMode="External"/><Relationship Id="rId15" Type="http://schemas.openxmlformats.org/officeDocument/2006/relationships/hyperlink" Target="http://epub.cnipa.gov.cn/patent/CN120308157A" TargetMode="External"/><Relationship Id="rId13" Type="http://schemas.openxmlformats.org/officeDocument/2006/relationships/hyperlink" Target="http://epub.cnipa.gov.cn/patent/CN120517441A" TargetMode="External"/><Relationship Id="rId19" Type="http://schemas.openxmlformats.org/officeDocument/2006/relationships/hyperlink" Target="http://epub.cnipa.gov.cn/patent/CN121455178A" TargetMode="External"/><Relationship Id="rId18" Type="http://schemas.openxmlformats.org/officeDocument/2006/relationships/hyperlink" Target="http://epub.cnipa.gov.cn/patent/CN122018327A" TargetMode="External"/><Relationship Id="rId16" Type="http://schemas.openxmlformats.org/officeDocument/2006/relationships/hyperlink" Target="http://epub.cnipa.gov.cn/patent/CN122323981A" TargetMode="External"/><Relationship Id="rId25" Type="http://schemas.openxmlformats.org/officeDocument/2006/relationships/hyperlink" Target="https://arxiv.org/abs/2209.10021" TargetMode="External"/><Relationship Id="rId23" Type="http://schemas.openxmlformats.org/officeDocument/2006/relationships/hyperlink" Target="https://patents.google.com/patent/CN115907250A/en" TargetMode="External"/><Relationship Id="rId21" Type="http://schemas.openxmlformats.org/officeDocument/2006/relationships/hyperlink" Target="https://patents.google.com/patent/US11731648B2/en" TargetMode="External"/><Relationship Id="rId24" Type="http://schemas.openxmlformats.org/officeDocument/2006/relationships/hyperlink" Target="https://patents.google.com/patent/US12007778B2/en" TargetMode="External"/><Relationship Id="rId20" Type="http://schemas.openxmlformats.org/officeDocument/2006/relationships/hyperlink" Target="https://patents.google.com/patent/US20220171353A1/en" TargetMode="External"/><Relationship Id="rId22"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epub.cnipa.gov.cn/patent/CN112039742A" TargetMode="External"/><Relationship Id="rId12" Type="http://schemas.openxmlformats.org/officeDocument/2006/relationships/hyperlink" Target="http://epub.cnipa.gov.cn/patent/CN118062031A" TargetMode="External"/><Relationship Id="rId14" Type="http://schemas.openxmlformats.org/officeDocument/2006/relationships/hyperlink" Target="http://epub.cnipa.gov.cn/patent/CN118560523A" TargetMode="External"/><Relationship Id="rId11" Type="http://schemas.openxmlformats.org/officeDocument/2006/relationships/hyperlink" Target="http://epub.cnipa.gov.cn/patent/CN119270808A" TargetMode="External"/><Relationship Id="rId10" Type="http://schemas.openxmlformats.org/officeDocument/2006/relationships/hyperlink" Target="http://epub.cnipa.gov.cn/patent/CN119734760A" TargetMode="External"/><Relationship Id="rId15" Type="http://schemas.openxmlformats.org/officeDocument/2006/relationships/hyperlink" Target="http://epub.cnipa.gov.cn/patent/CN120308157A" TargetMode="External"/><Relationship Id="rId13" Type="http://schemas.openxmlformats.org/officeDocument/2006/relationships/hyperlink" Target="http://epub.cnipa.gov.cn/patent/CN120517441A" TargetMode="External"/><Relationship Id="rId19" Type="http://schemas.openxmlformats.org/officeDocument/2006/relationships/hyperlink" Target="http://epub.cnipa.gov.cn/patent/CN121455178A" TargetMode="External"/><Relationship Id="rId18" Type="http://schemas.openxmlformats.org/officeDocument/2006/relationships/hyperlink" Target="http://epub.cnipa.gov.cn/patent/CN122018327A" TargetMode="External"/><Relationship Id="rId16" Type="http://schemas.openxmlformats.org/officeDocument/2006/relationships/hyperlink" Target="http://epub.cnipa.gov.cn/patent/CN122323981A" TargetMode="External"/><Relationship Id="rId25" Type="http://schemas.openxmlformats.org/officeDocument/2006/relationships/hyperlink" Target="https://arxiv.org/abs/2209.10021" TargetMode="External"/><Relationship Id="rId23" Type="http://schemas.openxmlformats.org/officeDocument/2006/relationships/hyperlink" Target="https://patents.google.com/patent/CN115907250A/en" TargetMode="External"/><Relationship Id="rId21" Type="http://schemas.openxmlformats.org/officeDocument/2006/relationships/hyperlink" Target="https://patents.google.com/patent/US11731648B2/en" TargetMode="External"/><Relationship Id="rId24" Type="http://schemas.openxmlformats.org/officeDocument/2006/relationships/hyperlink" Target="https://patents.google.com/patent/US12007778B2/en" TargetMode="External"/><Relationship Id="rId20" Type="http://schemas.openxmlformats.org/officeDocument/2006/relationships/hyperlink" Target="https://patents.google.com/patent/US20220171353A1/en" TargetMode="External"/><Relationship Id="rId22"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2026-07-09T10:16:37Z</dcterms:created>
  <dcterms:modified xsi:type="dcterms:W3CDTF">2026-07-09T10:16:37Z</dcterms:modified>
</cp:coreProperties>
</file>

<file path=docProps/custom.xml><?xml version="1.0" encoding="utf-8"?>
<Properties xmlns="http://schemas.openxmlformats.org/officeDocument/2006/custom-properties" xmlns:vt="http://schemas.openxmlformats.org/officeDocument/2006/docPropsVTypes"/>
</file>