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return calculation has not changed</w:t>
      </w:r>
    </w:p>
    <w:p>
      <w:pPr>
        <w:pStyle w:val="Heading1"/>
      </w:pPr>
      <w:r>
        <w:t>Efficiency assumptions</w:t>
      </w:r>
    </w:p>
    <w:p>
      <w:r>
        <w:t>Efficiency depends on workload mix, token usage and silicon price performance.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Custom">
    <w:name w:val="Customer Section"/>
    <w:basedOn w:val="Heading1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