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return calculation has not changed</w:t>
      </w:r>
    </w:p>
    <w:p>
      <w:pPr>
        <w:pStyle w:val="Heading1"/>
      </w:pPr>
      <w:r>
        <w:t>Efficiency assumptions</w:t>
      </w:r>
    </w:p>
    <w:p>
      <w:r>
        <w:t>Efficiency depends on workload mix, token usage and silicon price performance.</w:t>
      </w:r>
    </w:p>
    <w:p>
      <w:r>
        <w:t>Q: Has customer validation finished?</w:t>
      </w:r>
    </w:p>
    <w:p>
      <w:r>
        <w:t>A: Customer validation remains planned next year.</w:t>
      </w:r>
    </w:p>
    <w:tbl>
      <w:tr>
        <w:tc>
          <w:p>
            <w:pPr>
              <w:pStyle w:val="Heading1"/>
            </w:pPr>
            <w:r>
              <w:t>New products received repeat customer orders.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Custom">
    <w:name w:val="Customer Section"/>
    <w:basedOn w:val="Heading1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