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launched a new product and expanded overseas production capacity.</w:t>
      </w:r>
    </w:p>
    <w:p>
      <w:r>
        <w:t>The return calculation has not changed</w:t>
      </w:r>
    </w:p>
    <w:p>
      <w:pPr>
        <w:pStyle w:val="Heading1"/>
      </w:pPr>
      <w:r>
        <w:t>Efficiency assumptions</w:t>
      </w:r>
    </w:p>
    <w:p>
      <w:r>
        <w:t>Efficiency depends on workload mix, token usage and silicon price performance.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Net income</w:t>
            </w:r>
          </w:p>
        </w:tc>
      </w:tr>
      <w:tr>
        <w:tc>
          <w:tcPr>
            <w:tcW w:type="dxa" w:w="4320"/>
          </w:tcPr>
          <w:p>
            <w:r>
              <w:t>12345</w:t>
            </w:r>
          </w:p>
        </w:tc>
        <w:tc>
          <w:tcPr>
            <w:tcW w:type="dxa" w:w="4320"/>
          </w:tcPr>
          <w:p>
            <w:r>
              <w:t>67890</w:t>
            </w:r>
          </w:p>
        </w:tc>
      </w:tr>
    </w:tbl>
    <w:p>
      <w:r>
        <w:t>Company launched a new product and expanded overseas production capacity.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Milestone</w:t>
            </w:r>
          </w:p>
        </w:tc>
      </w:tr>
      <w:tr>
        <w:tc>
          <w:tcPr>
            <w:tcW w:type="dxa" w:w="4320"/>
          </w:tcPr>
          <w:p>
            <w:r>
              <w:t>New product</w:t>
            </w:r>
          </w:p>
        </w:tc>
        <w:tc>
          <w:tcPr>
            <w:tcW w:type="dxa" w:w="4320"/>
          </w:tcPr>
          <w:p>
            <w:r>
              <w:t>Company launched a new product and expanded overseas production capacity.</w:t>
            </w:r>
          </w:p>
        </w:tc>
      </w:tr>
    </w:tbl>
    <w:p>
      <w:r>
        <w:t>The return calculation has not changed</w:t>
      </w:r>
    </w:p>
    <w:p>
      <w:r>
        <w:t>Efficiency depends on workload mix, token usage and silicon price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