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lang w:val="en-US" w:eastAsia="zh-CN"/>
        </w:rPr>
      </w:pPr>
    </w:p>
    <w:p>
      <w:pPr>
        <w:pStyle w:val="2"/>
        <w:jc w:val="center"/>
        <w:rPr>
          <w:rFonts w:hint="eastAsia"/>
          <w:lang w:val="en-US" w:eastAsia="zh-CN"/>
        </w:rPr>
      </w:pPr>
      <w:r>
        <w:rPr>
          <w:rFonts w:hint="eastAsia"/>
          <w:lang w:val="en-US" w:eastAsia="zh-CN"/>
        </w:rPr>
        <w:t>工业账户</w:t>
      </w:r>
      <w:r>
        <w:rPr>
          <w:rFonts w:hint="eastAsia"/>
        </w:rPr>
        <w:t>操作</w:t>
      </w:r>
      <w:r>
        <w:rPr>
          <w:rFonts w:hint="eastAsia"/>
          <w:lang w:val="en-US" w:eastAsia="zh-CN"/>
        </w:rPr>
        <w:t>流程说明V1.1</w:t>
      </w:r>
    </w:p>
    <w:p>
      <w:pPr>
        <w:pStyle w:val="3"/>
        <w:numPr>
          <w:ilvl w:val="0"/>
          <w:numId w:val="1"/>
        </w:numPr>
        <w:rPr>
          <w:rFonts w:hint="eastAsia"/>
          <w:lang w:val="en-US" w:eastAsia="zh-CN"/>
        </w:rPr>
      </w:pPr>
      <w:r>
        <w:rPr>
          <w:rFonts w:hint="eastAsia"/>
          <w:lang w:val="en-US" w:eastAsia="zh-CN"/>
        </w:rPr>
        <w:t>修订历史</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1026"/>
        <w:gridCol w:w="4422"/>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jc w:val="center"/>
        </w:trPr>
        <w:tc>
          <w:tcPr>
            <w:tcW w:w="1679"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日期</w:t>
            </w:r>
          </w:p>
        </w:tc>
        <w:tc>
          <w:tcPr>
            <w:tcW w:w="1026"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版本</w:t>
            </w:r>
          </w:p>
        </w:tc>
        <w:tc>
          <w:tcPr>
            <w:tcW w:w="4422"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说明</w:t>
            </w:r>
          </w:p>
        </w:tc>
        <w:tc>
          <w:tcPr>
            <w:tcW w:w="1395"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2018-05-15</w:t>
            </w:r>
          </w:p>
        </w:tc>
        <w:tc>
          <w:tcPr>
            <w:tcW w:w="1026"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V1.0</w:t>
            </w:r>
          </w:p>
        </w:tc>
        <w:tc>
          <w:tcPr>
            <w:tcW w:w="4422"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米墨工业账户操作流程说明初版</w:t>
            </w:r>
          </w:p>
        </w:tc>
        <w:tc>
          <w:tcPr>
            <w:tcW w:w="1395" w:type="dxa"/>
          </w:tcPr>
          <w:p>
            <w:pPr>
              <w:jc w:val="center"/>
              <w:rPr>
                <w:rFonts w:hint="eastAsia" w:ascii="楷体" w:hAnsi="楷体" w:eastAsia="楷体" w:cs="楷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vAlign w:val="center"/>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2018-06-26</w:t>
            </w:r>
          </w:p>
        </w:tc>
        <w:tc>
          <w:tcPr>
            <w:tcW w:w="1026" w:type="dxa"/>
            <w:vAlign w:val="center"/>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V1.1</w:t>
            </w:r>
          </w:p>
        </w:tc>
        <w:tc>
          <w:tcPr>
            <w:tcW w:w="4422" w:type="dxa"/>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工业维护开票明细</w:t>
            </w:r>
          </w:p>
        </w:tc>
        <w:tc>
          <w:tcPr>
            <w:tcW w:w="1395" w:type="dxa"/>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2018-07-03</w:t>
            </w:r>
          </w:p>
        </w:tc>
        <w:tc>
          <w:tcPr>
            <w:tcW w:w="1026" w:type="dxa"/>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V1.2</w:t>
            </w:r>
          </w:p>
        </w:tc>
        <w:tc>
          <w:tcPr>
            <w:tcW w:w="4422" w:type="dxa"/>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工业新增终端拜访、终端管理服务项</w:t>
            </w:r>
          </w:p>
        </w:tc>
        <w:tc>
          <w:tcPr>
            <w:tcW w:w="1395"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tcPr>
          <w:p>
            <w:pPr>
              <w:jc w:val="center"/>
              <w:rPr>
                <w:rFonts w:hint="eastAsia" w:ascii="楷体" w:hAnsi="楷体" w:eastAsia="楷体" w:cs="楷体"/>
                <w:sz w:val="24"/>
                <w:szCs w:val="24"/>
                <w:vertAlign w:val="baseline"/>
                <w:lang w:val="en-US" w:eastAsia="zh-CN"/>
              </w:rPr>
            </w:pPr>
          </w:p>
        </w:tc>
        <w:tc>
          <w:tcPr>
            <w:tcW w:w="1026" w:type="dxa"/>
          </w:tcPr>
          <w:p>
            <w:pPr>
              <w:jc w:val="center"/>
              <w:rPr>
                <w:rFonts w:hint="eastAsia" w:ascii="楷体" w:hAnsi="楷体" w:eastAsia="楷体" w:cs="楷体"/>
                <w:sz w:val="24"/>
                <w:szCs w:val="24"/>
                <w:vertAlign w:val="baseline"/>
                <w:lang w:val="en-US" w:eastAsia="zh-CN"/>
              </w:rPr>
            </w:pPr>
          </w:p>
        </w:tc>
        <w:tc>
          <w:tcPr>
            <w:tcW w:w="4422" w:type="dxa"/>
          </w:tcPr>
          <w:p>
            <w:pPr>
              <w:jc w:val="center"/>
              <w:rPr>
                <w:rFonts w:hint="eastAsia" w:ascii="楷体" w:hAnsi="楷体" w:eastAsia="楷体" w:cs="楷体"/>
                <w:sz w:val="24"/>
                <w:szCs w:val="24"/>
                <w:vertAlign w:val="baseline"/>
                <w:lang w:val="en-US" w:eastAsia="zh-CN"/>
              </w:rPr>
            </w:pPr>
          </w:p>
        </w:tc>
        <w:tc>
          <w:tcPr>
            <w:tcW w:w="1395" w:type="dxa"/>
          </w:tcPr>
          <w:p>
            <w:pPr>
              <w:jc w:val="center"/>
              <w:rPr>
                <w:rFonts w:hint="eastAsia" w:ascii="楷体" w:hAnsi="楷体" w:eastAsia="楷体" w:cs="楷体"/>
                <w:sz w:val="24"/>
                <w:szCs w:val="24"/>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pStyle w:val="3"/>
        <w:numPr>
          <w:ilvl w:val="0"/>
          <w:numId w:val="0"/>
        </w:numPr>
        <w:rPr>
          <w:rFonts w:hint="eastAsia"/>
          <w:lang w:val="en-US" w:eastAsia="zh-CN"/>
        </w:rPr>
      </w:pPr>
      <w:r>
        <w:rPr>
          <w:rFonts w:hint="eastAsia"/>
          <w:lang w:val="en-US" w:eastAsia="zh-CN"/>
        </w:rPr>
        <w:t>二、米墨工业账户PC端操作流程</w:t>
      </w:r>
    </w:p>
    <w:p>
      <w:pPr>
        <w:pStyle w:val="4"/>
        <w:numPr>
          <w:ilvl w:val="0"/>
          <w:numId w:val="2"/>
        </w:numPr>
        <w:rPr>
          <w:rFonts w:hint="eastAsia"/>
          <w:lang w:val="en-US" w:eastAsia="zh-CN"/>
        </w:rPr>
      </w:pPr>
      <w:r>
        <w:rPr>
          <w:rFonts w:hint="eastAsia"/>
          <w:lang w:val="en-US" w:eastAsia="zh-CN"/>
        </w:rPr>
        <w:t>账户登录（总管理员）</w:t>
      </w:r>
    </w:p>
    <w:p>
      <w:pPr>
        <w:numPr>
          <w:ilvl w:val="0"/>
          <w:numId w:val="0"/>
        </w:num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color w:val="auto"/>
          <w:sz w:val="24"/>
          <w:szCs w:val="24"/>
          <w:lang w:val="en-US" w:eastAsia="zh-CN"/>
        </w:rPr>
        <w:t>输入http://www.90c.la/index.html 点击“米墨管理系统”进入工业账户登录界面，输入工业账户和密码登录，如图-1、图-2所示。</w:t>
      </w:r>
    </w:p>
    <w:p>
      <w:pPr>
        <w:numPr>
          <w:ilvl w:val="0"/>
          <w:numId w:val="0"/>
        </w:numPr>
        <w:jc w:val="both"/>
        <w:rPr>
          <w:rFonts w:hint="eastAsia"/>
          <w:lang w:val="en-US" w:eastAsia="zh-CN"/>
        </w:rPr>
      </w:pPr>
      <w:r>
        <w:rPr>
          <w:rFonts w:hint="eastAsia"/>
          <w:lang w:val="en-US" w:eastAsia="zh-CN"/>
        </w:rPr>
        <w:drawing>
          <wp:inline distT="0" distB="0" distL="114300" distR="114300">
            <wp:extent cx="6200775" cy="2617470"/>
            <wp:effectExtent l="0" t="0" r="9525" b="11430"/>
            <wp:docPr id="1" name="图片 1" descr="登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1"/>
                    <pic:cNvPicPr>
                      <a:picLocks noChangeAspect="1"/>
                    </pic:cNvPicPr>
                  </pic:nvPicPr>
                  <pic:blipFill>
                    <a:blip r:embed="rId4"/>
                    <a:stretch>
                      <a:fillRect/>
                    </a:stretch>
                  </pic:blipFill>
                  <pic:spPr>
                    <a:xfrm>
                      <a:off x="0" y="0"/>
                      <a:ext cx="6200775" cy="261747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w:t>
      </w:r>
    </w:p>
    <w:p>
      <w:pPr>
        <w:numPr>
          <w:ilvl w:val="0"/>
          <w:numId w:val="0"/>
        </w:numPr>
        <w:rPr>
          <w:rFonts w:hint="eastAsia"/>
          <w:color w:val="FF0000"/>
          <w:lang w:val="en-US" w:eastAsia="zh-CN"/>
        </w:rPr>
      </w:pPr>
      <w:r>
        <w:rPr>
          <w:rFonts w:hint="eastAsia"/>
          <w:color w:val="FF0000"/>
          <w:lang w:val="en-US" w:eastAsia="zh-CN"/>
        </w:rPr>
        <w:drawing>
          <wp:inline distT="0" distB="0" distL="114300" distR="114300">
            <wp:extent cx="6184265" cy="2538095"/>
            <wp:effectExtent l="0" t="0" r="6985" b="14605"/>
            <wp:docPr id="2" name="图片 2" descr="登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2"/>
                    <pic:cNvPicPr>
                      <a:picLocks noChangeAspect="1"/>
                    </pic:cNvPicPr>
                  </pic:nvPicPr>
                  <pic:blipFill>
                    <a:blip r:embed="rId5"/>
                    <a:stretch>
                      <a:fillRect/>
                    </a:stretch>
                  </pic:blipFill>
                  <pic:spPr>
                    <a:xfrm>
                      <a:off x="0" y="0"/>
                      <a:ext cx="6184265" cy="25380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w:t>
      </w:r>
    </w:p>
    <w:p>
      <w:pPr>
        <w:pStyle w:val="4"/>
        <w:numPr>
          <w:ilvl w:val="0"/>
          <w:numId w:val="2"/>
        </w:numPr>
        <w:rPr>
          <w:rFonts w:hint="eastAsia"/>
          <w:lang w:val="en-US" w:eastAsia="zh-CN"/>
        </w:rPr>
      </w:pPr>
      <w:r>
        <w:rPr>
          <w:rFonts w:hint="eastAsia"/>
          <w:lang w:val="en-US" w:eastAsia="zh-CN"/>
        </w:rPr>
        <w:t>基础管理</w:t>
      </w:r>
    </w:p>
    <w:p>
      <w:pPr>
        <w:pStyle w:val="5"/>
        <w:rPr>
          <w:rFonts w:hint="eastAsia"/>
        </w:rPr>
      </w:pPr>
      <w:r>
        <w:rPr>
          <w:rFonts w:hint="eastAsia"/>
          <w:lang w:val="en-US" w:eastAsia="zh-CN"/>
        </w:rPr>
        <w:t>2.1 基础管理——</w:t>
      </w:r>
      <w:r>
        <w:rPr>
          <w:rFonts w:hint="eastAsia"/>
        </w:rPr>
        <w:t>员工管理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作用：给员工分配相应的权限（一个工业账户有三个管理员权限：市场管理员：进行招投标、维护产品信息、生成合同、发起签约；营销管理员：针对经销商（个独）完成任务情况，进行评价、评分；财务管理员：归档查询，生成结果集，证据链）。市场、营销、财务三个账户登录名与初始登陆密码一样：员工手机号，如图-3图-4所示。</w:t>
      </w:r>
    </w:p>
    <w:p>
      <w:pPr>
        <w:numPr>
          <w:ilvl w:val="0"/>
          <w:numId w:val="0"/>
        </w:num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3040" cy="1410970"/>
            <wp:effectExtent l="0" t="0" r="3810" b="17780"/>
            <wp:docPr id="3" name="图片 3" descr="基础管理-员工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管理-员工管理1"/>
                    <pic:cNvPicPr>
                      <a:picLocks noChangeAspect="1"/>
                    </pic:cNvPicPr>
                  </pic:nvPicPr>
                  <pic:blipFill>
                    <a:blip r:embed="rId6"/>
                    <a:stretch>
                      <a:fillRect/>
                    </a:stretch>
                  </pic:blipFill>
                  <pic:spPr>
                    <a:xfrm>
                      <a:off x="0" y="0"/>
                      <a:ext cx="5273040" cy="141097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w:t>
      </w:r>
    </w:p>
    <w:p>
      <w:pPr>
        <w:ind w:firstLine="420" w:firstLineChars="0"/>
        <w:rPr>
          <w:rFonts w:hint="eastAsia"/>
          <w:lang w:val="en-US" w:eastAsia="zh-CN"/>
        </w:rPr>
      </w:pPr>
      <w:r>
        <w:rPr>
          <w:rFonts w:hint="eastAsia"/>
          <w:lang w:val="en-US" w:eastAsia="zh-CN"/>
        </w:rPr>
        <w:drawing>
          <wp:inline distT="0" distB="0" distL="114300" distR="114300">
            <wp:extent cx="5273675" cy="1678940"/>
            <wp:effectExtent l="0" t="0" r="3175" b="16510"/>
            <wp:docPr id="4" name="图片 4" descr="基础管理-员工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基础管理-员工管理2"/>
                    <pic:cNvPicPr>
                      <a:picLocks noChangeAspect="1"/>
                    </pic:cNvPicPr>
                  </pic:nvPicPr>
                  <pic:blipFill>
                    <a:blip r:embed="rId7"/>
                    <a:stretch>
                      <a:fillRect/>
                    </a:stretch>
                  </pic:blipFill>
                  <pic:spPr>
                    <a:xfrm>
                      <a:off x="0" y="0"/>
                      <a:ext cx="5273675" cy="167894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w:t>
      </w:r>
    </w:p>
    <w:p>
      <w:pPr>
        <w:pStyle w:val="5"/>
        <w:rPr>
          <w:rFonts w:hint="eastAsia"/>
          <w:lang w:val="en-US" w:eastAsia="zh-CN"/>
        </w:rPr>
      </w:pPr>
      <w:r>
        <w:rPr>
          <w:rFonts w:hint="eastAsia"/>
          <w:lang w:val="en-US" w:eastAsia="zh-CN"/>
        </w:rPr>
        <w:t>2.2 基础管理——评标专家管理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评价专家信息维护如图-5图-6所示。</w:t>
      </w:r>
    </w:p>
    <w:p>
      <w:pPr>
        <w:ind w:firstLine="420" w:firstLineChars="0"/>
        <w:rPr>
          <w:rFonts w:hint="eastAsia"/>
          <w:lang w:val="en-US" w:eastAsia="zh-CN"/>
        </w:rPr>
      </w:pPr>
      <w:r>
        <w:rPr>
          <w:rFonts w:hint="eastAsia"/>
          <w:lang w:val="en-US" w:eastAsia="zh-CN"/>
        </w:rPr>
        <w:drawing>
          <wp:inline distT="0" distB="0" distL="114300" distR="114300">
            <wp:extent cx="5259705" cy="1414145"/>
            <wp:effectExtent l="0" t="0" r="17145" b="14605"/>
            <wp:docPr id="5" name="图片 5" descr="基础管理-评标专家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基础管理-评标专家管理1"/>
                    <pic:cNvPicPr>
                      <a:picLocks noChangeAspect="1"/>
                    </pic:cNvPicPr>
                  </pic:nvPicPr>
                  <pic:blipFill>
                    <a:blip r:embed="rId8"/>
                    <a:stretch>
                      <a:fillRect/>
                    </a:stretch>
                  </pic:blipFill>
                  <pic:spPr>
                    <a:xfrm>
                      <a:off x="0" y="0"/>
                      <a:ext cx="5259705" cy="141414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4785" cy="1643380"/>
            <wp:effectExtent l="0" t="0" r="12065" b="13970"/>
            <wp:docPr id="6" name="图片 6" descr="基础管理-评标专家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基础管理-评标专家管理2"/>
                    <pic:cNvPicPr>
                      <a:picLocks noChangeAspect="1"/>
                    </pic:cNvPicPr>
                  </pic:nvPicPr>
                  <pic:blipFill>
                    <a:blip r:embed="rId9"/>
                    <a:stretch>
                      <a:fillRect/>
                    </a:stretch>
                  </pic:blipFill>
                  <pic:spPr>
                    <a:xfrm>
                      <a:off x="0" y="0"/>
                      <a:ext cx="5264785" cy="164338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w:t>
      </w:r>
    </w:p>
    <w:p>
      <w:pPr>
        <w:numPr>
          <w:ilvl w:val="0"/>
          <w:numId w:val="0"/>
        </w:numPr>
        <w:jc w:val="both"/>
        <w:rPr>
          <w:rFonts w:hint="eastAsia"/>
          <w:color w:val="FF0000"/>
          <w:lang w:val="en-US" w:eastAsia="zh-CN"/>
        </w:rPr>
      </w:pPr>
    </w:p>
    <w:p>
      <w:pPr>
        <w:pStyle w:val="5"/>
        <w:rPr>
          <w:rFonts w:hint="eastAsia"/>
          <w:lang w:val="en-US" w:eastAsia="zh-CN"/>
        </w:rPr>
      </w:pPr>
      <w:r>
        <w:rPr>
          <w:rFonts w:hint="eastAsia"/>
          <w:lang w:val="en-US" w:eastAsia="zh-CN"/>
        </w:rPr>
        <w:t>2.3 基础管理——发票形式管理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维护工业的发票相关信息，如图-7图-8所示。</w:t>
      </w:r>
    </w:p>
    <w:p>
      <w:pPr>
        <w:numPr>
          <w:ilvl w:val="0"/>
          <w:numId w:val="0"/>
        </w:numPr>
        <w:ind w:firstLine="420" w:firstLineChars="0"/>
        <w:jc w:val="both"/>
        <w:rPr>
          <w:rFonts w:hint="eastAsia"/>
          <w:color w:val="FF0000"/>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59705" cy="1582420"/>
            <wp:effectExtent l="0" t="0" r="17145" b="17780"/>
            <wp:docPr id="7" name="图片 7" descr="基础管理-发票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基础管理-发票管理1"/>
                    <pic:cNvPicPr>
                      <a:picLocks noChangeAspect="1"/>
                    </pic:cNvPicPr>
                  </pic:nvPicPr>
                  <pic:blipFill>
                    <a:blip r:embed="rId10"/>
                    <a:stretch>
                      <a:fillRect/>
                    </a:stretch>
                  </pic:blipFill>
                  <pic:spPr>
                    <a:xfrm>
                      <a:off x="0" y="0"/>
                      <a:ext cx="5259705" cy="15824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6055" cy="1638300"/>
            <wp:effectExtent l="0" t="0" r="10795" b="0"/>
            <wp:docPr id="8" name="图片 8" descr="基础管理-发票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基础管理-发票管理2"/>
                    <pic:cNvPicPr>
                      <a:picLocks noChangeAspect="1"/>
                    </pic:cNvPicPr>
                  </pic:nvPicPr>
                  <pic:blipFill>
                    <a:blip r:embed="rId11"/>
                    <a:stretch>
                      <a:fillRect/>
                    </a:stretch>
                  </pic:blipFill>
                  <pic:spPr>
                    <a:xfrm>
                      <a:off x="0" y="0"/>
                      <a:ext cx="5266055" cy="163830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w:t>
      </w:r>
    </w:p>
    <w:p>
      <w:pPr>
        <w:pStyle w:val="5"/>
        <w:rPr>
          <w:rFonts w:hint="eastAsia"/>
          <w:lang w:val="en-US" w:eastAsia="zh-CN"/>
        </w:rPr>
      </w:pPr>
      <w:r>
        <w:rPr>
          <w:rFonts w:hint="eastAsia"/>
          <w:lang w:val="en-US" w:eastAsia="zh-CN"/>
        </w:rPr>
        <w:t>2.4 基础管理——区域管理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工业的区域添加如图-9所示。</w:t>
      </w:r>
    </w:p>
    <w:p>
      <w:pPr>
        <w:ind w:firstLine="420" w:firstLineChars="0"/>
        <w:rPr>
          <w:rFonts w:hint="eastAsia"/>
          <w:lang w:val="en-US" w:eastAsia="zh-CN"/>
        </w:rPr>
      </w:pP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74310" cy="1480185"/>
            <wp:effectExtent l="0" t="0" r="2540" b="5715"/>
            <wp:docPr id="9" name="图片 9" descr="基础管理-区域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基础管理-区域管理1"/>
                    <pic:cNvPicPr>
                      <a:picLocks noChangeAspect="1"/>
                    </pic:cNvPicPr>
                  </pic:nvPicPr>
                  <pic:blipFill>
                    <a:blip r:embed="rId12"/>
                    <a:stretch>
                      <a:fillRect/>
                    </a:stretch>
                  </pic:blipFill>
                  <pic:spPr>
                    <a:xfrm>
                      <a:off x="0" y="0"/>
                      <a:ext cx="5274310" cy="148018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w:t>
      </w:r>
    </w:p>
    <w:p>
      <w:pPr>
        <w:pStyle w:val="5"/>
        <w:rPr>
          <w:rFonts w:hint="eastAsia"/>
          <w:lang w:val="en-US" w:eastAsia="zh-CN"/>
        </w:rPr>
      </w:pPr>
      <w:r>
        <w:rPr>
          <w:rFonts w:hint="eastAsia"/>
          <w:lang w:val="en-US" w:eastAsia="zh-CN"/>
        </w:rPr>
        <w:t>2.5 基础管理——电子签章维护</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工业的电子签章维护如图-10所示，电子签章上传后，审核端会对工业上传的电子签章进行审核。</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7960" cy="1360170"/>
            <wp:effectExtent l="0" t="0" r="8890" b="11430"/>
            <wp:docPr id="10" name="图片 10" descr="工业管理-电子签章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业管理-电子签章管理"/>
                    <pic:cNvPicPr>
                      <a:picLocks noChangeAspect="1"/>
                    </pic:cNvPicPr>
                  </pic:nvPicPr>
                  <pic:blipFill>
                    <a:blip r:embed="rId13"/>
                    <a:stretch>
                      <a:fillRect/>
                    </a:stretch>
                  </pic:blipFill>
                  <pic:spPr>
                    <a:xfrm>
                      <a:off x="0" y="0"/>
                      <a:ext cx="5267960" cy="136017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w:t>
      </w:r>
    </w:p>
    <w:p>
      <w:pPr>
        <w:pStyle w:val="4"/>
        <w:numPr>
          <w:ilvl w:val="0"/>
          <w:numId w:val="2"/>
        </w:numPr>
        <w:rPr>
          <w:rFonts w:hint="eastAsia"/>
          <w:szCs w:val="22"/>
          <w:lang w:val="en-US" w:eastAsia="zh-CN"/>
        </w:rPr>
      </w:pPr>
      <w:r>
        <w:rPr>
          <w:rFonts w:hint="eastAsia"/>
          <w:szCs w:val="22"/>
          <w:lang w:val="en-US" w:eastAsia="zh-CN"/>
        </w:rPr>
        <w:t>产品管理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产品管理中，对于工业的产品维护由工业的总管理员和市场管理员维护。</w:t>
      </w:r>
    </w:p>
    <w:p>
      <w:pPr>
        <w:numPr>
          <w:ilvl w:val="0"/>
          <w:numId w:val="0"/>
        </w:numPr>
        <w:ind w:firstLine="420" w:firstLineChars="0"/>
        <w:jc w:val="both"/>
        <w:rPr>
          <w:rFonts w:hint="eastAsia"/>
          <w:color w:val="FF0000"/>
          <w:lang w:val="en-US" w:eastAsia="zh-CN"/>
        </w:rPr>
      </w:pPr>
    </w:p>
    <w:p>
      <w:pPr>
        <w:pStyle w:val="5"/>
        <w:rPr>
          <w:rFonts w:hint="eastAsia"/>
          <w:szCs w:val="22"/>
          <w:lang w:val="en-US" w:eastAsia="zh-CN"/>
        </w:rPr>
      </w:pPr>
      <w:r>
        <w:rPr>
          <w:rFonts w:hint="eastAsia"/>
          <w:szCs w:val="22"/>
          <w:lang w:val="en-US" w:eastAsia="zh-CN"/>
        </w:rPr>
        <w:t>3.1 产品管理——药品管理、器械管理、试剂管理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药品、器械、试剂的相关信息维护都相同，如图-11所示。</w:t>
      </w:r>
    </w:p>
    <w:p>
      <w:pPr>
        <w:numPr>
          <w:ilvl w:val="0"/>
          <w:numId w:val="0"/>
        </w:numPr>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4310" cy="1116330"/>
            <wp:effectExtent l="0" t="0" r="2540" b="7620"/>
            <wp:docPr id="11" name="图片 11" descr="产品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产品管理1"/>
                    <pic:cNvPicPr>
                      <a:picLocks noChangeAspect="1"/>
                    </pic:cNvPicPr>
                  </pic:nvPicPr>
                  <pic:blipFill>
                    <a:blip r:embed="rId14"/>
                    <a:stretch>
                      <a:fillRect/>
                    </a:stretch>
                  </pic:blipFill>
                  <pic:spPr>
                    <a:xfrm>
                      <a:off x="0" y="0"/>
                      <a:ext cx="5274310" cy="11163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图-11</w:t>
      </w:r>
    </w:p>
    <w:p>
      <w:pPr>
        <w:pStyle w:val="4"/>
        <w:numPr>
          <w:ilvl w:val="0"/>
          <w:numId w:val="2"/>
        </w:numPr>
        <w:rPr>
          <w:rFonts w:hint="eastAsia"/>
          <w:szCs w:val="22"/>
          <w:lang w:val="en-US" w:eastAsia="zh-CN"/>
        </w:rPr>
      </w:pPr>
      <w:r>
        <w:rPr>
          <w:rFonts w:hint="eastAsia"/>
          <w:szCs w:val="22"/>
          <w:lang w:val="en-US" w:eastAsia="zh-CN"/>
        </w:rPr>
        <w:t>服务管理</w:t>
      </w:r>
    </w:p>
    <w:p>
      <w:pPr>
        <w:numPr>
          <w:ilvl w:val="0"/>
          <w:numId w:val="0"/>
        </w:num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工业可对系统提供的相关服务权重可自行修改，但最终的权重相加必须等于100，如图-12所示。</w:t>
      </w:r>
    </w:p>
    <w:p>
      <w:pPr>
        <w:numPr>
          <w:ilvl w:val="0"/>
          <w:numId w:val="0"/>
        </w:num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7325" cy="2073910"/>
            <wp:effectExtent l="0" t="0" r="9525" b="2540"/>
            <wp:docPr id="12" name="图片 12" descr="服务系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服务系数"/>
                    <pic:cNvPicPr>
                      <a:picLocks noChangeAspect="1"/>
                    </pic:cNvPicPr>
                  </pic:nvPicPr>
                  <pic:blipFill>
                    <a:blip r:embed="rId15"/>
                    <a:stretch>
                      <a:fillRect/>
                    </a:stretch>
                  </pic:blipFill>
                  <pic:spPr>
                    <a:xfrm>
                      <a:off x="0" y="0"/>
                      <a:ext cx="5267325" cy="207391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图-12</w:t>
      </w:r>
    </w:p>
    <w:p>
      <w:pPr>
        <w:pStyle w:val="4"/>
        <w:numPr>
          <w:ilvl w:val="0"/>
          <w:numId w:val="2"/>
        </w:numPr>
        <w:rPr>
          <w:rFonts w:hint="eastAsia"/>
          <w:szCs w:val="22"/>
          <w:lang w:val="en-US" w:eastAsia="zh-CN"/>
        </w:rPr>
      </w:pPr>
      <w:r>
        <w:rPr>
          <w:rFonts w:hint="eastAsia"/>
          <w:szCs w:val="22"/>
          <w:lang w:val="en-US" w:eastAsia="zh-CN"/>
        </w:rPr>
        <w:t>招投标管理——联系人管理（总管理员）</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工业的总管理员账户可在此处添加服务商为自己的联系人，后期市场管理员发布邀请招标时即可选择。如图-13图-14所示。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3675" cy="1617980"/>
            <wp:effectExtent l="0" t="0" r="3175" b="1270"/>
            <wp:docPr id="13" name="图片 13" descr="招投标管理-联系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招投标管理-联系人管理"/>
                    <pic:cNvPicPr>
                      <a:picLocks noChangeAspect="1"/>
                    </pic:cNvPicPr>
                  </pic:nvPicPr>
                  <pic:blipFill>
                    <a:blip r:embed="rId16"/>
                    <a:stretch>
                      <a:fillRect/>
                    </a:stretch>
                  </pic:blipFill>
                  <pic:spPr>
                    <a:xfrm>
                      <a:off x="0" y="0"/>
                      <a:ext cx="5273675" cy="1617980"/>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图-13</w:t>
      </w:r>
    </w:p>
    <w:p>
      <w:pPr>
        <w:numPr>
          <w:ilvl w:val="0"/>
          <w:numId w:val="0"/>
        </w:numPr>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756410"/>
            <wp:effectExtent l="0" t="0" r="4445" b="15240"/>
            <wp:docPr id="14" name="图片 14" descr="联系人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联系人管理2"/>
                    <pic:cNvPicPr>
                      <a:picLocks noChangeAspect="1"/>
                    </pic:cNvPicPr>
                  </pic:nvPicPr>
                  <pic:blipFill>
                    <a:blip r:embed="rId17"/>
                    <a:stretch>
                      <a:fillRect/>
                    </a:stretch>
                  </pic:blipFill>
                  <pic:spPr>
                    <a:xfrm>
                      <a:off x="0" y="0"/>
                      <a:ext cx="5272405" cy="175641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图-14</w:t>
      </w:r>
    </w:p>
    <w:p>
      <w:pPr>
        <w:pStyle w:val="4"/>
        <w:numPr>
          <w:ilvl w:val="0"/>
          <w:numId w:val="2"/>
        </w:numPr>
        <w:rPr>
          <w:rFonts w:hint="eastAsia"/>
          <w:szCs w:val="22"/>
          <w:lang w:val="en-US" w:eastAsia="zh-CN"/>
        </w:rPr>
      </w:pPr>
      <w:r>
        <w:rPr>
          <w:rFonts w:hint="eastAsia"/>
          <w:szCs w:val="22"/>
          <w:lang w:val="en-US" w:eastAsia="zh-CN"/>
        </w:rPr>
        <w:t>账户管理——账户续费</w:t>
      </w:r>
    </w:p>
    <w:p>
      <w:pPr>
        <w:ind w:firstLine="420" w:firstLineChars="0"/>
        <w:rPr>
          <w:rFonts w:hint="eastAsia"/>
          <w:szCs w:val="22"/>
          <w:lang w:val="en-US" w:eastAsia="zh-CN"/>
        </w:rPr>
      </w:pPr>
      <w:r>
        <w:rPr>
          <w:rFonts w:hint="eastAsia" w:ascii="楷体" w:hAnsi="楷体" w:eastAsia="楷体" w:cs="楷体"/>
          <w:color w:val="auto"/>
          <w:sz w:val="24"/>
          <w:szCs w:val="24"/>
          <w:lang w:val="en-US" w:eastAsia="zh-CN"/>
        </w:rPr>
        <w:t>工业选择对即将到期的账户进行续费，使用银联支付，如图-15所示。</w:t>
      </w:r>
    </w:p>
    <w:p>
      <w:pPr>
        <w:ind w:firstLine="420" w:firstLineChars="0"/>
        <w:rPr>
          <w:rFonts w:hint="eastAsia"/>
          <w:szCs w:val="22"/>
          <w:lang w:val="en-US" w:eastAsia="zh-CN"/>
        </w:rPr>
      </w:pPr>
      <w:r>
        <w:rPr>
          <w:rFonts w:hint="eastAsia"/>
          <w:szCs w:val="22"/>
          <w:lang w:val="en-US" w:eastAsia="zh-CN"/>
        </w:rPr>
        <w:drawing>
          <wp:inline distT="0" distB="0" distL="114300" distR="114300">
            <wp:extent cx="5267325" cy="1861185"/>
            <wp:effectExtent l="0" t="0" r="9525" b="5715"/>
            <wp:docPr id="15" name="图片 15" descr="账户续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账户续费"/>
                    <pic:cNvPicPr>
                      <a:picLocks noChangeAspect="1"/>
                    </pic:cNvPicPr>
                  </pic:nvPicPr>
                  <pic:blipFill>
                    <a:blip r:embed="rId18"/>
                    <a:stretch>
                      <a:fillRect/>
                    </a:stretch>
                  </pic:blipFill>
                  <pic:spPr>
                    <a:xfrm>
                      <a:off x="0" y="0"/>
                      <a:ext cx="5267325" cy="186118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图-15</w:t>
      </w:r>
    </w:p>
    <w:p>
      <w:pPr>
        <w:pStyle w:val="4"/>
        <w:numPr>
          <w:ilvl w:val="0"/>
          <w:numId w:val="2"/>
        </w:numPr>
        <w:rPr>
          <w:rFonts w:hint="eastAsia"/>
          <w:szCs w:val="22"/>
          <w:lang w:val="en-US" w:eastAsia="zh-CN"/>
        </w:rPr>
      </w:pPr>
      <w:r>
        <w:rPr>
          <w:rFonts w:hint="eastAsia"/>
          <w:szCs w:val="22"/>
          <w:lang w:val="en-US" w:eastAsia="zh-CN"/>
        </w:rPr>
        <w:t>市场管理员登录</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在米墨系统登录界面，使用工业总管理账户在员工管理中已维护过的市场管理员的账号进行登录，账号、密码同电话号码。市场管理员主要进行招标发布。</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如果在工业总管理员账户中已维护过基础管理和产品管理中的相关信息，市场管理员中可不用维护，如果没有维护，可在此继续维护评标专家、发票形式、药品、器械、试剂的相关信息，操作流程如上总管理员中的基础管理、产品管理所述。</w:t>
      </w:r>
    </w:p>
    <w:p>
      <w:pPr>
        <w:pStyle w:val="5"/>
        <w:rPr>
          <w:rFonts w:hint="eastAsia"/>
          <w:lang w:val="en-US" w:eastAsia="zh-CN"/>
        </w:rPr>
      </w:pPr>
      <w:r>
        <w:rPr>
          <w:rFonts w:hint="eastAsia"/>
          <w:lang w:val="en-US" w:eastAsia="zh-CN"/>
        </w:rPr>
        <w:t>7.1 招投标管理</w:t>
      </w:r>
    </w:p>
    <w:p>
      <w:pPr>
        <w:pStyle w:val="6"/>
        <w:rPr>
          <w:rFonts w:hint="eastAsia"/>
          <w:lang w:val="en-US" w:eastAsia="zh-CN"/>
        </w:rPr>
      </w:pPr>
      <w:r>
        <w:rPr>
          <w:rFonts w:hint="eastAsia"/>
          <w:lang w:val="en-US" w:eastAsia="zh-CN"/>
        </w:rPr>
        <w:t>7.1.1 招投标管理——发布招标</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市场管理员的招标发布如图-16图-17所示。</w:t>
      </w:r>
    </w:p>
    <w:p>
      <w:pPr>
        <w:rPr>
          <w:rFonts w:hint="eastAsia" w:ascii="楷体" w:hAnsi="楷体" w:eastAsia="楷体" w:cs="楷体"/>
          <w:color w:val="auto"/>
          <w:sz w:val="24"/>
          <w:szCs w:val="24"/>
          <w:lang w:val="en-US" w:eastAsia="zh-CN"/>
        </w:rPr>
      </w:pP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4785" cy="2290445"/>
            <wp:effectExtent l="0" t="0" r="12065" b="14605"/>
            <wp:docPr id="17" name="图片 17" descr="招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招标1-1"/>
                    <pic:cNvPicPr>
                      <a:picLocks noChangeAspect="1"/>
                    </pic:cNvPicPr>
                  </pic:nvPicPr>
                  <pic:blipFill>
                    <a:blip r:embed="rId19"/>
                    <a:stretch>
                      <a:fillRect/>
                    </a:stretch>
                  </pic:blipFill>
                  <pic:spPr>
                    <a:xfrm>
                      <a:off x="0" y="0"/>
                      <a:ext cx="5264785" cy="229044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图-16</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9230" cy="2593975"/>
            <wp:effectExtent l="0" t="0" r="7620" b="15875"/>
            <wp:docPr id="18" name="图片 18" descr="招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招标2"/>
                    <pic:cNvPicPr>
                      <a:picLocks noChangeAspect="1"/>
                    </pic:cNvPicPr>
                  </pic:nvPicPr>
                  <pic:blipFill>
                    <a:blip r:embed="rId20"/>
                    <a:stretch>
                      <a:fillRect/>
                    </a:stretch>
                  </pic:blipFill>
                  <pic:spPr>
                    <a:xfrm>
                      <a:off x="0" y="0"/>
                      <a:ext cx="5269230" cy="25939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图-17</w:t>
      </w:r>
    </w:p>
    <w:p>
      <w:pPr>
        <w:pStyle w:val="6"/>
        <w:rPr>
          <w:rFonts w:hint="eastAsia"/>
          <w:lang w:val="en-US" w:eastAsia="zh-CN"/>
        </w:rPr>
      </w:pPr>
      <w:r>
        <w:rPr>
          <w:rFonts w:hint="eastAsia"/>
          <w:lang w:val="en-US" w:eastAsia="zh-CN"/>
        </w:rPr>
        <w:t>7.1.2 招投标管理——我的招标</w:t>
      </w:r>
    </w:p>
    <w:p>
      <w:pPr>
        <w:ind w:firstLine="420" w:firstLineChars="0"/>
        <w:rPr>
          <w:rFonts w:hint="eastAsia"/>
          <w:lang w:val="en-US" w:eastAsia="zh-CN"/>
        </w:rPr>
      </w:pPr>
      <w:r>
        <w:rPr>
          <w:rFonts w:hint="eastAsia" w:ascii="楷体" w:hAnsi="楷体" w:eastAsia="楷体" w:cs="楷体"/>
          <w:color w:val="auto"/>
          <w:sz w:val="24"/>
          <w:szCs w:val="24"/>
          <w:lang w:val="en-US" w:eastAsia="zh-CN"/>
        </w:rPr>
        <w:t>工业发布招标和服务商进行投标完成后，工业可以进行确认中标的相关操作如图-18图-19图-20图-21图-22图-23所示。</w:t>
      </w:r>
    </w:p>
    <w:p>
      <w:pPr>
        <w:ind w:firstLine="420" w:firstLineChars="0"/>
        <w:rPr>
          <w:rFonts w:hint="eastAsia"/>
          <w:lang w:val="en-US" w:eastAsia="zh-CN"/>
        </w:rPr>
      </w:pPr>
      <w:r>
        <w:rPr>
          <w:rFonts w:hint="eastAsia"/>
          <w:lang w:val="en-US" w:eastAsia="zh-CN"/>
        </w:rPr>
        <w:drawing>
          <wp:inline distT="0" distB="0" distL="114300" distR="114300">
            <wp:extent cx="5274310" cy="1052195"/>
            <wp:effectExtent l="0" t="0" r="2540" b="14605"/>
            <wp:docPr id="20" name="图片 20" descr="我的招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的招标1-1"/>
                    <pic:cNvPicPr>
                      <a:picLocks noChangeAspect="1"/>
                    </pic:cNvPicPr>
                  </pic:nvPicPr>
                  <pic:blipFill>
                    <a:blip r:embed="rId21"/>
                    <a:stretch>
                      <a:fillRect/>
                    </a:stretch>
                  </pic:blipFill>
                  <pic:spPr>
                    <a:xfrm>
                      <a:off x="0" y="0"/>
                      <a:ext cx="5274310" cy="10521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图-18</w:t>
      </w:r>
    </w:p>
    <w:p>
      <w:pPr>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5267325" cy="1224280"/>
            <wp:effectExtent l="0" t="0" r="9525" b="13970"/>
            <wp:docPr id="21" name="图片 21" descr="我的招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我的招标2"/>
                    <pic:cNvPicPr>
                      <a:picLocks noChangeAspect="1"/>
                    </pic:cNvPicPr>
                  </pic:nvPicPr>
                  <pic:blipFill>
                    <a:blip r:embed="rId22"/>
                    <a:stretch>
                      <a:fillRect/>
                    </a:stretch>
                  </pic:blipFill>
                  <pic:spPr>
                    <a:xfrm>
                      <a:off x="0" y="0"/>
                      <a:ext cx="5267325" cy="1224280"/>
                    </a:xfrm>
                    <a:prstGeom prst="rect">
                      <a:avLst/>
                    </a:prstGeom>
                  </pic:spPr>
                </pic:pic>
              </a:graphicData>
            </a:graphic>
          </wp:inline>
        </w:drawing>
      </w:r>
      <w:r>
        <w:rPr>
          <w:rFonts w:hint="eastAsia"/>
          <w:color w:val="FF0000"/>
          <w:lang w:val="en-US" w:eastAsia="zh-CN"/>
        </w:rPr>
        <w:tab/>
      </w:r>
      <w:r>
        <w:rPr>
          <w:rFonts w:hint="eastAsia"/>
          <w:color w:val="FF0000"/>
          <w:lang w:val="en-US" w:eastAsia="zh-CN"/>
        </w:rPr>
        <w:tab/>
      </w:r>
      <w:r>
        <w:rPr>
          <w:rFonts w:hint="eastAsia"/>
          <w:color w:val="FF0000"/>
          <w:lang w:val="en-US" w:eastAsia="zh-CN"/>
        </w:rPr>
        <w:t>图-19</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0975" cy="1408430"/>
            <wp:effectExtent l="0" t="0" r="15875" b="1270"/>
            <wp:docPr id="22" name="图片 22" descr="我的招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我的招标3"/>
                    <pic:cNvPicPr>
                      <a:picLocks noChangeAspect="1"/>
                    </pic:cNvPicPr>
                  </pic:nvPicPr>
                  <pic:blipFill>
                    <a:blip r:embed="rId23"/>
                    <a:stretch>
                      <a:fillRect/>
                    </a:stretch>
                  </pic:blipFill>
                  <pic:spPr>
                    <a:xfrm>
                      <a:off x="0" y="0"/>
                      <a:ext cx="5260975" cy="14084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图-20</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59705" cy="1434465"/>
            <wp:effectExtent l="0" t="0" r="17145" b="13335"/>
            <wp:docPr id="23" name="图片 23" descr="我的招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我的招标4"/>
                    <pic:cNvPicPr>
                      <a:picLocks noChangeAspect="1"/>
                    </pic:cNvPicPr>
                  </pic:nvPicPr>
                  <pic:blipFill>
                    <a:blip r:embed="rId24"/>
                    <a:stretch>
                      <a:fillRect/>
                    </a:stretch>
                  </pic:blipFill>
                  <pic:spPr>
                    <a:xfrm>
                      <a:off x="0" y="0"/>
                      <a:ext cx="5259705" cy="143446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图-21</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4785" cy="1433830"/>
            <wp:effectExtent l="0" t="0" r="12065" b="13970"/>
            <wp:docPr id="24" name="图片 24" descr="我的招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我的招标5"/>
                    <pic:cNvPicPr>
                      <a:picLocks noChangeAspect="1"/>
                    </pic:cNvPicPr>
                  </pic:nvPicPr>
                  <pic:blipFill>
                    <a:blip r:embed="rId25"/>
                    <a:stretch>
                      <a:fillRect/>
                    </a:stretch>
                  </pic:blipFill>
                  <pic:spPr>
                    <a:xfrm>
                      <a:off x="0" y="0"/>
                      <a:ext cx="5264785" cy="14338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图-22</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2880" cy="1405890"/>
            <wp:effectExtent l="0" t="0" r="13970" b="3810"/>
            <wp:docPr id="25" name="图片 25" descr="我的招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我的招标6"/>
                    <pic:cNvPicPr>
                      <a:picLocks noChangeAspect="1"/>
                    </pic:cNvPicPr>
                  </pic:nvPicPr>
                  <pic:blipFill>
                    <a:blip r:embed="rId26"/>
                    <a:stretch>
                      <a:fillRect/>
                    </a:stretch>
                  </pic:blipFill>
                  <pic:spPr>
                    <a:xfrm>
                      <a:off x="0" y="0"/>
                      <a:ext cx="5262880" cy="14058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图-23</w:t>
      </w:r>
    </w:p>
    <w:p>
      <w:pPr>
        <w:pStyle w:val="5"/>
        <w:rPr>
          <w:rFonts w:hint="eastAsia"/>
          <w:lang w:val="en-US" w:eastAsia="zh-CN"/>
        </w:rPr>
      </w:pPr>
      <w:r>
        <w:rPr>
          <w:rFonts w:hint="eastAsia"/>
          <w:lang w:val="en-US" w:eastAsia="zh-CN"/>
        </w:rPr>
        <w:t>7.2 合同管理</w:t>
      </w:r>
    </w:p>
    <w:p>
      <w:pPr>
        <w:ind w:firstLine="420" w:firstLineChars="0"/>
        <w:rPr>
          <w:rFonts w:hint="eastAsia"/>
          <w:lang w:val="en-US" w:eastAsia="zh-CN"/>
        </w:rPr>
      </w:pPr>
      <w:r>
        <w:rPr>
          <w:rFonts w:hint="eastAsia" w:ascii="楷体" w:hAnsi="楷体" w:eastAsia="楷体" w:cs="楷体"/>
          <w:color w:val="auto"/>
          <w:sz w:val="24"/>
          <w:szCs w:val="24"/>
          <w:lang w:val="en-US" w:eastAsia="zh-CN"/>
        </w:rPr>
        <w:t>工业生成合同和发起签约、合同查询在此模块中进行操作。</w:t>
      </w:r>
    </w:p>
    <w:p>
      <w:pPr>
        <w:pStyle w:val="6"/>
        <w:rPr>
          <w:rFonts w:hint="eastAsia"/>
          <w:lang w:val="en-US" w:eastAsia="zh-CN"/>
        </w:rPr>
      </w:pPr>
      <w:r>
        <w:rPr>
          <w:rFonts w:hint="eastAsia"/>
          <w:lang w:val="en-US" w:eastAsia="zh-CN"/>
        </w:rPr>
        <w:t>7.2.1 合同管理——合同待处理</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工业确认中标后，生成合同和对对投标公司（服务商）发起签约的操作如图-24图-25图-26图-27(</w:t>
      </w:r>
      <w:r>
        <w:rPr>
          <w:rFonts w:hint="eastAsia" w:ascii="楷体" w:hAnsi="楷体" w:eastAsia="楷体" w:cs="楷体"/>
          <w:color w:val="FF0000"/>
          <w:sz w:val="24"/>
          <w:szCs w:val="24"/>
          <w:lang w:val="en-US" w:eastAsia="zh-CN"/>
        </w:rPr>
        <w:t>线下盖章已删除</w:t>
      </w:r>
      <w:r>
        <w:rPr>
          <w:rFonts w:hint="eastAsia" w:ascii="楷体" w:hAnsi="楷体" w:eastAsia="楷体" w:cs="楷体"/>
          <w:color w:val="auto"/>
          <w:sz w:val="24"/>
          <w:szCs w:val="24"/>
          <w:lang w:val="en-US" w:eastAsia="zh-CN"/>
        </w:rPr>
        <w:t>)所示。</w:t>
      </w:r>
    </w:p>
    <w:p>
      <w:pPr>
        <w:ind w:firstLine="420" w:firstLineChars="0"/>
        <w:rPr>
          <w:rFonts w:hint="eastAsia"/>
          <w:lang w:val="en-US" w:eastAsia="zh-CN"/>
        </w:rPr>
      </w:pPr>
      <w:r>
        <w:rPr>
          <w:rFonts w:hint="eastAsia"/>
          <w:lang w:val="en-US" w:eastAsia="zh-CN"/>
        </w:rPr>
        <w:drawing>
          <wp:inline distT="0" distB="0" distL="114300" distR="114300">
            <wp:extent cx="5268595" cy="1579245"/>
            <wp:effectExtent l="0" t="0" r="8255" b="1905"/>
            <wp:docPr id="26" name="图片 26" descr="合同待处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合同待处理1"/>
                    <pic:cNvPicPr>
                      <a:picLocks noChangeAspect="1"/>
                    </pic:cNvPicPr>
                  </pic:nvPicPr>
                  <pic:blipFill>
                    <a:blip r:embed="rId27"/>
                    <a:stretch>
                      <a:fillRect/>
                    </a:stretch>
                  </pic:blipFill>
                  <pic:spPr>
                    <a:xfrm>
                      <a:off x="0" y="0"/>
                      <a:ext cx="5268595" cy="157924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图-24</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4150" cy="1433195"/>
            <wp:effectExtent l="0" t="0" r="12700" b="14605"/>
            <wp:docPr id="27" name="图片 27" descr="合同待处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合同待处理2"/>
                    <pic:cNvPicPr>
                      <a:picLocks noChangeAspect="1"/>
                    </pic:cNvPicPr>
                  </pic:nvPicPr>
                  <pic:blipFill>
                    <a:blip r:embed="rId28"/>
                    <a:stretch>
                      <a:fillRect/>
                    </a:stretch>
                  </pic:blipFill>
                  <pic:spPr>
                    <a:xfrm>
                      <a:off x="0" y="0"/>
                      <a:ext cx="5264150" cy="14331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图-25</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6055" cy="1140460"/>
            <wp:effectExtent l="0" t="0" r="10795" b="2540"/>
            <wp:docPr id="28" name="图片 28" descr="合同待处理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合同待处理3"/>
                    <pic:cNvPicPr>
                      <a:picLocks noChangeAspect="1"/>
                    </pic:cNvPicPr>
                  </pic:nvPicPr>
                  <pic:blipFill>
                    <a:blip r:embed="rId29"/>
                    <a:stretch>
                      <a:fillRect/>
                    </a:stretch>
                  </pic:blipFill>
                  <pic:spPr>
                    <a:xfrm>
                      <a:off x="0" y="0"/>
                      <a:ext cx="5266055" cy="114046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图-26</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4785" cy="717550"/>
            <wp:effectExtent l="0" t="0" r="12065" b="6350"/>
            <wp:docPr id="29" name="图片 29" descr="合同待处理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合同待处理5"/>
                    <pic:cNvPicPr>
                      <a:picLocks noChangeAspect="1"/>
                    </pic:cNvPicPr>
                  </pic:nvPicPr>
                  <pic:blipFill>
                    <a:blip r:embed="rId30"/>
                    <a:stretch>
                      <a:fillRect/>
                    </a:stretch>
                  </pic:blipFill>
                  <pic:spPr>
                    <a:xfrm>
                      <a:off x="0" y="0"/>
                      <a:ext cx="5264785" cy="71755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图-27</w:t>
      </w:r>
    </w:p>
    <w:p>
      <w:pPr>
        <w:ind w:firstLine="420" w:firstLineChars="0"/>
        <w:rPr>
          <w:rFonts w:hint="eastAsia"/>
          <w:lang w:val="en-US" w:eastAsia="zh-CN"/>
        </w:rPr>
      </w:pPr>
    </w:p>
    <w:p>
      <w:pPr>
        <w:pStyle w:val="6"/>
        <w:rPr>
          <w:rFonts w:hint="eastAsia"/>
          <w:lang w:val="en-US" w:eastAsia="zh-CN"/>
        </w:rPr>
      </w:pPr>
      <w:r>
        <w:rPr>
          <w:rFonts w:hint="eastAsia"/>
          <w:lang w:val="en-US" w:eastAsia="zh-CN"/>
        </w:rPr>
        <w:t>7.2.2 合同管理——合同查询</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工业发起签约后，服务商同意签约后，招投标的合同都在合同查询中可以查看，如图-28所示。</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6690" cy="1343025"/>
            <wp:effectExtent l="0" t="0" r="10160" b="9525"/>
            <wp:docPr id="30" name="图片 30" descr="合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合同查询"/>
                    <pic:cNvPicPr>
                      <a:picLocks noChangeAspect="1"/>
                    </pic:cNvPicPr>
                  </pic:nvPicPr>
                  <pic:blipFill>
                    <a:blip r:embed="rId31"/>
                    <a:stretch>
                      <a:fillRect/>
                    </a:stretch>
                  </pic:blipFill>
                  <pic:spPr>
                    <a:xfrm>
                      <a:off x="0" y="0"/>
                      <a:ext cx="5266690" cy="13430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图-28</w:t>
      </w:r>
    </w:p>
    <w:p>
      <w:pPr>
        <w:pStyle w:val="4"/>
        <w:numPr>
          <w:ilvl w:val="0"/>
          <w:numId w:val="2"/>
        </w:numPr>
        <w:rPr>
          <w:rFonts w:hint="eastAsia"/>
          <w:szCs w:val="22"/>
          <w:lang w:val="en-US" w:eastAsia="zh-CN"/>
        </w:rPr>
      </w:pPr>
      <w:r>
        <w:rPr>
          <w:rFonts w:hint="eastAsia"/>
          <w:szCs w:val="22"/>
          <w:lang w:val="en-US" w:eastAsia="zh-CN"/>
        </w:rPr>
        <w:t>营销管理员登录</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在米墨系统登录界面，使用工业总管理账户在员工管理中已维护过的营销管理员的账号进行登录，账号、密码同电话号码。营销管理员主要对执行完成的任务进行评价。</w:t>
      </w:r>
    </w:p>
    <w:p>
      <w:pPr>
        <w:pStyle w:val="5"/>
        <w:rPr>
          <w:rFonts w:hint="eastAsia"/>
          <w:lang w:val="en-US" w:eastAsia="zh-CN"/>
        </w:rPr>
      </w:pPr>
      <w:r>
        <w:rPr>
          <w:rFonts w:hint="eastAsia"/>
          <w:lang w:val="en-US" w:eastAsia="zh-CN"/>
        </w:rPr>
        <w:t>8.1 进度管理——进度跟踪</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对于工业的各项操作流程进度在进度跟踪中查看，如图-29所示。</w:t>
      </w:r>
    </w:p>
    <w:p>
      <w:pPr>
        <w:rPr>
          <w:rFonts w:hint="eastAsia"/>
          <w:lang w:val="en-US" w:eastAsia="zh-CN"/>
        </w:rPr>
      </w:pPr>
    </w:p>
    <w:p>
      <w:pPr>
        <w:numPr>
          <w:ilvl w:val="0"/>
          <w:numId w:val="0"/>
        </w:numPr>
        <w:ind w:leftChars="0"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2245" cy="923290"/>
            <wp:effectExtent l="0" t="0" r="14605" b="10160"/>
            <wp:docPr id="31" name="图片 31" descr="营销进度跟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营销进度跟踪"/>
                    <pic:cNvPicPr>
                      <a:picLocks noChangeAspect="1"/>
                    </pic:cNvPicPr>
                  </pic:nvPicPr>
                  <pic:blipFill>
                    <a:blip r:embed="rId32"/>
                    <a:stretch>
                      <a:fillRect/>
                    </a:stretch>
                  </pic:blipFill>
                  <pic:spPr>
                    <a:xfrm>
                      <a:off x="0" y="0"/>
                      <a:ext cx="5262245" cy="9232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图-29</w:t>
      </w:r>
    </w:p>
    <w:p>
      <w:pPr>
        <w:numPr>
          <w:ilvl w:val="0"/>
          <w:numId w:val="0"/>
        </w:numPr>
        <w:ind w:leftChars="0" w:firstLine="420" w:firstLineChars="0"/>
        <w:jc w:val="both"/>
        <w:rPr>
          <w:rFonts w:hint="eastAsia"/>
          <w:color w:val="FF0000"/>
          <w:lang w:val="en-US" w:eastAsia="zh-CN"/>
        </w:rPr>
      </w:pPr>
    </w:p>
    <w:p>
      <w:pPr>
        <w:numPr>
          <w:ilvl w:val="0"/>
          <w:numId w:val="0"/>
        </w:numPr>
        <w:ind w:firstLine="420" w:firstLineChars="0"/>
        <w:jc w:val="both"/>
        <w:rPr>
          <w:rFonts w:hint="eastAsia"/>
          <w:color w:val="FF0000"/>
          <w:lang w:val="en-US" w:eastAsia="zh-CN"/>
        </w:rPr>
      </w:pPr>
    </w:p>
    <w:p>
      <w:pPr>
        <w:pStyle w:val="5"/>
        <w:rPr>
          <w:rFonts w:hint="eastAsia"/>
          <w:lang w:val="en-US" w:eastAsia="zh-CN"/>
        </w:rPr>
      </w:pPr>
      <w:r>
        <w:rPr>
          <w:rFonts w:hint="eastAsia"/>
          <w:lang w:val="en-US" w:eastAsia="zh-CN"/>
        </w:rPr>
        <w:t>8.2 企业评价</w:t>
      </w:r>
    </w:p>
    <w:p>
      <w:pPr>
        <w:ind w:firstLine="420" w:firstLineChars="0"/>
        <w:rPr>
          <w:rFonts w:hint="eastAsia"/>
          <w:lang w:val="en-US" w:eastAsia="zh-CN"/>
        </w:rPr>
      </w:pPr>
      <w:r>
        <w:rPr>
          <w:rFonts w:hint="eastAsia" w:ascii="楷体" w:hAnsi="楷体" w:eastAsia="楷体" w:cs="楷体"/>
          <w:color w:val="auto"/>
          <w:sz w:val="24"/>
          <w:szCs w:val="24"/>
          <w:lang w:val="en-US" w:eastAsia="zh-CN"/>
        </w:rPr>
        <w:t>服务商对已执行完成的任务，在提交评价组后，工业需对执行完成的任务进行评价，评价完成后，点击提交评价，如图-30图-31图-32图-33图-34所示。</w:t>
      </w:r>
    </w:p>
    <w:p>
      <w:pPr>
        <w:ind w:firstLine="420" w:firstLineChars="0"/>
        <w:rPr>
          <w:rFonts w:hint="eastAsia"/>
          <w:lang w:val="en-US" w:eastAsia="zh-CN"/>
        </w:rPr>
      </w:pP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3515" cy="1647825"/>
            <wp:effectExtent l="0" t="0" r="13335" b="9525"/>
            <wp:docPr id="32" name="图片 32" descr="企业评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企业评价1"/>
                    <pic:cNvPicPr>
                      <a:picLocks noChangeAspect="1"/>
                    </pic:cNvPicPr>
                  </pic:nvPicPr>
                  <pic:blipFill>
                    <a:blip r:embed="rId33"/>
                    <a:stretch>
                      <a:fillRect/>
                    </a:stretch>
                  </pic:blipFill>
                  <pic:spPr>
                    <a:xfrm>
                      <a:off x="0" y="0"/>
                      <a:ext cx="5263515" cy="16478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图-30</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6055" cy="1196975"/>
            <wp:effectExtent l="0" t="0" r="10795" b="3175"/>
            <wp:docPr id="34" name="图片 34" descr="企业评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企业评价3"/>
                    <pic:cNvPicPr>
                      <a:picLocks noChangeAspect="1"/>
                    </pic:cNvPicPr>
                  </pic:nvPicPr>
                  <pic:blipFill>
                    <a:blip r:embed="rId34"/>
                    <a:stretch>
                      <a:fillRect/>
                    </a:stretch>
                  </pic:blipFill>
                  <pic:spPr>
                    <a:xfrm>
                      <a:off x="0" y="0"/>
                      <a:ext cx="5266055" cy="11969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图-31</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4785" cy="1248410"/>
            <wp:effectExtent l="0" t="0" r="12065" b="8890"/>
            <wp:docPr id="35" name="图片 35" descr="企业评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企业评价4"/>
                    <pic:cNvPicPr>
                      <a:picLocks noChangeAspect="1"/>
                    </pic:cNvPicPr>
                  </pic:nvPicPr>
                  <pic:blipFill>
                    <a:blip r:embed="rId35"/>
                    <a:stretch>
                      <a:fillRect/>
                    </a:stretch>
                  </pic:blipFill>
                  <pic:spPr>
                    <a:xfrm>
                      <a:off x="0" y="0"/>
                      <a:ext cx="5264785" cy="124841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图-32</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3515" cy="2294255"/>
            <wp:effectExtent l="0" t="0" r="13335" b="10795"/>
            <wp:docPr id="36" name="图片 36" descr="企业评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企业评价5"/>
                    <pic:cNvPicPr>
                      <a:picLocks noChangeAspect="1"/>
                    </pic:cNvPicPr>
                  </pic:nvPicPr>
                  <pic:blipFill>
                    <a:blip r:embed="rId36"/>
                    <a:stretch>
                      <a:fillRect/>
                    </a:stretch>
                  </pic:blipFill>
                  <pic:spPr>
                    <a:xfrm>
                      <a:off x="0" y="0"/>
                      <a:ext cx="5263515" cy="2294255"/>
                    </a:xfrm>
                    <a:prstGeom prst="rect">
                      <a:avLst/>
                    </a:prstGeom>
                  </pic:spPr>
                </pic:pic>
              </a:graphicData>
            </a:graphic>
          </wp:inline>
        </w:drawing>
      </w:r>
    </w:p>
    <w:p>
      <w:pPr>
        <w:numPr>
          <w:ilvl w:val="0"/>
          <w:numId w:val="0"/>
        </w:numPr>
        <w:ind w:firstLine="420" w:firstLineChars="0"/>
        <w:jc w:val="both"/>
        <w:rPr>
          <w:rFonts w:hint="eastAsia"/>
          <w:color w:val="FF0000"/>
          <w:lang w:val="en-US" w:eastAsia="zh-CN"/>
        </w:rPr>
      </w:pP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图-33</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7325" cy="1224280"/>
            <wp:effectExtent l="0" t="0" r="9525" b="13970"/>
            <wp:docPr id="37" name="图片 37" descr="企业评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企业评价6"/>
                    <pic:cNvPicPr>
                      <a:picLocks noChangeAspect="1"/>
                    </pic:cNvPicPr>
                  </pic:nvPicPr>
                  <pic:blipFill>
                    <a:blip r:embed="rId37"/>
                    <a:stretch>
                      <a:fillRect/>
                    </a:stretch>
                  </pic:blipFill>
                  <pic:spPr>
                    <a:xfrm>
                      <a:off x="0" y="0"/>
                      <a:ext cx="5267325" cy="122428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图-34</w:t>
      </w:r>
    </w:p>
    <w:p>
      <w:pPr>
        <w:pStyle w:val="5"/>
        <w:rPr>
          <w:rFonts w:hint="eastAsia"/>
          <w:lang w:val="en-US" w:eastAsia="zh-CN"/>
        </w:rPr>
      </w:pPr>
      <w:r>
        <w:rPr>
          <w:rFonts w:hint="eastAsia"/>
          <w:lang w:val="en-US" w:eastAsia="zh-CN"/>
        </w:rPr>
        <w:t>8.3 评价组查询</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 xml:space="preserve"> 工业对服务商任务的评价相关信息，查看如图-35所示。</w:t>
      </w:r>
    </w:p>
    <w:p>
      <w:pPr>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7960" cy="1297940"/>
            <wp:effectExtent l="0" t="0" r="8890" b="16510"/>
            <wp:docPr id="38" name="图片 38" descr="企业评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企业评价2"/>
                    <pic:cNvPicPr>
                      <a:picLocks noChangeAspect="1"/>
                    </pic:cNvPicPr>
                  </pic:nvPicPr>
                  <pic:blipFill>
                    <a:blip r:embed="rId38"/>
                    <a:stretch>
                      <a:fillRect/>
                    </a:stretch>
                  </pic:blipFill>
                  <pic:spPr>
                    <a:xfrm>
                      <a:off x="0" y="0"/>
                      <a:ext cx="5267960" cy="1297940"/>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图-35</w:t>
      </w:r>
    </w:p>
    <w:p>
      <w:pPr>
        <w:pStyle w:val="4"/>
        <w:numPr>
          <w:ilvl w:val="0"/>
          <w:numId w:val="2"/>
        </w:numPr>
        <w:rPr>
          <w:rFonts w:hint="eastAsia"/>
          <w:szCs w:val="22"/>
          <w:lang w:val="en-US" w:eastAsia="zh-CN"/>
        </w:rPr>
      </w:pPr>
      <w:r>
        <w:rPr>
          <w:rFonts w:hint="eastAsia"/>
          <w:szCs w:val="22"/>
          <w:lang w:val="en-US" w:eastAsia="zh-CN"/>
        </w:rPr>
        <w:t>财务管理员登录</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在米墨系统登录界面，使用工业总管理账户在员工管理中已维护过的财务管理员的账号进行登录，账号、密码同电话号码。</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财务管理员主要是对工业和服务商招投标、任务执行、任务评价和开票等等操作最终形成的结果集进行归档。</w:t>
      </w:r>
    </w:p>
    <w:p>
      <w:pPr>
        <w:pStyle w:val="5"/>
        <w:rPr>
          <w:rFonts w:hint="eastAsia"/>
          <w:lang w:val="en-US" w:eastAsia="zh-CN"/>
        </w:rPr>
      </w:pPr>
      <w:r>
        <w:rPr>
          <w:rFonts w:hint="eastAsia"/>
          <w:lang w:val="en-US" w:eastAsia="zh-CN"/>
        </w:rPr>
        <w:t>9.1 进度管理——进度跟踪</w:t>
      </w:r>
    </w:p>
    <w:p>
      <w:pPr>
        <w:ind w:firstLine="420" w:firstLineChars="0"/>
        <w:rPr>
          <w:rFonts w:hint="eastAsia"/>
          <w:lang w:val="en-US" w:eastAsia="zh-CN"/>
        </w:rPr>
      </w:pPr>
      <w:r>
        <w:rPr>
          <w:rFonts w:hint="eastAsia" w:ascii="楷体" w:hAnsi="楷体" w:eastAsia="楷体" w:cs="楷体"/>
          <w:color w:val="auto"/>
          <w:sz w:val="24"/>
          <w:szCs w:val="24"/>
          <w:lang w:val="en-US" w:eastAsia="zh-CN"/>
        </w:rPr>
        <w:t>对于工业的各项操作流程进度在进度跟踪中查看，如图-36所示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0975" cy="955040"/>
            <wp:effectExtent l="0" t="0" r="15875" b="16510"/>
            <wp:docPr id="39" name="图片 39" descr="工业财务-进度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工业财务-进度详情"/>
                    <pic:cNvPicPr>
                      <a:picLocks noChangeAspect="1"/>
                    </pic:cNvPicPr>
                  </pic:nvPicPr>
                  <pic:blipFill>
                    <a:blip r:embed="rId39"/>
                    <a:stretch>
                      <a:fillRect/>
                    </a:stretch>
                  </pic:blipFill>
                  <pic:spPr>
                    <a:xfrm>
                      <a:off x="0" y="0"/>
                      <a:ext cx="5260975" cy="955040"/>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图-36</w:t>
      </w:r>
    </w:p>
    <w:p>
      <w:pPr>
        <w:pStyle w:val="5"/>
        <w:rPr>
          <w:rFonts w:hint="eastAsia"/>
          <w:lang w:val="en-US" w:eastAsia="zh-CN"/>
        </w:rPr>
      </w:pPr>
      <w:r>
        <w:rPr>
          <w:rFonts w:hint="eastAsia"/>
          <w:lang w:val="en-US" w:eastAsia="zh-CN"/>
        </w:rPr>
        <w:t>9.2 企业评价——评价组查询</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工业对服务商任务的评价相关信息，如上图-35所示。</w:t>
      </w:r>
    </w:p>
    <w:p>
      <w:pPr>
        <w:pStyle w:val="5"/>
        <w:rPr>
          <w:rFonts w:hint="eastAsia"/>
          <w:lang w:val="en-US" w:eastAsia="zh-CN"/>
        </w:rPr>
      </w:pPr>
      <w:r>
        <w:rPr>
          <w:rFonts w:hint="eastAsia"/>
          <w:lang w:val="en-US" w:eastAsia="zh-CN"/>
        </w:rPr>
        <w:t>9.3 归档管理——归档查询</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等待服务商完成任务、工业进行评价、服务商开票、生成结果集后，工业财务进行结果集查看。如图-37所示。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2880" cy="1469390"/>
            <wp:effectExtent l="0" t="0" r="13970" b="16510"/>
            <wp:docPr id="40" name="图片 40" descr="结果集查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结果集查看1"/>
                    <pic:cNvPicPr>
                      <a:picLocks noChangeAspect="1"/>
                    </pic:cNvPicPr>
                  </pic:nvPicPr>
                  <pic:blipFill>
                    <a:blip r:embed="rId40"/>
                    <a:stretch>
                      <a:fillRect/>
                    </a:stretch>
                  </pic:blipFill>
                  <pic:spPr>
                    <a:xfrm>
                      <a:off x="0" y="0"/>
                      <a:ext cx="5262880" cy="14693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图-37</w:t>
      </w:r>
    </w:p>
    <w:p>
      <w:pPr>
        <w:pStyle w:val="4"/>
        <w:numPr>
          <w:ilvl w:val="0"/>
          <w:numId w:val="2"/>
        </w:numPr>
        <w:rPr>
          <w:rFonts w:hint="eastAsia"/>
          <w:szCs w:val="22"/>
          <w:lang w:val="en-US" w:eastAsia="zh-CN"/>
        </w:rPr>
      </w:pPr>
      <w:r>
        <w:rPr>
          <w:rFonts w:hint="eastAsia"/>
          <w:szCs w:val="22"/>
          <w:lang w:val="en-US" w:eastAsia="zh-CN"/>
        </w:rPr>
        <w:t>工业维护开票明细</w:t>
      </w:r>
      <w:r>
        <w:rPr>
          <w:rFonts w:hint="eastAsia"/>
          <w:color w:val="FF0000"/>
          <w:szCs w:val="22"/>
          <w:lang w:val="en-US" w:eastAsia="zh-CN"/>
        </w:rPr>
        <w:t>（新增）</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工业总管理员和工业财务管理员可在 服务管理模块中维护开票类型及明细。</w:t>
      </w:r>
    </w:p>
    <w:p>
      <w:pPr>
        <w:pStyle w:val="5"/>
        <w:rPr>
          <w:rFonts w:hint="eastAsia"/>
          <w:szCs w:val="22"/>
          <w:lang w:val="en-US" w:eastAsia="zh-CN"/>
        </w:rPr>
      </w:pPr>
      <w:r>
        <w:rPr>
          <w:rFonts w:hint="eastAsia"/>
          <w:szCs w:val="22"/>
          <w:lang w:val="en-US" w:eastAsia="zh-CN"/>
        </w:rPr>
        <w:t>10.1服务管理——服务系数</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系统中对每项服务都有对应默认的开票类型和明细，工业可在此模块中修改系统中默认的开票类型和明细。如图-38 图-39所示。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3515" cy="2279015"/>
            <wp:effectExtent l="0" t="0" r="13335" b="6985"/>
            <wp:docPr id="16" name="图片 16" descr="工业开票明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工业开票明细1"/>
                    <pic:cNvPicPr>
                      <a:picLocks noChangeAspect="1"/>
                    </pic:cNvPicPr>
                  </pic:nvPicPr>
                  <pic:blipFill>
                    <a:blip r:embed="rId41"/>
                    <a:stretch>
                      <a:fillRect/>
                    </a:stretch>
                  </pic:blipFill>
                  <pic:spPr>
                    <a:xfrm>
                      <a:off x="0" y="0"/>
                      <a:ext cx="5263515" cy="227901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图-38</w:t>
      </w:r>
    </w:p>
    <w:p>
      <w:pPr>
        <w:ind w:firstLine="420" w:firstLineChars="0"/>
        <w:rPr>
          <w:rFonts w:hint="eastAsia" w:ascii="楷体" w:hAnsi="楷体" w:eastAsia="楷体" w:cs="楷体"/>
          <w:color w:val="auto"/>
          <w:sz w:val="24"/>
          <w:szCs w:val="24"/>
          <w:lang w:val="en-US" w:eastAsia="zh-CN"/>
        </w:rPr>
      </w:pP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748790"/>
            <wp:effectExtent l="0" t="0" r="4445" b="3810"/>
            <wp:docPr id="19" name="图片 19" descr="工业开票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工业开票明细2"/>
                    <pic:cNvPicPr>
                      <a:picLocks noChangeAspect="1"/>
                    </pic:cNvPicPr>
                  </pic:nvPicPr>
                  <pic:blipFill>
                    <a:blip r:embed="rId42"/>
                    <a:stretch>
                      <a:fillRect/>
                    </a:stretch>
                  </pic:blipFill>
                  <pic:spPr>
                    <a:xfrm>
                      <a:off x="0" y="0"/>
                      <a:ext cx="5272405" cy="17487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图-39</w:t>
      </w:r>
    </w:p>
    <w:p>
      <w:pPr>
        <w:pStyle w:val="5"/>
        <w:rPr>
          <w:rFonts w:hint="eastAsia"/>
          <w:szCs w:val="22"/>
          <w:lang w:val="en-US" w:eastAsia="zh-CN"/>
        </w:rPr>
      </w:pPr>
      <w:r>
        <w:rPr>
          <w:rFonts w:hint="eastAsia"/>
          <w:szCs w:val="22"/>
          <w:lang w:val="en-US" w:eastAsia="zh-CN"/>
        </w:rPr>
        <w:t>10.2服务管理——开票明细管理</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工业需要新增自主的开票明细时，在此进行新增明细，审核通过后，服务商即可开具此类型发票明细，如图-40 图-41所示。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5420" cy="1200785"/>
            <wp:effectExtent l="0" t="0" r="11430" b="18415"/>
            <wp:docPr id="33" name="图片 33" descr="工业新增开票明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工业新增开票明细1"/>
                    <pic:cNvPicPr>
                      <a:picLocks noChangeAspect="1"/>
                    </pic:cNvPicPr>
                  </pic:nvPicPr>
                  <pic:blipFill>
                    <a:blip r:embed="rId43"/>
                    <a:stretch>
                      <a:fillRect/>
                    </a:stretch>
                  </pic:blipFill>
                  <pic:spPr>
                    <a:xfrm>
                      <a:off x="0" y="0"/>
                      <a:ext cx="5265420" cy="120078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图-40</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71135" cy="1483995"/>
            <wp:effectExtent l="0" t="0" r="5715" b="1905"/>
            <wp:docPr id="41" name="图片 41" descr="工业新增开票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工业新增开票明细2"/>
                    <pic:cNvPicPr>
                      <a:picLocks noChangeAspect="1"/>
                    </pic:cNvPicPr>
                  </pic:nvPicPr>
                  <pic:blipFill>
                    <a:blip r:embed="rId44"/>
                    <a:stretch>
                      <a:fillRect/>
                    </a:stretch>
                  </pic:blipFill>
                  <pic:spPr>
                    <a:xfrm>
                      <a:off x="0" y="0"/>
                      <a:ext cx="5271135" cy="14839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图-41</w:t>
      </w:r>
    </w:p>
    <w:p>
      <w:pPr>
        <w:pStyle w:val="4"/>
        <w:numPr>
          <w:ilvl w:val="0"/>
          <w:numId w:val="2"/>
        </w:numPr>
        <w:rPr>
          <w:rFonts w:hint="eastAsia"/>
          <w:szCs w:val="22"/>
          <w:lang w:val="en-US" w:eastAsia="zh-CN"/>
        </w:rPr>
      </w:pPr>
      <w:r>
        <w:rPr>
          <w:rFonts w:hint="eastAsia"/>
          <w:color w:val="auto"/>
          <w:szCs w:val="22"/>
          <w:lang w:val="en-US" w:eastAsia="zh-CN"/>
        </w:rPr>
        <w:t>工业新增终端拜访、终端管理服务项</w:t>
      </w:r>
      <w:r>
        <w:rPr>
          <w:rFonts w:hint="eastAsia"/>
          <w:color w:val="FF0000"/>
          <w:szCs w:val="22"/>
          <w:lang w:val="en-US" w:eastAsia="zh-CN"/>
        </w:rPr>
        <w:t>（新增）</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米墨工业系统中新增终端拜访和终端管理两个服务项，工业的总管理员和财务管理员账号首先在服务管理模块中修改系统默认的终端管理和终端拜访权重系数，最终所有服务项权重必须相加为100，先可减少其他服务项权重，相应增加终端管理和终端拜访，再修改终端管理配置，操作如图-42图-43所示。</w:t>
      </w:r>
    </w:p>
    <w:p>
      <w:pPr>
        <w:ind w:left="840" w:leftChars="0" w:firstLine="420" w:firstLineChars="0"/>
        <w:rPr>
          <w:rFonts w:hint="eastAsia" w:ascii="楷体" w:hAnsi="楷体" w:eastAsia="楷体" w:cs="楷体"/>
          <w:color w:val="auto"/>
          <w:sz w:val="24"/>
          <w:szCs w:val="24"/>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67325" cy="2343785"/>
            <wp:effectExtent l="0" t="0" r="9525" b="18415"/>
            <wp:docPr id="45" name="图片 45"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42"/>
                    <pic:cNvPicPr>
                      <a:picLocks noChangeAspect="1"/>
                    </pic:cNvPicPr>
                  </pic:nvPicPr>
                  <pic:blipFill>
                    <a:blip r:embed="rId45"/>
                    <a:stretch>
                      <a:fillRect/>
                    </a:stretch>
                  </pic:blipFill>
                  <pic:spPr>
                    <a:xfrm>
                      <a:off x="0" y="0"/>
                      <a:ext cx="5267325" cy="234378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图-42</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9230" cy="1654175"/>
            <wp:effectExtent l="0" t="0" r="7620" b="3175"/>
            <wp:docPr id="43" name="图片 43"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43"/>
                    <pic:cNvPicPr>
                      <a:picLocks noChangeAspect="1"/>
                    </pic:cNvPicPr>
                  </pic:nvPicPr>
                  <pic:blipFill>
                    <a:blip r:embed="rId46"/>
                    <a:stretch>
                      <a:fillRect/>
                    </a:stretch>
                  </pic:blipFill>
                  <pic:spPr>
                    <a:xfrm>
                      <a:off x="0" y="0"/>
                      <a:ext cx="5269230" cy="16541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图-43</w:t>
      </w:r>
    </w:p>
    <w:p>
      <w:pPr>
        <w:pStyle w:val="5"/>
        <w:rPr>
          <w:rFonts w:hint="eastAsia"/>
          <w:szCs w:val="22"/>
          <w:lang w:val="en-US" w:eastAsia="zh-CN"/>
        </w:rPr>
      </w:pPr>
      <w:r>
        <w:rPr>
          <w:rFonts w:hint="eastAsia"/>
          <w:szCs w:val="22"/>
          <w:lang w:val="en-US" w:eastAsia="zh-CN"/>
        </w:rPr>
        <w:t>11.1招投标管理——发布招标（带终端管理服务）</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工业市场管理员账号在发布带有终端管理任务招标时，在发布招标时，需导入相关终端信息，操作如图-44所示，发布招标。</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3515" cy="2202180"/>
            <wp:effectExtent l="0" t="0" r="13335" b="7620"/>
            <wp:docPr id="44" name="图片 44"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44"/>
                    <pic:cNvPicPr>
                      <a:picLocks noChangeAspect="1"/>
                    </pic:cNvPicPr>
                  </pic:nvPicPr>
                  <pic:blipFill>
                    <a:blip r:embed="rId47"/>
                    <a:stretch>
                      <a:fillRect/>
                    </a:stretch>
                  </pic:blipFill>
                  <pic:spPr>
                    <a:xfrm>
                      <a:off x="0" y="0"/>
                      <a:ext cx="5263515" cy="220218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图-44</w:t>
      </w:r>
    </w:p>
    <w:p>
      <w:pPr>
        <w:ind w:firstLine="420" w:firstLineChars="0"/>
        <w:rPr>
          <w:rFonts w:hint="eastAsia" w:ascii="楷体" w:hAnsi="楷体" w:eastAsia="楷体" w:cs="楷体"/>
          <w:color w:val="auto"/>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FB4EA"/>
    <w:multiLevelType w:val="multilevel"/>
    <w:tmpl w:val="913FB4E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4F97CEA2"/>
    <w:multiLevelType w:val="singleLevel"/>
    <w:tmpl w:val="4F97CEA2"/>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57B6E"/>
    <w:rsid w:val="0124200A"/>
    <w:rsid w:val="02AE2893"/>
    <w:rsid w:val="033C5FFB"/>
    <w:rsid w:val="038F3CCC"/>
    <w:rsid w:val="042F6FE8"/>
    <w:rsid w:val="04433060"/>
    <w:rsid w:val="05827C70"/>
    <w:rsid w:val="059077CE"/>
    <w:rsid w:val="07DE7E09"/>
    <w:rsid w:val="09195487"/>
    <w:rsid w:val="09BB2B9C"/>
    <w:rsid w:val="0A86740A"/>
    <w:rsid w:val="0B0C7862"/>
    <w:rsid w:val="0C7264D1"/>
    <w:rsid w:val="0F33150C"/>
    <w:rsid w:val="128F1DBC"/>
    <w:rsid w:val="147210B6"/>
    <w:rsid w:val="161E00A0"/>
    <w:rsid w:val="175B0EA9"/>
    <w:rsid w:val="18FC3900"/>
    <w:rsid w:val="1BEE767F"/>
    <w:rsid w:val="1F1426E8"/>
    <w:rsid w:val="204040A4"/>
    <w:rsid w:val="204D00F8"/>
    <w:rsid w:val="2099693E"/>
    <w:rsid w:val="21397269"/>
    <w:rsid w:val="21481B14"/>
    <w:rsid w:val="21F53152"/>
    <w:rsid w:val="22825DCB"/>
    <w:rsid w:val="25231F1A"/>
    <w:rsid w:val="263D254E"/>
    <w:rsid w:val="28D66AC8"/>
    <w:rsid w:val="28F16B0F"/>
    <w:rsid w:val="2AB3082D"/>
    <w:rsid w:val="2C806633"/>
    <w:rsid w:val="2DAB5CC6"/>
    <w:rsid w:val="2E7A5A33"/>
    <w:rsid w:val="2F5C52B8"/>
    <w:rsid w:val="305F4667"/>
    <w:rsid w:val="30C557CA"/>
    <w:rsid w:val="30F26535"/>
    <w:rsid w:val="31375640"/>
    <w:rsid w:val="342A67D3"/>
    <w:rsid w:val="382F173B"/>
    <w:rsid w:val="3B0B2EF5"/>
    <w:rsid w:val="3BBF56A3"/>
    <w:rsid w:val="3CA225A2"/>
    <w:rsid w:val="3CAA0540"/>
    <w:rsid w:val="3CE6453D"/>
    <w:rsid w:val="3DBB237A"/>
    <w:rsid w:val="3ECA6193"/>
    <w:rsid w:val="407667C5"/>
    <w:rsid w:val="447601C5"/>
    <w:rsid w:val="44AE1E9F"/>
    <w:rsid w:val="45E17B51"/>
    <w:rsid w:val="46F358E5"/>
    <w:rsid w:val="47A52CD2"/>
    <w:rsid w:val="47A70B7F"/>
    <w:rsid w:val="47D0022E"/>
    <w:rsid w:val="480E5106"/>
    <w:rsid w:val="49C22656"/>
    <w:rsid w:val="4B9A0B4B"/>
    <w:rsid w:val="4ED1329E"/>
    <w:rsid w:val="541C5093"/>
    <w:rsid w:val="55601A5C"/>
    <w:rsid w:val="55B30098"/>
    <w:rsid w:val="56932D8F"/>
    <w:rsid w:val="595D24BB"/>
    <w:rsid w:val="599A5E44"/>
    <w:rsid w:val="5D830D42"/>
    <w:rsid w:val="5EAB24FC"/>
    <w:rsid w:val="5F6429DE"/>
    <w:rsid w:val="5FBE4487"/>
    <w:rsid w:val="600D4954"/>
    <w:rsid w:val="60A5676B"/>
    <w:rsid w:val="6296046F"/>
    <w:rsid w:val="63F40203"/>
    <w:rsid w:val="66F477E6"/>
    <w:rsid w:val="683D4C2E"/>
    <w:rsid w:val="68DD4C52"/>
    <w:rsid w:val="6A396857"/>
    <w:rsid w:val="6D2E7550"/>
    <w:rsid w:val="6EF10971"/>
    <w:rsid w:val="6FA4328A"/>
    <w:rsid w:val="723E28A0"/>
    <w:rsid w:val="73193BA0"/>
    <w:rsid w:val="763A3753"/>
    <w:rsid w:val="7818596A"/>
    <w:rsid w:val="781C2FAC"/>
    <w:rsid w:val="78406D03"/>
    <w:rsid w:val="794F670F"/>
    <w:rsid w:val="7A361BA8"/>
    <w:rsid w:val="7B9A2F36"/>
    <w:rsid w:val="7CAE0A8C"/>
    <w:rsid w:val="7D442829"/>
    <w:rsid w:val="7DFB730E"/>
    <w:rsid w:val="7F006FFF"/>
    <w:rsid w:val="7FE831D8"/>
    <w:rsid w:val="7FF55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标题4"/>
    <w:basedOn w:val="5"/>
    <w:next w:val="1"/>
    <w:qFormat/>
    <w:uiPriority w:val="0"/>
    <w:rPr>
      <w:rFonts w:asciiTheme="minorAscii" w:hAnsiTheme="minorAscii"/>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 夜  半度微凉</cp:lastModifiedBy>
  <dcterms:modified xsi:type="dcterms:W3CDTF">2018-07-03T07:09:13Z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