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b/>
          <w:bCs/>
          <w:color w:val="FF0000"/>
          <w:sz w:val="44"/>
          <w:szCs w:val="44"/>
          <w:lang w:eastAsia="zh-CN"/>
        </w:rPr>
      </w:pPr>
      <w:r>
        <w:rPr>
          <w:rFonts w:hint="eastAsia"/>
          <w:b/>
          <w:bCs/>
          <w:color w:val="FF0000"/>
          <w:sz w:val="44"/>
          <w:szCs w:val="44"/>
          <w:lang w:val="en-US" w:eastAsia="zh-CN"/>
        </w:rPr>
        <w:t>绝密：</w:t>
      </w:r>
      <w:r>
        <w:rPr>
          <w:rFonts w:hint="eastAsia"/>
          <w:b/>
          <w:bCs/>
          <w:color w:val="FF0000"/>
          <w:sz w:val="44"/>
          <w:szCs w:val="44"/>
          <w:lang w:eastAsia="zh-CN"/>
        </w:rPr>
        <w:t>股期联动擒牛秘籍</w:t>
      </w:r>
    </w:p>
    <w:p/>
    <w:p>
      <w:pPr>
        <w:rPr>
          <w:rFonts w:hint="eastAsia"/>
          <w:b/>
          <w:bCs/>
          <w:sz w:val="32"/>
          <w:szCs w:val="32"/>
          <w:highlight w:val="none"/>
        </w:rPr>
      </w:pPr>
    </w:p>
    <w:p>
      <w:pPr>
        <w:rPr>
          <w:rFonts w:hint="eastAsia"/>
          <w:b/>
          <w:bCs/>
          <w:sz w:val="32"/>
          <w:szCs w:val="32"/>
          <w:highlight w:val="none"/>
        </w:rPr>
      </w:pPr>
    </w:p>
    <w:p>
      <w:pPr>
        <w:rPr>
          <w:b/>
          <w:bCs/>
          <w:sz w:val="32"/>
          <w:szCs w:val="32"/>
          <w:highlight w:val="none"/>
        </w:rPr>
      </w:pPr>
      <w:r>
        <w:rPr>
          <w:rFonts w:hint="eastAsia"/>
          <w:b/>
          <w:bCs/>
          <w:sz w:val="32"/>
          <w:szCs w:val="32"/>
          <w:highlight w:val="none"/>
        </w:rPr>
        <w:t>跳出传统技术思维的束缚，打破K线、均线、成交量等传统技术指标的局限</w:t>
      </w:r>
      <w:r>
        <w:rPr>
          <w:rFonts w:hint="eastAsia"/>
          <w:b/>
          <w:bCs/>
          <w:sz w:val="32"/>
          <w:szCs w:val="32"/>
          <w:highlight w:val="none"/>
          <w:lang w:eastAsia="zh-CN"/>
        </w:rPr>
        <w:t>性</w:t>
      </w:r>
      <w:r>
        <w:rPr>
          <w:rFonts w:hint="eastAsia"/>
          <w:b/>
          <w:bCs/>
          <w:sz w:val="32"/>
          <w:szCs w:val="32"/>
          <w:highlight w:val="none"/>
        </w:rPr>
        <w:t>！利用事物背后最本质的联动逻辑，建立新型赚钱性投资思维——股期联动!</w:t>
      </w:r>
    </w:p>
    <w:p>
      <w:pPr>
        <w:rPr>
          <w:b/>
          <w:bCs/>
          <w:sz w:val="32"/>
          <w:szCs w:val="32"/>
        </w:rPr>
      </w:pPr>
    </w:p>
    <w:p>
      <w:pPr>
        <w:ind w:left="7068" w:hanging="7068" w:hangingChars="2200"/>
        <w:rPr>
          <w:rFonts w:hint="eastAsia"/>
          <w:b/>
          <w:bCs/>
          <w:sz w:val="32"/>
          <w:szCs w:val="32"/>
        </w:rPr>
      </w:pPr>
      <w:r>
        <w:rPr>
          <w:rFonts w:hint="eastAsia"/>
          <w:b/>
          <w:bCs/>
          <w:sz w:val="32"/>
          <w:szCs w:val="32"/>
        </w:rPr>
        <w:t xml:space="preserve">                                                        </w:t>
      </w:r>
    </w:p>
    <w:p>
      <w:pPr>
        <w:ind w:firstLine="6746" w:firstLineChars="2100"/>
        <w:rPr>
          <w:rFonts w:hint="eastAsia" w:eastAsiaTheme="minorEastAsia"/>
          <w:b/>
          <w:bCs/>
          <w:sz w:val="32"/>
          <w:szCs w:val="32"/>
          <w:lang w:eastAsia="zh-CN"/>
        </w:rPr>
      </w:pPr>
      <w:r>
        <w:rPr>
          <w:rFonts w:hint="eastAsia"/>
          <w:b/>
          <w:bCs/>
          <w:sz w:val="32"/>
          <w:szCs w:val="32"/>
        </w:rPr>
        <w:t>——</w:t>
      </w:r>
      <w:r>
        <w:rPr>
          <w:rFonts w:hint="eastAsia"/>
          <w:b/>
          <w:bCs/>
          <w:sz w:val="32"/>
          <w:szCs w:val="32"/>
          <w:lang w:eastAsia="zh-CN"/>
        </w:rPr>
        <w:t>达摩</w:t>
      </w:r>
    </w:p>
    <w:p/>
    <w:p/>
    <w:p>
      <w:pPr>
        <w:rPr>
          <w:rFonts w:hint="eastAsia"/>
          <w:b/>
          <w:bCs/>
          <w:color w:val="C00000"/>
        </w:rPr>
      </w:pPr>
    </w:p>
    <w:p>
      <w:pPr>
        <w:rPr>
          <w:rFonts w:hint="eastAsia"/>
          <w:b/>
          <w:bCs/>
          <w:color w:val="C00000"/>
        </w:rPr>
      </w:pPr>
    </w:p>
    <w:p>
      <w:pPr>
        <w:rPr>
          <w:rFonts w:hint="eastAsia"/>
          <w:b/>
          <w:bCs/>
          <w:color w:val="C00000"/>
        </w:rPr>
      </w:pPr>
    </w:p>
    <w:p>
      <w:pPr>
        <w:rPr>
          <w:rFonts w:hint="eastAsia"/>
          <w:b/>
          <w:bCs/>
          <w:color w:val="C00000"/>
        </w:rPr>
      </w:pPr>
    </w:p>
    <w:p>
      <w:pPr>
        <w:rPr>
          <w:rFonts w:hint="eastAsia"/>
          <w:b/>
          <w:bCs/>
          <w:color w:val="C00000"/>
        </w:rPr>
      </w:pPr>
    </w:p>
    <w:p>
      <w:pPr>
        <w:rPr>
          <w:rFonts w:hint="eastAsia"/>
          <w:b/>
          <w:bCs/>
          <w:color w:val="C00000"/>
        </w:rPr>
      </w:pPr>
    </w:p>
    <w:p>
      <w:pPr>
        <w:rPr>
          <w:rFonts w:hint="eastAsia"/>
          <w:b/>
          <w:bCs/>
          <w:color w:val="C00000"/>
        </w:rPr>
      </w:pPr>
    </w:p>
    <w:p>
      <w:pPr>
        <w:rPr>
          <w:rFonts w:hint="eastAsia"/>
          <w:b/>
          <w:bCs/>
          <w:color w:val="C00000"/>
        </w:rPr>
      </w:pPr>
    </w:p>
    <w:p>
      <w:pPr>
        <w:rPr>
          <w:rFonts w:hint="eastAsia"/>
          <w:b/>
          <w:bCs/>
          <w:color w:val="C00000"/>
        </w:rPr>
      </w:pPr>
    </w:p>
    <w:p>
      <w:pPr>
        <w:rPr>
          <w:rFonts w:hint="eastAsia"/>
          <w:b/>
          <w:bCs/>
          <w:color w:val="C00000"/>
        </w:rPr>
      </w:pPr>
    </w:p>
    <w:p>
      <w:pPr>
        <w:rPr>
          <w:b/>
          <w:bCs/>
          <w:color w:val="C00000"/>
        </w:rPr>
      </w:pPr>
      <w:r>
        <w:rPr>
          <w:rFonts w:hint="eastAsia"/>
          <w:b/>
          <w:bCs/>
          <w:color w:val="C00000"/>
        </w:rPr>
        <w:t>何为股期联动？</w:t>
      </w:r>
    </w:p>
    <w:p/>
    <w:p>
      <w:r>
        <w:rPr>
          <w:rFonts w:hint="eastAsia"/>
        </w:rPr>
        <w:t>经过多年的实战操作以及理论研究，期货市场和股票市场的确是</w:t>
      </w:r>
      <w:r>
        <w:rPr>
          <w:rFonts w:hint="eastAsia"/>
          <w:lang w:eastAsia="zh-CN"/>
        </w:rPr>
        <w:t>存在</w:t>
      </w:r>
      <w:r>
        <w:rPr>
          <w:rFonts w:hint="eastAsia"/>
        </w:rPr>
        <w:t>相互</w:t>
      </w:r>
      <w:r>
        <w:rPr>
          <w:rFonts w:hint="eastAsia"/>
          <w:lang w:eastAsia="zh-CN"/>
        </w:rPr>
        <w:t>间的</w:t>
      </w:r>
      <w:r>
        <w:rPr>
          <w:rFonts w:hint="eastAsia"/>
        </w:rPr>
        <w:t>影响。这种影响主要体现在市场资金和期货品种价格对相关个股基本面上的影响。</w:t>
      </w:r>
    </w:p>
    <w:p>
      <w:pPr>
        <w:rPr>
          <w:rFonts w:hint="eastAsia"/>
          <w:b/>
          <w:bCs/>
          <w:color w:val="FF0000"/>
        </w:rPr>
      </w:pPr>
      <w:r>
        <w:rPr>
          <w:rFonts w:hint="eastAsia"/>
          <w:b/>
          <w:bCs/>
          <w:color w:val="FF0000"/>
        </w:rPr>
        <w:t>当商品期货价格上涨较大</w:t>
      </w:r>
      <w:r>
        <w:rPr>
          <w:rFonts w:hint="eastAsia"/>
          <w:b/>
          <w:bCs/>
          <w:color w:val="FF0000"/>
          <w:lang w:eastAsia="zh-CN"/>
        </w:rPr>
        <w:t>（</w:t>
      </w:r>
      <w:r>
        <w:rPr>
          <w:rFonts w:hint="eastAsia"/>
          <w:b/>
          <w:bCs/>
          <w:color w:val="0000FF"/>
          <w:lang w:eastAsia="zh-CN"/>
        </w:rPr>
        <w:t>下跌较大</w:t>
      </w:r>
      <w:r>
        <w:rPr>
          <w:rFonts w:hint="eastAsia"/>
          <w:b/>
          <w:bCs/>
          <w:color w:val="FF0000"/>
          <w:lang w:eastAsia="zh-CN"/>
        </w:rPr>
        <w:t>）</w:t>
      </w:r>
      <w:r>
        <w:rPr>
          <w:rFonts w:hint="eastAsia"/>
          <w:b/>
          <w:bCs/>
          <w:color w:val="FF0000"/>
        </w:rPr>
        <w:t>即其收益率较高</w:t>
      </w:r>
      <w:r>
        <w:rPr>
          <w:rFonts w:hint="eastAsia"/>
          <w:b/>
          <w:bCs/>
          <w:color w:val="FF0000"/>
          <w:lang w:eastAsia="zh-CN"/>
        </w:rPr>
        <w:t>（</w:t>
      </w:r>
      <w:r>
        <w:rPr>
          <w:rFonts w:hint="eastAsia"/>
          <w:b/>
          <w:bCs/>
          <w:color w:val="0000FF"/>
          <w:lang w:eastAsia="zh-CN"/>
        </w:rPr>
        <w:t>收益率降低</w:t>
      </w:r>
      <w:r>
        <w:rPr>
          <w:rFonts w:hint="eastAsia"/>
          <w:b/>
          <w:bCs/>
          <w:color w:val="FF0000"/>
          <w:lang w:eastAsia="zh-CN"/>
        </w:rPr>
        <w:t>）</w:t>
      </w:r>
      <w:r>
        <w:rPr>
          <w:rFonts w:hint="eastAsia"/>
          <w:b/>
          <w:bCs/>
          <w:color w:val="FF0000"/>
        </w:rPr>
        <w:t>时，对应的商品股票也将走势强劲</w:t>
      </w:r>
      <w:r>
        <w:rPr>
          <w:rFonts w:hint="eastAsia"/>
          <w:b/>
          <w:bCs/>
          <w:color w:val="FF0000"/>
          <w:lang w:eastAsia="zh-CN"/>
        </w:rPr>
        <w:t>（</w:t>
      </w:r>
      <w:r>
        <w:rPr>
          <w:rFonts w:hint="eastAsia"/>
          <w:b/>
          <w:bCs/>
          <w:color w:val="0000FF"/>
          <w:lang w:eastAsia="zh-CN"/>
        </w:rPr>
        <w:t>走弱</w:t>
      </w:r>
      <w:r>
        <w:rPr>
          <w:rFonts w:hint="eastAsia"/>
          <w:b/>
          <w:bCs/>
          <w:color w:val="FF0000"/>
          <w:lang w:eastAsia="zh-CN"/>
        </w:rPr>
        <w:t>）</w:t>
      </w:r>
      <w:r>
        <w:rPr>
          <w:rFonts w:hint="eastAsia"/>
          <w:b/>
          <w:bCs/>
          <w:color w:val="FF0000"/>
        </w:rPr>
        <w:t>，且期货价格走势一定程度上领先于股票。</w:t>
      </w:r>
    </w:p>
    <w:p>
      <w:pPr>
        <w:rPr>
          <w:rFonts w:hint="eastAsia"/>
          <w:b/>
          <w:bCs/>
          <w:color w:val="FF0000"/>
        </w:rPr>
      </w:pPr>
    </w:p>
    <w:p>
      <w:pPr>
        <w:rPr>
          <w:rFonts w:hint="eastAsia" w:eastAsiaTheme="minorEastAsia"/>
          <w:b/>
          <w:bCs/>
          <w:color w:val="ED7D31" w:themeColor="accent2"/>
          <w:lang w:eastAsia="zh-CN"/>
          <w14:textFill>
            <w14:solidFill>
              <w14:schemeClr w14:val="accent2"/>
            </w14:solidFill>
          </w14:textFill>
        </w:rPr>
      </w:pPr>
      <w:r>
        <w:rPr>
          <w:rFonts w:hint="eastAsia"/>
          <w:b/>
          <w:bCs/>
          <w:color w:val="ED7D31" w:themeColor="accent2"/>
          <w:lang w:eastAsia="zh-CN"/>
          <w14:textFill>
            <w14:solidFill>
              <w14:schemeClr w14:val="accent2"/>
            </w14:solidFill>
          </w14:textFill>
        </w:rPr>
        <w:t>商品期货价格走势是对应股票价格走势的</w:t>
      </w:r>
      <w:r>
        <w:rPr>
          <w:rFonts w:hint="eastAsia"/>
          <w:b/>
          <w:bCs/>
          <w:color w:val="FF0000"/>
          <w:lang w:eastAsia="zh-CN"/>
        </w:rPr>
        <w:t>先行指标</w:t>
      </w:r>
      <w:r>
        <w:rPr>
          <w:rFonts w:hint="eastAsia"/>
          <w:b/>
          <w:bCs/>
          <w:color w:val="ED7D31" w:themeColor="accent2"/>
          <w:lang w:eastAsia="zh-CN"/>
          <w14:textFill>
            <w14:solidFill>
              <w14:schemeClr w14:val="accent2"/>
            </w14:solidFill>
          </w14:textFill>
        </w:rPr>
        <w:t>！（买卖参考依据）</w:t>
      </w:r>
    </w:p>
    <w:p>
      <w:pPr>
        <w:rPr>
          <w:rFonts w:hint="eastAsia"/>
          <w:b/>
          <w:bCs/>
          <w:color w:val="ED7D31" w:themeColor="accent2"/>
          <w14:textFill>
            <w14:solidFill>
              <w14:schemeClr w14:val="accent2"/>
            </w14:solidFill>
          </w14:textFill>
        </w:rPr>
      </w:pPr>
    </w:p>
    <w:p>
      <w:pPr>
        <w:rPr>
          <w:rFonts w:hint="eastAsia"/>
          <w:b/>
          <w:bCs/>
          <w:color w:val="D10535"/>
        </w:rPr>
      </w:pPr>
      <w:r>
        <w:rPr>
          <w:rFonts w:hint="eastAsia"/>
          <w:b/>
          <w:bCs/>
          <w:color w:val="D10535"/>
        </w:rPr>
        <w:t>为什么会有股期联动？</w:t>
      </w:r>
    </w:p>
    <w:p>
      <w:pPr>
        <w:rPr>
          <w:rFonts w:hint="eastAsia"/>
          <w:b/>
          <w:bCs/>
          <w:color w:val="auto"/>
        </w:rPr>
      </w:pPr>
    </w:p>
    <w:p>
      <w:pPr>
        <w:rPr>
          <w:rFonts w:hint="eastAsia"/>
          <w:b/>
          <w:bCs/>
          <w:color w:val="auto"/>
        </w:rPr>
      </w:pPr>
      <w:r>
        <w:rPr>
          <w:rFonts w:hint="eastAsia"/>
          <w:b/>
          <w:bCs/>
          <w:color w:val="auto"/>
        </w:rPr>
        <w:t>期股联动的投资理念主要是基于</w:t>
      </w:r>
      <w:r>
        <w:rPr>
          <w:rFonts w:hint="eastAsia"/>
          <w:b/>
          <w:bCs/>
          <w:color w:val="FF0000"/>
        </w:rPr>
        <w:t>商品价格变动导致企业基本面发生巨大变化</w:t>
      </w:r>
      <w:r>
        <w:rPr>
          <w:rFonts w:hint="eastAsia"/>
          <w:b/>
          <w:bCs/>
          <w:color w:val="auto"/>
        </w:rPr>
        <w:t>。大宗商品作为企业运行中的原材料及成品，其价格波动对于企业盈利预期的影响至关重要，这也是个股和大众商品联动的内在核心。</w:t>
      </w:r>
    </w:p>
    <w:p>
      <w:pPr>
        <w:rPr>
          <w:rFonts w:hint="eastAsia"/>
          <w:b/>
          <w:bCs/>
          <w:color w:val="auto"/>
        </w:rPr>
      </w:pPr>
      <w:r>
        <w:rPr>
          <w:rFonts w:hint="eastAsia"/>
          <w:b/>
          <w:bCs/>
          <w:color w:val="auto"/>
        </w:rPr>
        <w:t>而期货市场的价格机制基本能够客观反应实体经济的需求和成本转变，期货价格的上涨往往很快能够传导至股票市场，从而给相关生产企业带来业绩的巨大变化。</w:t>
      </w:r>
    </w:p>
    <w:p>
      <w:pPr>
        <w:rPr>
          <w:rFonts w:hint="eastAsia"/>
          <w:b/>
          <w:bCs/>
          <w:color w:val="FF0000"/>
        </w:rPr>
      </w:pPr>
    </w:p>
    <w:p>
      <w:pPr>
        <w:rPr>
          <w:b/>
          <w:bCs/>
          <w:color w:val="FF0000"/>
        </w:rPr>
      </w:pPr>
    </w:p>
    <w:p>
      <w:pPr>
        <w:rPr>
          <w:b/>
          <w:bCs/>
          <w:color w:val="C00000"/>
        </w:rPr>
      </w:pPr>
      <w:r>
        <w:rPr>
          <w:rFonts w:hint="eastAsia"/>
          <w:b/>
          <w:bCs/>
          <w:color w:val="C00000"/>
        </w:rPr>
        <w:t>股期联动的内在机制</w:t>
      </w:r>
    </w:p>
    <w:p/>
    <w:p>
      <w:r>
        <w:rPr>
          <w:rFonts w:hint="eastAsia"/>
        </w:rPr>
        <w:t>一般而言，商品期货领先于现货市场，即当前商品期货价格一定程度上反映了对应</w:t>
      </w:r>
      <w:r>
        <w:rPr>
          <w:rFonts w:hint="eastAsia"/>
          <w:lang w:eastAsia="zh-CN"/>
        </w:rPr>
        <w:t>实物</w:t>
      </w:r>
      <w:r>
        <w:rPr>
          <w:rFonts w:hint="eastAsia"/>
        </w:rPr>
        <w:t>在未来一段时间内的价格走势。在其他因素没有较大变化的情况下，当上市公司产品价格出现较大变动时，企业的主营业务利润率将随之变化，因此可以通过商品期货价格走势来预测未来企业的主营业务利润率，上市企业的股价也将反映此预期，并发生相应的变化。</w:t>
      </w:r>
    </w:p>
    <w:p>
      <w:r>
        <w:rPr>
          <w:rFonts w:hint="eastAsia"/>
        </w:rPr>
        <w:t>股票价值是未来现金流的折现，当商品价格上涨，企业预期销售利润将增加，股价将上扬。反之，当商品价格下跌，企业收入下降，从而降低其估值，体现为价格下跌。</w:t>
      </w:r>
    </w:p>
    <w:p/>
    <w:p>
      <w:pPr>
        <w:rPr>
          <w:b/>
          <w:bCs/>
          <w:color w:val="7030A0"/>
        </w:rPr>
      </w:pPr>
      <w:r>
        <w:rPr>
          <w:rFonts w:hint="eastAsia"/>
          <w:b/>
          <w:bCs/>
          <w:color w:val="7030A0"/>
        </w:rPr>
        <w:t>期货→→现货→→股票（涨价概念的本质）</w:t>
      </w:r>
    </w:p>
    <w:p>
      <w:pPr>
        <w:rPr>
          <w:b/>
          <w:bCs/>
          <w:color w:val="7030A0"/>
        </w:rPr>
      </w:pPr>
    </w:p>
    <w:p>
      <w:pPr>
        <w:rPr>
          <w:rFonts w:hint="eastAsia"/>
          <w:b/>
          <w:bCs/>
          <w:color w:val="C00000"/>
        </w:rPr>
      </w:pPr>
      <w:r>
        <w:rPr>
          <w:rFonts w:hint="eastAsia"/>
          <w:b/>
          <w:bCs/>
          <w:color w:val="C00000"/>
        </w:rPr>
        <w:t>期货与股票如何联动？</w:t>
      </w:r>
    </w:p>
    <w:p>
      <w:pPr>
        <w:rPr>
          <w:rFonts w:hint="eastAsia"/>
          <w:b/>
          <w:bCs/>
          <w:color w:val="C00000"/>
        </w:rPr>
      </w:pPr>
    </w:p>
    <w:p>
      <w:pPr>
        <w:rPr>
          <w:rFonts w:hint="eastAsia"/>
          <w:b/>
          <w:bCs/>
          <w:color w:val="C00000"/>
          <w:lang w:eastAsia="zh-CN"/>
        </w:rPr>
      </w:pPr>
      <w:r>
        <w:rPr>
          <w:rFonts w:hint="eastAsia"/>
          <w:b/>
          <w:bCs/>
          <w:color w:val="C00000"/>
          <w:lang w:eastAsia="zh-CN"/>
        </w:rPr>
        <w:t>首先来看一下最近达摩给大家分享的股期联动经典操作：</w:t>
      </w:r>
    </w:p>
    <w:p>
      <w:pPr>
        <w:rPr>
          <w:rFonts w:hint="eastAsia"/>
          <w:b/>
          <w:bCs/>
          <w:color w:val="C00000"/>
          <w:lang w:eastAsia="zh-CN"/>
        </w:rPr>
      </w:pPr>
    </w:p>
    <w:p>
      <w:pPr>
        <w:rPr>
          <w:rFonts w:hint="eastAsia"/>
          <w:b/>
          <w:bCs/>
          <w:color w:val="C00000"/>
          <w:lang w:val="en-US" w:eastAsia="zh-CN"/>
        </w:rPr>
      </w:pPr>
    </w:p>
    <w:p>
      <w:pPr>
        <w:rPr>
          <w:rFonts w:hint="eastAsia"/>
          <w:b/>
          <w:bCs/>
          <w:color w:val="C00000"/>
          <w:lang w:val="en-US" w:eastAsia="zh-CN"/>
        </w:rPr>
      </w:pPr>
    </w:p>
    <w:p>
      <w:pPr>
        <w:rPr>
          <w:rFonts w:hint="eastAsia"/>
          <w:b/>
          <w:bCs/>
          <w:color w:val="C00000"/>
          <w:lang w:val="en-US" w:eastAsia="zh-CN"/>
        </w:rPr>
      </w:pPr>
    </w:p>
    <w:p>
      <w:pPr>
        <w:rPr>
          <w:rFonts w:hint="eastAsia"/>
          <w:b/>
          <w:bCs/>
          <w:color w:val="C00000"/>
          <w:lang w:val="en-US" w:eastAsia="zh-CN"/>
        </w:rPr>
      </w:pPr>
    </w:p>
    <w:p>
      <w:pPr>
        <w:rPr>
          <w:rFonts w:hint="eastAsia"/>
          <w:b/>
          <w:bCs/>
          <w:color w:val="C00000"/>
          <w:lang w:val="en-US" w:eastAsia="zh-CN"/>
        </w:rPr>
      </w:pPr>
      <w:r>
        <w:rPr>
          <w:rFonts w:hint="eastAsia"/>
          <w:b/>
          <w:bCs/>
          <w:color w:val="C00000"/>
          <w:lang w:val="en-US" w:eastAsia="zh-CN"/>
        </w:rPr>
        <w:t>以下是白糖期货与中粮糖业走势对比情况</w:t>
      </w:r>
    </w:p>
    <w:p>
      <w:pPr>
        <w:rPr>
          <w:rFonts w:hint="default"/>
          <w:b/>
          <w:bCs/>
          <w:color w:val="C00000"/>
          <w:lang w:val="en-US" w:eastAsia="zh-CN"/>
        </w:rPr>
      </w:pPr>
    </w:p>
    <w:p>
      <w:pPr>
        <w:rPr>
          <w:rFonts w:hint="default"/>
          <w:b/>
          <w:bCs/>
          <w:color w:val="C00000"/>
          <w:lang w:val="en-US" w:eastAsia="zh-CN"/>
        </w:rPr>
      </w:pPr>
    </w:p>
    <w:p>
      <w:pPr>
        <w:rPr>
          <w:rFonts w:hint="default"/>
          <w:b/>
          <w:bCs/>
          <w:color w:val="C00000"/>
          <w:lang w:val="en-US" w:eastAsia="zh-CN"/>
        </w:rPr>
      </w:pPr>
    </w:p>
    <w:p>
      <w:pPr>
        <w:rPr>
          <w:rFonts w:hint="default"/>
          <w:b/>
          <w:bCs/>
          <w:color w:val="C00000"/>
          <w:lang w:val="en-US" w:eastAsia="zh-CN"/>
        </w:rPr>
      </w:pPr>
    </w:p>
    <w:p>
      <w:pPr>
        <w:rPr>
          <w:rFonts w:hint="default"/>
          <w:b/>
          <w:bCs/>
          <w:color w:val="C00000"/>
          <w:lang w:val="en-US" w:eastAsia="zh-CN"/>
        </w:rPr>
      </w:pPr>
    </w:p>
    <w:p>
      <w:pPr>
        <w:rPr>
          <w:rFonts w:hint="default"/>
          <w:b/>
          <w:bCs/>
          <w:color w:val="C00000"/>
          <w:lang w:val="en-US" w:eastAsia="zh-CN"/>
        </w:rPr>
      </w:pPr>
    </w:p>
    <w:p>
      <w:pPr>
        <w:rPr>
          <w:rFonts w:hint="default"/>
          <w:b/>
          <w:bCs/>
          <w:color w:val="C00000"/>
          <w:lang w:val="en-US" w:eastAsia="zh-CN"/>
        </w:rPr>
      </w:pPr>
    </w:p>
    <w:p>
      <w:r>
        <w:drawing>
          <wp:inline distT="0" distB="0" distL="114300" distR="114300">
            <wp:extent cx="5273675" cy="2712720"/>
            <wp:effectExtent l="0" t="0" r="3175" b="1143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4"/>
                    <a:stretch>
                      <a:fillRect/>
                    </a:stretch>
                  </pic:blipFill>
                  <pic:spPr>
                    <a:xfrm>
                      <a:off x="0" y="0"/>
                      <a:ext cx="5273675" cy="2712720"/>
                    </a:xfrm>
                    <a:prstGeom prst="rect">
                      <a:avLst/>
                    </a:prstGeom>
                    <a:noFill/>
                    <a:ln>
                      <a:noFill/>
                    </a:ln>
                  </pic:spPr>
                </pic:pic>
              </a:graphicData>
            </a:graphic>
          </wp:inline>
        </w:drawing>
      </w:r>
    </w:p>
    <w:p/>
    <w:p>
      <w:pPr>
        <w:rPr>
          <w:rFonts w:hint="eastAsia"/>
          <w:lang w:eastAsia="zh-CN"/>
        </w:rPr>
      </w:pPr>
      <w:r>
        <w:drawing>
          <wp:inline distT="0" distB="0" distL="114300" distR="114300">
            <wp:extent cx="5269230" cy="2465705"/>
            <wp:effectExtent l="0" t="0" r="7620" b="1079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5"/>
                    <a:stretch>
                      <a:fillRect/>
                    </a:stretch>
                  </pic:blipFill>
                  <pic:spPr>
                    <a:xfrm>
                      <a:off x="0" y="0"/>
                      <a:ext cx="5269230" cy="2465705"/>
                    </a:xfrm>
                    <a:prstGeom prst="rect">
                      <a:avLst/>
                    </a:prstGeom>
                    <a:noFill/>
                    <a:ln>
                      <a:noFill/>
                    </a:ln>
                  </pic:spPr>
                </pic:pic>
              </a:graphicData>
            </a:graphic>
          </wp:inline>
        </w:drawing>
      </w:r>
    </w:p>
    <w:p>
      <w:pPr>
        <w:rPr>
          <w:rFonts w:hint="eastAsia"/>
          <w:b/>
          <w:bCs/>
          <w:color w:val="C00000"/>
        </w:rPr>
      </w:pPr>
    </w:p>
    <w:p>
      <w:pPr>
        <w:rPr>
          <w:rFonts w:hint="eastAsia"/>
          <w:b/>
          <w:bCs/>
          <w:color w:val="C00000"/>
          <w:lang w:val="en-US" w:eastAsia="zh-CN"/>
        </w:rPr>
      </w:pPr>
      <w:r>
        <w:rPr>
          <w:rFonts w:hint="eastAsia"/>
          <w:b/>
          <w:bCs/>
          <w:color w:val="C00000"/>
          <w:lang w:eastAsia="zh-CN"/>
        </w:rPr>
        <w:t>从二者走势对比来看，年初，随着白糖期货止跌反弹，白糖价格走出一波不错的上涨行情，随后中粮糖业逐步跟涨启动（在启动之前，主力还借机一波无量杀跌洗盘），同步在白糖价格</w:t>
      </w:r>
      <w:r>
        <w:rPr>
          <w:rFonts w:hint="eastAsia"/>
          <w:b/>
          <w:bCs/>
          <w:color w:val="C00000"/>
          <w:lang w:val="en-US" w:eastAsia="zh-CN"/>
        </w:rPr>
        <w:t>4月15日“见顶”之后上涨至本轮行情高点11.98！随后白糖回落，中粮下跌，7月初白糖再次连阳上攻，中粮随即小阳震荡上行，7月5日白糖冲击涨停板，中粮紧跟步伐冲击涨停板！</w:t>
      </w:r>
    </w:p>
    <w:p>
      <w:pPr>
        <w:rPr>
          <w:rFonts w:hint="default" w:eastAsiaTheme="minorEastAsia"/>
          <w:b/>
          <w:bCs/>
          <w:color w:val="C00000"/>
          <w:lang w:val="en-US" w:eastAsia="zh-CN"/>
        </w:rPr>
      </w:pPr>
      <w:r>
        <w:rPr>
          <w:rFonts w:hint="eastAsia"/>
          <w:b/>
          <w:bCs/>
          <w:color w:val="C00000"/>
          <w:lang w:val="en-US" w:eastAsia="zh-CN"/>
        </w:rPr>
        <w:t>通过二者走势对比分析，股期联动效应完美的一致！盯紧白糖走势，把握中粮糖业，赚钱只是顺带的事情！</w:t>
      </w:r>
    </w:p>
    <w:p>
      <w:pPr>
        <w:rPr>
          <w:rFonts w:hint="eastAsia"/>
          <w:b/>
          <w:bCs/>
          <w:color w:val="C00000"/>
        </w:rPr>
      </w:pPr>
    </w:p>
    <w:p>
      <w:pPr>
        <w:rPr>
          <w:rFonts w:hint="eastAsia" w:eastAsiaTheme="minorEastAsia"/>
          <w:b/>
          <w:bCs/>
          <w:color w:val="C00000"/>
          <w:lang w:eastAsia="zh-CN"/>
        </w:rPr>
      </w:pPr>
      <w:r>
        <w:rPr>
          <w:rFonts w:hint="eastAsia"/>
          <w:b/>
          <w:bCs/>
          <w:color w:val="C00000"/>
          <w:lang w:eastAsia="zh-CN"/>
        </w:rPr>
        <w:t>除白糖之外，苹果期货的联动效应也是非常的好！</w:t>
      </w:r>
    </w:p>
    <w:p>
      <w:pPr>
        <w:rPr>
          <w:rFonts w:hint="eastAsia"/>
          <w:b/>
          <w:bCs/>
          <w:color w:val="C00000"/>
        </w:rPr>
      </w:pPr>
    </w:p>
    <w:p>
      <w:pPr>
        <w:rPr>
          <w:rFonts w:hint="eastAsia"/>
          <w:b/>
          <w:bCs/>
          <w:color w:val="C00000"/>
        </w:rPr>
      </w:pPr>
    </w:p>
    <w:p>
      <w:pPr>
        <w:rPr>
          <w:rFonts w:hint="eastAsia"/>
          <w:b/>
          <w:bCs/>
          <w:color w:val="C00000"/>
        </w:rPr>
      </w:pPr>
    </w:p>
    <w:p>
      <w:pPr>
        <w:rPr>
          <w:rFonts w:hint="eastAsia"/>
          <w:b/>
          <w:bCs/>
          <w:color w:val="C00000"/>
        </w:rPr>
      </w:pPr>
    </w:p>
    <w:p>
      <w:pPr>
        <w:rPr>
          <w:rFonts w:hint="eastAsia"/>
          <w:b/>
          <w:bCs/>
          <w:color w:val="C00000"/>
        </w:rPr>
      </w:pPr>
    </w:p>
    <w:p>
      <w:pPr>
        <w:rPr>
          <w:rFonts w:hint="eastAsia"/>
          <w:b/>
          <w:bCs/>
          <w:color w:val="C00000"/>
        </w:rPr>
      </w:pPr>
    </w:p>
    <w:p>
      <w:pPr>
        <w:rPr>
          <w:b/>
          <w:bCs/>
          <w:color w:val="C00000"/>
        </w:rPr>
      </w:pPr>
      <w:r>
        <w:rPr>
          <w:rFonts w:hint="eastAsia"/>
          <w:b/>
          <w:bCs/>
          <w:color w:val="C00000"/>
        </w:rPr>
        <w:t>以下是</w:t>
      </w:r>
      <w:r>
        <w:rPr>
          <w:rFonts w:hint="eastAsia"/>
          <w:b/>
          <w:bCs/>
          <w:color w:val="C00000"/>
          <w:lang w:eastAsia="zh-CN"/>
        </w:rPr>
        <w:t>苹果期货上市</w:t>
      </w:r>
      <w:r>
        <w:rPr>
          <w:rFonts w:hint="eastAsia"/>
          <w:b/>
          <w:bCs/>
          <w:color w:val="C00000"/>
        </w:rPr>
        <w:t>以来，</w:t>
      </w:r>
      <w:r>
        <w:rPr>
          <w:rFonts w:hint="eastAsia"/>
          <w:b/>
          <w:bCs/>
          <w:color w:val="C00000"/>
          <w:lang w:eastAsia="zh-CN"/>
        </w:rPr>
        <w:t>其价格走势与宏辉果蔬</w:t>
      </w:r>
      <w:r>
        <w:rPr>
          <w:rFonts w:hint="eastAsia"/>
          <w:b/>
          <w:bCs/>
          <w:color w:val="C00000"/>
        </w:rPr>
        <w:t>的走势对比</w:t>
      </w:r>
      <w:r>
        <w:rPr>
          <w:rFonts w:hint="eastAsia"/>
          <w:b/>
          <w:bCs/>
          <w:color w:val="C00000"/>
          <w:lang w:eastAsia="zh-CN"/>
        </w:rPr>
        <w:t>情况</w:t>
      </w:r>
      <w:r>
        <w:rPr>
          <w:rFonts w:hint="eastAsia"/>
          <w:b/>
          <w:bCs/>
          <w:color w:val="C00000"/>
        </w:rPr>
        <w:t>！</w:t>
      </w:r>
    </w:p>
    <w:p>
      <w:pPr>
        <w:rPr>
          <w:rFonts w:hint="eastAsia"/>
          <w:b/>
          <w:bCs/>
          <w:color w:val="C00000"/>
        </w:rPr>
      </w:pPr>
    </w:p>
    <w:p>
      <w:pPr>
        <w:rPr>
          <w:rFonts w:hint="eastAsia"/>
          <w:b/>
          <w:bCs/>
          <w:color w:val="C00000"/>
        </w:rPr>
      </w:pPr>
    </w:p>
    <w:p>
      <w:pPr>
        <w:rPr>
          <w:rFonts w:hint="eastAsia"/>
          <w:b/>
          <w:bCs/>
          <w:color w:val="C00000"/>
        </w:rPr>
      </w:pPr>
    </w:p>
    <w:p>
      <w:pPr>
        <w:rPr>
          <w:rFonts w:hint="eastAsia"/>
          <w:b/>
          <w:bCs/>
          <w:color w:val="C00000"/>
        </w:rPr>
      </w:pPr>
    </w:p>
    <w:p>
      <w:r>
        <w:drawing>
          <wp:inline distT="0" distB="0" distL="114300" distR="114300">
            <wp:extent cx="5274310" cy="2354580"/>
            <wp:effectExtent l="0" t="0" r="2540" b="762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5274310" cy="2354580"/>
                    </a:xfrm>
                    <a:prstGeom prst="rect">
                      <a:avLst/>
                    </a:prstGeom>
                    <a:noFill/>
                    <a:ln>
                      <a:noFill/>
                    </a:ln>
                  </pic:spPr>
                </pic:pic>
              </a:graphicData>
            </a:graphic>
          </wp:inline>
        </w:drawing>
      </w:r>
    </w:p>
    <w:p>
      <w:pPr>
        <w:rPr>
          <w:rFonts w:hint="eastAsia"/>
        </w:rPr>
      </w:pPr>
    </w:p>
    <w:p>
      <w:r>
        <w:drawing>
          <wp:inline distT="0" distB="0" distL="114300" distR="114300">
            <wp:extent cx="5264785" cy="1965325"/>
            <wp:effectExtent l="0" t="0" r="12065" b="158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64785" cy="1965325"/>
                    </a:xfrm>
                    <a:prstGeom prst="rect">
                      <a:avLst/>
                    </a:prstGeom>
                    <a:noFill/>
                    <a:ln>
                      <a:noFill/>
                    </a:ln>
                  </pic:spPr>
                </pic:pic>
              </a:graphicData>
            </a:graphic>
          </wp:inline>
        </w:drawing>
      </w:r>
    </w:p>
    <w:p/>
    <w:p>
      <w:pPr>
        <w:rPr>
          <w:rFonts w:hint="eastAsia"/>
          <w:lang w:val="en-US" w:eastAsia="zh-CN"/>
        </w:rPr>
      </w:pPr>
      <w:r>
        <w:rPr>
          <w:rFonts w:hint="eastAsia"/>
          <w:lang w:eastAsia="zh-CN"/>
        </w:rPr>
        <w:t>从二者的走势对比来看，苹果期货在上市后不久，于</w:t>
      </w:r>
      <w:r>
        <w:rPr>
          <w:rFonts w:hint="eastAsia"/>
          <w:lang w:val="en-US" w:eastAsia="zh-CN"/>
        </w:rPr>
        <w:t>18年2月23日触底反弹，</w:t>
      </w:r>
      <w:r>
        <w:rPr>
          <w:rFonts w:hint="eastAsia"/>
          <w:lang w:eastAsia="zh-CN"/>
        </w:rPr>
        <w:t>走出了一波超级大牛市行情，</w:t>
      </w:r>
      <w:r>
        <w:rPr>
          <w:rFonts w:hint="eastAsia"/>
          <w:lang w:val="en-US" w:eastAsia="zh-CN"/>
        </w:rPr>
        <w:t>随后宏辉果蔬受苹果持续大涨的刺激，股价于18年3月20日爆发，同样走出一波牛市行情；今年4月15日，苹果再度开启小单边牛市行情，若不是总理关注高价水果问题，本轮涨幅还有空间！宏辉果蔬则是再度上演跟涨好戏，股价于4月30日开启大涨模式！</w:t>
      </w:r>
    </w:p>
    <w:p>
      <w:pPr>
        <w:rPr>
          <w:rFonts w:hint="eastAsia"/>
          <w:lang w:val="en-US" w:eastAsia="zh-CN"/>
        </w:rPr>
      </w:pPr>
      <w:r>
        <w:rPr>
          <w:rFonts w:hint="eastAsia"/>
          <w:lang w:val="en-US" w:eastAsia="zh-CN"/>
        </w:rPr>
        <w:t>通过对比分析，不难发现，一旦苹果期货大涨，宏辉果蔬立马跟涨！而且是期货先涨，股票后动。投资者有充分的时间把握股价上涨的机会！</w:t>
      </w:r>
    </w:p>
    <w:p>
      <w:pPr>
        <w:rPr>
          <w:rFonts w:hint="eastAsia"/>
          <w:lang w:val="en-US" w:eastAsia="zh-CN"/>
        </w:rPr>
      </w:pPr>
    </w:p>
    <w:p>
      <w:pPr>
        <w:rPr>
          <w:rFonts w:hint="default"/>
          <w:lang w:val="en-US" w:eastAsia="zh-CN"/>
        </w:rPr>
      </w:pPr>
      <w:r>
        <w:rPr>
          <w:rFonts w:hint="eastAsia"/>
          <w:b/>
          <w:bCs/>
          <w:color w:val="C00000"/>
          <w:lang w:eastAsia="zh-CN"/>
        </w:rPr>
        <w:t>除了白糖、苹果等股期联动之外，在过往的历史中，</w:t>
      </w:r>
      <w:r>
        <w:rPr>
          <w:rFonts w:hint="eastAsia"/>
          <w:b/>
          <w:bCs/>
          <w:color w:val="C00000"/>
          <w:lang w:val="en-US" w:eastAsia="zh-CN"/>
        </w:rPr>
        <w:t>其他品种的</w:t>
      </w:r>
      <w:bookmarkStart w:id="0" w:name="_GoBack"/>
      <w:bookmarkEnd w:id="0"/>
      <w:r>
        <w:rPr>
          <w:rFonts w:hint="eastAsia"/>
          <w:b/>
          <w:bCs/>
          <w:color w:val="C00000"/>
          <w:lang w:eastAsia="zh-CN"/>
        </w:rPr>
        <w:t>股期联动的表现也是非常的靓丽！让我们继续来看几个经典股期联动！</w:t>
      </w:r>
    </w:p>
    <w:p>
      <w:pPr>
        <w:rPr>
          <w:b/>
          <w:bCs/>
          <w:color w:val="C00000"/>
        </w:rPr>
      </w:pPr>
    </w:p>
    <w:p>
      <w:pPr>
        <w:rPr>
          <w:b/>
          <w:bCs/>
          <w:color w:val="C00000"/>
        </w:rPr>
      </w:pPr>
      <w:r>
        <w:rPr>
          <w:rFonts w:hint="eastAsia"/>
          <w:b/>
          <w:bCs/>
          <w:color w:val="C00000"/>
        </w:rPr>
        <w:t>以下是2016年6月份以来，期货焦炭与股票山西焦化的走势对比！</w:t>
      </w:r>
      <w:r>
        <w:drawing>
          <wp:inline distT="0" distB="0" distL="0" distR="0">
            <wp:extent cx="6314440" cy="2847975"/>
            <wp:effectExtent l="0" t="0" r="10160" b="9525"/>
            <wp:docPr id="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6311412" cy="2846604"/>
                    </a:xfrm>
                    <a:prstGeom prst="rect">
                      <a:avLst/>
                    </a:prstGeom>
                    <a:noFill/>
                    <a:ln w="9525">
                      <a:noFill/>
                      <a:miter lim="800000"/>
                      <a:headEnd/>
                      <a:tailEnd/>
                    </a:ln>
                  </pic:spPr>
                </pic:pic>
              </a:graphicData>
            </a:graphic>
          </wp:inline>
        </w:drawing>
      </w:r>
    </w:p>
    <w:p>
      <w:pPr>
        <w:rPr>
          <w:b/>
          <w:bCs/>
          <w:color w:val="C00000"/>
        </w:rPr>
      </w:pPr>
    </w:p>
    <w:p>
      <w:pPr>
        <w:rPr>
          <w:b/>
          <w:bCs/>
          <w:color w:val="C00000"/>
        </w:rPr>
      </w:pPr>
      <w:r>
        <w:rPr>
          <w:rFonts w:hint="eastAsia"/>
          <w:b/>
          <w:bCs/>
          <w:color w:val="C00000"/>
        </w:rPr>
        <w:drawing>
          <wp:inline distT="0" distB="0" distL="0" distR="0">
            <wp:extent cx="5274310" cy="4153535"/>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a:srcRect/>
                    <a:stretch>
                      <a:fillRect/>
                    </a:stretch>
                  </pic:blipFill>
                  <pic:spPr>
                    <a:xfrm>
                      <a:off x="0" y="0"/>
                      <a:ext cx="5274310" cy="4153861"/>
                    </a:xfrm>
                    <a:prstGeom prst="rect">
                      <a:avLst/>
                    </a:prstGeom>
                    <a:noFill/>
                    <a:ln w="9525">
                      <a:noFill/>
                      <a:miter lim="800000"/>
                      <a:headEnd/>
                      <a:tailEnd/>
                    </a:ln>
                  </pic:spPr>
                </pic:pic>
              </a:graphicData>
            </a:graphic>
          </wp:inline>
        </w:drawing>
      </w:r>
    </w:p>
    <w:p>
      <w:pPr>
        <w:rPr>
          <w:b/>
          <w:bCs/>
          <w:color w:val="C00000"/>
        </w:rPr>
      </w:pPr>
    </w:p>
    <w:p>
      <w:pPr>
        <w:rPr>
          <w:b/>
          <w:bCs/>
          <w:color w:val="C00000"/>
        </w:rPr>
      </w:pPr>
    </w:p>
    <w:p>
      <w:pPr>
        <w:rPr>
          <w:b/>
          <w:bCs/>
          <w:color w:val="C00000"/>
        </w:rPr>
      </w:pPr>
    </w:p>
    <w:p>
      <w:pPr>
        <w:rPr>
          <w:rFonts w:ascii="Arial" w:hAnsi="Arial" w:cs="Arial"/>
          <w:color w:val="333333"/>
        </w:rPr>
      </w:pPr>
      <w:r>
        <w:rPr>
          <w:rFonts w:ascii="Arial" w:hAnsi="Arial" w:cs="Arial"/>
          <w:color w:val="333333"/>
        </w:rPr>
        <w:t>从图中能够看出，在A范围内，期货与关联个股的走势同步上涨，展现出强烈的</w:t>
      </w:r>
      <w:r>
        <w:rPr>
          <w:rFonts w:hint="eastAsia" w:ascii="Arial" w:hAnsi="Arial" w:cs="Arial"/>
          <w:color w:val="333333"/>
        </w:rPr>
        <w:t>联动</w:t>
      </w:r>
      <w:r>
        <w:rPr>
          <w:rFonts w:ascii="Arial" w:hAnsi="Arial" w:cs="Arial"/>
          <w:color w:val="333333"/>
        </w:rPr>
        <w:t>性，性质为正相关。 同样，在B范围内，期货与关联个股的走势</w:t>
      </w:r>
      <w:r>
        <w:rPr>
          <w:rFonts w:hint="eastAsia" w:ascii="Arial" w:hAnsi="Arial" w:cs="Arial"/>
          <w:color w:val="333333"/>
        </w:rPr>
        <w:t>同步下跌，</w:t>
      </w:r>
      <w:r>
        <w:rPr>
          <w:rFonts w:ascii="Arial" w:hAnsi="Arial" w:cs="Arial"/>
          <w:color w:val="333333"/>
        </w:rPr>
        <w:t>也展现出强烈的</w:t>
      </w:r>
      <w:r>
        <w:rPr>
          <w:rFonts w:hint="eastAsia" w:ascii="Arial" w:hAnsi="Arial" w:cs="Arial"/>
          <w:color w:val="333333"/>
        </w:rPr>
        <w:t>联动性，性质为</w:t>
      </w:r>
      <w:r>
        <w:rPr>
          <w:rFonts w:ascii="Arial" w:hAnsi="Arial" w:cs="Arial"/>
          <w:color w:val="333333"/>
        </w:rPr>
        <w:t>正相关。</w:t>
      </w:r>
    </w:p>
    <w:p>
      <w:pPr>
        <w:rPr>
          <w:rFonts w:hint="eastAsia" w:ascii="Arial" w:hAnsi="Arial" w:cs="Arial"/>
          <w:color w:val="333333"/>
        </w:rPr>
      </w:pPr>
      <w:r>
        <w:rPr>
          <w:rFonts w:hint="eastAsia" w:ascii="Arial" w:hAnsi="Arial" w:cs="Arial"/>
          <w:color w:val="333333"/>
        </w:rPr>
        <w:t>那么在实战操作过程中，根据焦炭的价格走势，则可以精准捕捉与之对应的山西焦化的买卖点位！</w:t>
      </w:r>
    </w:p>
    <w:p>
      <w:pPr>
        <w:rPr>
          <w:rFonts w:hint="eastAsia" w:ascii="Arial" w:hAnsi="Arial" w:cs="Arial"/>
          <w:color w:val="333333"/>
        </w:rPr>
      </w:pPr>
    </w:p>
    <w:p>
      <w:pPr>
        <w:rPr>
          <w:rFonts w:hint="eastAsia" w:ascii="Arial" w:hAnsi="Arial" w:cs="Arial"/>
          <w:color w:val="333333"/>
        </w:rPr>
      </w:pPr>
    </w:p>
    <w:p>
      <w:pPr>
        <w:rPr>
          <w:rFonts w:hint="eastAsia"/>
          <w:b/>
          <w:bCs/>
          <w:color w:val="7030A0"/>
          <w:sz w:val="24"/>
          <w:szCs w:val="24"/>
        </w:rPr>
      </w:pPr>
      <w:r>
        <w:rPr>
          <w:rFonts w:hint="eastAsia"/>
          <w:b/>
          <w:bCs/>
          <w:color w:val="7030A0"/>
          <w:sz w:val="24"/>
          <w:szCs w:val="24"/>
        </w:rPr>
        <w:t>案例：2017年6月初-8月初，螺纹钢的疯狂</w:t>
      </w:r>
    </w:p>
    <w:p>
      <w:pPr>
        <w:rPr>
          <w:rFonts w:hint="eastAsia" w:ascii="Arial" w:hAnsi="Arial" w:cs="Arial"/>
          <w:color w:val="333333"/>
        </w:rPr>
      </w:pPr>
    </w:p>
    <w:p>
      <w:pPr>
        <w:rPr>
          <w:rFonts w:hint="eastAsia" w:ascii="Arial" w:hAnsi="Arial" w:cs="Arial"/>
          <w:color w:val="333333"/>
        </w:rPr>
      </w:pPr>
    </w:p>
    <w:p>
      <w:pPr>
        <w:rPr>
          <w:rFonts w:hint="eastAsia"/>
          <w:b/>
          <w:color w:val="7030A0"/>
          <w:sz w:val="30"/>
          <w:szCs w:val="30"/>
        </w:rPr>
      </w:pPr>
      <w:r>
        <w:rPr>
          <w:rFonts w:hint="eastAsia"/>
          <w:b/>
          <w:color w:val="7030A0"/>
          <w:sz w:val="30"/>
          <w:szCs w:val="30"/>
        </w:rPr>
        <w:drawing>
          <wp:inline distT="0" distB="0" distL="0" distR="0">
            <wp:extent cx="6038850" cy="296608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038850" cy="2966351"/>
                    </a:xfrm>
                    <a:prstGeom prst="rect">
                      <a:avLst/>
                    </a:prstGeom>
                  </pic:spPr>
                </pic:pic>
              </a:graphicData>
            </a:graphic>
          </wp:inline>
        </w:drawing>
      </w:r>
    </w:p>
    <w:p>
      <w:pPr>
        <w:rPr>
          <w:rFonts w:hint="eastAsia"/>
          <w:b/>
          <w:color w:val="7030A0"/>
          <w:sz w:val="30"/>
          <w:szCs w:val="30"/>
        </w:rPr>
      </w:pPr>
    </w:p>
    <w:p>
      <w:pPr>
        <w:rPr>
          <w:rFonts w:hint="eastAsia" w:eastAsiaTheme="minorEastAsia"/>
          <w:b/>
          <w:color w:val="7030A0"/>
          <w:sz w:val="30"/>
          <w:szCs w:val="30"/>
          <w:lang w:eastAsia="zh-CN"/>
        </w:rPr>
      </w:pPr>
      <w:r>
        <w:rPr>
          <w:rFonts w:hint="eastAsia"/>
          <w:b/>
          <w:color w:val="7030A0"/>
          <w:sz w:val="30"/>
          <w:szCs w:val="30"/>
          <w:lang w:eastAsia="zh-CN"/>
        </w:rPr>
        <w:t>在该阶段，基本上操作任何一只钢铁板块的个股都能大赚！</w:t>
      </w:r>
    </w:p>
    <w:p>
      <w:pPr>
        <w:rPr>
          <w:rFonts w:hint="eastAsia"/>
          <w:b/>
          <w:color w:val="7030A0"/>
          <w:sz w:val="30"/>
          <w:szCs w:val="30"/>
        </w:rPr>
      </w:pPr>
    </w:p>
    <w:p>
      <w:pPr>
        <w:rPr>
          <w:b/>
          <w:bCs/>
          <w:color w:val="C00000"/>
        </w:rPr>
      </w:pPr>
    </w:p>
    <w:p>
      <w:pPr>
        <w:rPr>
          <w:rFonts w:hint="eastAsia"/>
          <w:b/>
          <w:bCs/>
          <w:color w:val="C00000"/>
          <w:lang w:val="en-US" w:eastAsia="zh-CN"/>
        </w:rPr>
      </w:pPr>
    </w:p>
    <w:p>
      <w:pPr>
        <w:rPr>
          <w:rFonts w:hint="eastAsia"/>
          <w:b/>
          <w:bCs/>
          <w:color w:val="7030A0"/>
          <w:sz w:val="24"/>
          <w:szCs w:val="24"/>
          <w:lang w:eastAsia="zh-CN"/>
        </w:rPr>
      </w:pPr>
      <w:r>
        <w:rPr>
          <w:rFonts w:hint="eastAsia"/>
          <w:b/>
          <w:color w:val="7030A0"/>
          <w:sz w:val="24"/>
          <w:szCs w:val="24"/>
        </w:rPr>
        <w:t>案例：</w:t>
      </w:r>
      <w:r>
        <w:rPr>
          <w:rFonts w:hint="eastAsia"/>
          <w:b/>
          <w:bCs/>
          <w:color w:val="7030A0"/>
          <w:sz w:val="24"/>
          <w:szCs w:val="24"/>
        </w:rPr>
        <w:t>201</w:t>
      </w:r>
      <w:r>
        <w:rPr>
          <w:rFonts w:hint="eastAsia"/>
          <w:b/>
          <w:bCs/>
          <w:color w:val="7030A0"/>
          <w:sz w:val="24"/>
          <w:szCs w:val="24"/>
          <w:lang w:val="en-US" w:eastAsia="zh-CN"/>
        </w:rPr>
        <w:t>8</w:t>
      </w:r>
      <w:r>
        <w:rPr>
          <w:rFonts w:hint="eastAsia"/>
          <w:b/>
          <w:bCs/>
          <w:color w:val="7030A0"/>
          <w:sz w:val="24"/>
          <w:szCs w:val="24"/>
        </w:rPr>
        <w:t>年</w:t>
      </w:r>
      <w:r>
        <w:rPr>
          <w:rFonts w:hint="eastAsia"/>
          <w:b/>
          <w:bCs/>
          <w:color w:val="7030A0"/>
          <w:sz w:val="24"/>
          <w:szCs w:val="24"/>
          <w:lang w:val="en-US" w:eastAsia="zh-CN"/>
        </w:rPr>
        <w:t>8月初</w:t>
      </w:r>
      <w:r>
        <w:rPr>
          <w:rFonts w:hint="eastAsia"/>
          <w:b/>
          <w:bCs/>
          <w:color w:val="7030A0"/>
          <w:sz w:val="24"/>
          <w:szCs w:val="24"/>
        </w:rPr>
        <w:t>，</w:t>
      </w:r>
      <w:r>
        <w:rPr>
          <w:rFonts w:hint="eastAsia"/>
          <w:b/>
          <w:bCs/>
          <w:color w:val="7030A0"/>
          <w:sz w:val="24"/>
          <w:szCs w:val="24"/>
          <w:lang w:eastAsia="zh-CN"/>
        </w:rPr>
        <w:t>甲醇</w:t>
      </w:r>
      <w:r>
        <w:rPr>
          <w:rFonts w:hint="eastAsia"/>
          <w:b/>
          <w:bCs/>
          <w:color w:val="7030A0"/>
          <w:sz w:val="24"/>
          <w:szCs w:val="24"/>
        </w:rPr>
        <w:t xml:space="preserve">  VS  </w:t>
      </w:r>
      <w:r>
        <w:rPr>
          <w:rFonts w:hint="eastAsia"/>
          <w:b/>
          <w:bCs/>
          <w:color w:val="7030A0"/>
          <w:sz w:val="24"/>
          <w:szCs w:val="24"/>
          <w:lang w:eastAsia="zh-CN"/>
        </w:rPr>
        <w:t>金牛化工</w:t>
      </w:r>
    </w:p>
    <w:p>
      <w:pPr>
        <w:rPr>
          <w:rFonts w:hint="eastAsia"/>
          <w:b/>
          <w:bCs/>
          <w:color w:val="7030A0"/>
          <w:sz w:val="24"/>
          <w:szCs w:val="24"/>
          <w:lang w:eastAsia="zh-CN"/>
        </w:rPr>
      </w:pPr>
    </w:p>
    <w:p>
      <w:pPr>
        <w:rPr>
          <w:rFonts w:hint="eastAsia"/>
          <w:b/>
          <w:bCs/>
          <w:color w:val="7030A0"/>
          <w:sz w:val="24"/>
          <w:szCs w:val="24"/>
          <w:lang w:val="en-US" w:eastAsia="zh-CN"/>
        </w:rPr>
      </w:pPr>
      <w:r>
        <w:rPr>
          <w:rFonts w:hint="eastAsia"/>
          <w:b/>
          <w:bCs/>
          <w:color w:val="7030A0"/>
          <w:sz w:val="24"/>
          <w:szCs w:val="24"/>
          <w:lang w:val="en-US" w:eastAsia="zh-CN"/>
        </w:rPr>
        <w:drawing>
          <wp:inline distT="0" distB="0" distL="114300" distR="114300">
            <wp:extent cx="6068060" cy="3169920"/>
            <wp:effectExtent l="0" t="0" r="8890" b="11430"/>
            <wp:docPr id="1" name="图片 1" descr="C:\Users\Administrator\Desktop\077.png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077.png077"/>
                    <pic:cNvPicPr>
                      <a:picLocks noChangeAspect="1"/>
                    </pic:cNvPicPr>
                  </pic:nvPicPr>
                  <pic:blipFill>
                    <a:blip r:embed="rId11"/>
                    <a:srcRect/>
                    <a:stretch>
                      <a:fillRect/>
                    </a:stretch>
                  </pic:blipFill>
                  <pic:spPr>
                    <a:xfrm>
                      <a:off x="0" y="0"/>
                      <a:ext cx="6068060" cy="3169920"/>
                    </a:xfrm>
                    <a:prstGeom prst="rect">
                      <a:avLst/>
                    </a:prstGeom>
                  </pic:spPr>
                </pic:pic>
              </a:graphicData>
            </a:graphic>
          </wp:inline>
        </w:drawing>
      </w:r>
    </w:p>
    <w:p>
      <w:pPr>
        <w:rPr>
          <w:rFonts w:hint="eastAsia"/>
          <w:b/>
          <w:bCs/>
          <w:color w:val="7030A0"/>
          <w:sz w:val="24"/>
          <w:szCs w:val="24"/>
          <w:lang w:val="en-US" w:eastAsia="zh-CN"/>
        </w:rPr>
      </w:pPr>
    </w:p>
    <w:p>
      <w:pPr>
        <w:rPr>
          <w:rFonts w:hint="eastAsia"/>
          <w:b/>
          <w:bCs/>
          <w:color w:val="7030A0"/>
          <w:sz w:val="24"/>
          <w:szCs w:val="24"/>
          <w:lang w:val="en-US" w:eastAsia="zh-CN"/>
        </w:rPr>
      </w:pPr>
      <w:r>
        <w:rPr>
          <w:rFonts w:hint="eastAsia"/>
          <w:b/>
          <w:bCs/>
          <w:color w:val="7030A0"/>
          <w:sz w:val="24"/>
          <w:szCs w:val="24"/>
          <w:lang w:val="en-US" w:eastAsia="zh-CN"/>
        </w:rPr>
        <w:t>金牛化工这一波就是典型的股期联动短线擒牛、抓起爆点的经典代表！</w:t>
      </w:r>
    </w:p>
    <w:p>
      <w:pPr>
        <w:rPr>
          <w:rFonts w:hint="eastAsia"/>
          <w:b w:val="0"/>
          <w:bCs w:val="0"/>
          <w:color w:val="000000" w:themeColor="text1"/>
          <w:lang w:val="en-US" w:eastAsia="zh-CN"/>
          <w14:textFill>
            <w14:solidFill>
              <w14:schemeClr w14:val="tx1"/>
            </w14:solidFill>
          </w14:textFill>
        </w:rPr>
      </w:pPr>
    </w:p>
    <w:p>
      <w:pPr>
        <w:rPr>
          <w:rFonts w:hint="eastAsia"/>
          <w:b w:val="0"/>
          <w:bCs w:val="0"/>
          <w:color w:val="000000" w:themeColor="text1"/>
          <w:lang w:val="en-US" w:eastAsia="zh-CN"/>
          <w14:textFill>
            <w14:solidFill>
              <w14:schemeClr w14:val="tx1"/>
            </w14:solidFill>
          </w14:textFill>
        </w:rPr>
      </w:pPr>
    </w:p>
    <w:p>
      <w:pPr>
        <w:rPr>
          <w:b/>
          <w:bCs/>
          <w:color w:val="C00000"/>
        </w:rPr>
      </w:pPr>
    </w:p>
    <w:p>
      <w:pPr>
        <w:rPr>
          <w:rFonts w:hint="eastAsia"/>
          <w:b/>
          <w:bCs/>
          <w:color w:val="C00000"/>
          <w:lang w:eastAsia="zh-CN"/>
        </w:rPr>
      </w:pPr>
      <w:r>
        <w:rPr>
          <w:rFonts w:hint="eastAsia"/>
          <w:b/>
          <w:bCs/>
          <w:color w:val="C00000"/>
        </w:rPr>
        <w:t>股期联动战法</w:t>
      </w:r>
      <w:r>
        <w:rPr>
          <w:rFonts w:hint="eastAsia"/>
          <w:b/>
          <w:bCs/>
          <w:color w:val="C00000"/>
          <w:lang w:eastAsia="zh-CN"/>
        </w:rPr>
        <w:t>实战应用</w:t>
      </w:r>
    </w:p>
    <w:p>
      <w:pPr>
        <w:rPr>
          <w:rFonts w:hint="eastAsia"/>
          <w:b/>
          <w:bCs/>
          <w:color w:val="C00000"/>
          <w:lang w:eastAsia="zh-CN"/>
        </w:rPr>
      </w:pPr>
    </w:p>
    <w:p>
      <w:pPr>
        <w:rPr>
          <w:rFonts w:hint="eastAsia"/>
          <w:bCs/>
          <w:lang w:eastAsia="zh-CN"/>
        </w:rPr>
      </w:pPr>
      <w:r>
        <w:rPr>
          <w:rFonts w:hint="eastAsia"/>
          <w:bCs/>
        </w:rPr>
        <w:t>首先，大家要明白，股期联动的核心是期货商品涨价带动企业利润上涨，进而带动企业股价上涨！但是，股价上涨与否又不完全由企业产品价格决定！牛市股价肯定上涨，无论产品价格上涨与否，熊市股价必然受到大环境影响而上涨较为艰难！所以，在判断股价上涨与否时还需考虑到股市大环境的影响！</w:t>
      </w:r>
      <w:r>
        <w:rPr>
          <w:rFonts w:hint="eastAsia"/>
          <w:bCs/>
          <w:lang w:eastAsia="zh-CN"/>
        </w:rPr>
        <w:t>（当然，也要注意极端走势下联动效果也会降低，不过价格涨上天或者跌到一文不值这种情况基本是不可能的，因为商品实物价格是具有真实价值的）</w:t>
      </w:r>
    </w:p>
    <w:p>
      <w:pPr>
        <w:rPr>
          <w:rFonts w:hint="eastAsia"/>
          <w:bCs/>
          <w:lang w:eastAsia="zh-CN"/>
        </w:rPr>
      </w:pPr>
    </w:p>
    <w:p>
      <w:pPr>
        <w:rPr>
          <w:bCs/>
        </w:rPr>
      </w:pPr>
      <w:r>
        <w:rPr>
          <w:rFonts w:hint="eastAsia"/>
          <w:bCs/>
        </w:rPr>
        <w:t>因此，在判断股价上涨下跌时，必须要关注大盘指数，实物价格指数（期货商品价格），以及标的股价格走势，所以股期联动看盘指标可以优化为三大指数</w:t>
      </w:r>
      <w:r>
        <w:rPr>
          <w:rFonts w:hint="eastAsia"/>
          <w:bCs/>
          <w:lang w:eastAsia="zh-CN"/>
        </w:rPr>
        <w:t>（加入自选即可）</w:t>
      </w:r>
      <w:r>
        <w:rPr>
          <w:rFonts w:hint="eastAsia"/>
          <w:bCs/>
        </w:rPr>
        <w:t>！</w:t>
      </w:r>
    </w:p>
    <w:p>
      <w:pPr>
        <w:rPr>
          <w:b/>
          <w:bCs/>
          <w:color w:val="C00000"/>
        </w:rPr>
      </w:pPr>
    </w:p>
    <w:p>
      <w:pPr>
        <w:rPr>
          <w:b/>
          <w:bCs/>
          <w:color w:val="0000FF"/>
        </w:rPr>
      </w:pPr>
      <w:r>
        <w:rPr>
          <w:rFonts w:hint="eastAsia"/>
          <w:b/>
          <w:bCs/>
          <w:color w:val="0000FF"/>
        </w:rPr>
        <w:t>三大指数（指标）：</w:t>
      </w:r>
    </w:p>
    <w:p>
      <w:pPr>
        <w:rPr>
          <w:b/>
          <w:bCs/>
          <w:color w:val="0000FF"/>
        </w:rPr>
      </w:pPr>
    </w:p>
    <w:p>
      <w:pPr>
        <w:numPr>
          <w:ilvl w:val="0"/>
          <w:numId w:val="1"/>
        </w:num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大盘指数</w:t>
      </w:r>
    </w:p>
    <w:p>
      <w:pPr>
        <w:numPr>
          <w:ilvl w:val="0"/>
          <w:numId w:val="1"/>
        </w:numPr>
        <w:rPr>
          <w:b/>
          <w:bCs/>
          <w:color w:val="000000" w:themeColor="text1"/>
          <w14:textFill>
            <w14:solidFill>
              <w14:schemeClr w14:val="tx1"/>
            </w14:solidFill>
          </w14:textFill>
        </w:rPr>
      </w:pPr>
      <w:r>
        <w:rPr>
          <w:rFonts w:hint="eastAsia"/>
          <w:b/>
          <w:bCs/>
          <w:color w:val="000000" w:themeColor="text1"/>
          <w:lang w:val="en-US" w:eastAsia="zh-CN"/>
          <w14:textFill>
            <w14:solidFill>
              <w14:schemeClr w14:val="tx1"/>
            </w14:solidFill>
          </w14:textFill>
        </w:rPr>
        <w:t>期货</w:t>
      </w:r>
      <w:r>
        <w:rPr>
          <w:rFonts w:hint="eastAsia"/>
          <w:b/>
          <w:bCs/>
          <w:color w:val="000000" w:themeColor="text1"/>
          <w14:textFill>
            <w14:solidFill>
              <w14:schemeClr w14:val="tx1"/>
            </w14:solidFill>
          </w14:textFill>
        </w:rPr>
        <w:t>价格指数</w:t>
      </w:r>
    </w:p>
    <w:p>
      <w:pPr>
        <w:numPr>
          <w:ilvl w:val="0"/>
          <w:numId w:val="1"/>
        </w:num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标的股走势</w:t>
      </w:r>
    </w:p>
    <w:p>
      <w:pPr>
        <w:rPr>
          <w:b/>
          <w:bCs/>
          <w:color w:val="C00000"/>
        </w:rPr>
      </w:pPr>
    </w:p>
    <w:p>
      <w:pPr>
        <w:rPr>
          <w:b/>
          <w:bCs/>
          <w:color w:val="C00000"/>
        </w:rPr>
      </w:pPr>
    </w:p>
    <w:p>
      <w:pPr>
        <w:rPr>
          <w:b/>
          <w:bCs/>
          <w:color w:val="C00000"/>
        </w:rPr>
      </w:pPr>
    </w:p>
    <w:p>
      <w:pPr>
        <w:ind w:firstLine="420"/>
        <w:rPr>
          <w:rFonts w:hint="eastAsia"/>
        </w:rPr>
      </w:pPr>
    </w:p>
    <w:p>
      <w:pPr>
        <w:rPr>
          <w:rFonts w:hint="eastAsia"/>
          <w:b/>
          <w:bCs/>
          <w:color w:val="C00000"/>
          <w:lang w:eastAsia="zh-CN"/>
        </w:rPr>
      </w:pPr>
    </w:p>
    <w:p>
      <w:pPr>
        <w:rPr>
          <w:bCs/>
          <w:color w:val="C0000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8AECE4"/>
    <w:multiLevelType w:val="singleLevel"/>
    <w:tmpl w:val="E28AECE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C67432"/>
    <w:rsid w:val="00041C4B"/>
    <w:rsid w:val="00334BA0"/>
    <w:rsid w:val="00420024"/>
    <w:rsid w:val="00582858"/>
    <w:rsid w:val="00623F63"/>
    <w:rsid w:val="0076372F"/>
    <w:rsid w:val="0094119C"/>
    <w:rsid w:val="00A4457E"/>
    <w:rsid w:val="00C07163"/>
    <w:rsid w:val="00E17F6D"/>
    <w:rsid w:val="057F1706"/>
    <w:rsid w:val="0F935D51"/>
    <w:rsid w:val="18C247C9"/>
    <w:rsid w:val="1FEF57A6"/>
    <w:rsid w:val="21F1493C"/>
    <w:rsid w:val="3875145B"/>
    <w:rsid w:val="41E12F4F"/>
    <w:rsid w:val="4CA920D2"/>
    <w:rsid w:val="4ECB2E7A"/>
    <w:rsid w:val="671167BF"/>
    <w:rsid w:val="675B7DDD"/>
    <w:rsid w:val="6D535020"/>
    <w:rsid w:val="6E04643B"/>
    <w:rsid w:val="6E703B1C"/>
    <w:rsid w:val="79C6743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qFormat/>
    <w:uiPriority w:val="0"/>
    <w:rPr>
      <w:sz w:val="18"/>
      <w:szCs w:val="18"/>
    </w:rPr>
  </w:style>
  <w:style w:type="paragraph" w:styleId="3">
    <w:name w:val="footer"/>
    <w:basedOn w:val="1"/>
    <w:link w:val="8"/>
    <w:qFormat/>
    <w:uiPriority w:val="0"/>
    <w:pPr>
      <w:tabs>
        <w:tab w:val="center" w:pos="4153"/>
        <w:tab w:val="right" w:pos="8306"/>
      </w:tabs>
      <w:snapToGrid w:val="0"/>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qFormat/>
    <w:uiPriority w:val="0"/>
    <w:rPr>
      <w:rFonts w:asciiTheme="minorHAnsi" w:hAnsiTheme="minorHAnsi" w:eastAsiaTheme="minorEastAsia" w:cstheme="minorBidi"/>
      <w:kern w:val="2"/>
      <w:sz w:val="18"/>
      <w:szCs w:val="18"/>
    </w:rPr>
  </w:style>
  <w:style w:type="character" w:customStyle="1" w:styleId="8">
    <w:name w:val="页脚 Char"/>
    <w:basedOn w:val="6"/>
    <w:link w:val="3"/>
    <w:qFormat/>
    <w:uiPriority w:val="0"/>
    <w:rPr>
      <w:rFonts w:asciiTheme="minorHAnsi" w:hAnsiTheme="minorHAnsi" w:eastAsiaTheme="minorEastAsia" w:cstheme="minorBidi"/>
      <w:kern w:val="2"/>
      <w:sz w:val="18"/>
      <w:szCs w:val="18"/>
    </w:rPr>
  </w:style>
  <w:style w:type="character" w:customStyle="1" w:styleId="9">
    <w:name w:val="批注框文本 Char"/>
    <w:basedOn w:val="6"/>
    <w:link w:val="2"/>
    <w:qFormat/>
    <w:uiPriority w:val="0"/>
    <w:rPr>
      <w:rFonts w:asciiTheme="minorHAnsi" w:hAnsiTheme="minorHAnsi" w:eastAsiaTheme="minorEastAsia" w:cstheme="minorBidi"/>
      <w:kern w:val="2"/>
      <w:sz w:val="18"/>
      <w:szCs w:val="18"/>
    </w:rPr>
  </w:style>
  <w:style w:type="paragraph" w:styleId="10">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Pages>4</Pages>
  <Words>265</Words>
  <Characters>1513</Characters>
  <Lines>12</Lines>
  <Paragraphs>3</Paragraphs>
  <TotalTime>179</TotalTime>
  <ScaleCrop>false</ScaleCrop>
  <LinksUpToDate>false</LinksUpToDate>
  <CharactersWithSpaces>1775</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2018-07-15T02:59:00Z</dcterms:created>
  <dc:creator>Administrator</dc:creator>
  <cp:lastModifiedBy>金鸿玉鑫</cp:lastModifiedBy>
  <dcterms:modified xsi:type="dcterms:W3CDTF">2020-03-03T14:20:11Z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y fmtid="{D5CDD505-2E9C-101B-9397-08002B2CF9AE}" pid="3" name="KSORubyTemplateID" linkTarget="0">
    <vt:lpwstr>6</vt:lpwstr>
  </property>
</Properties>
</file>