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1780" w14:textId="6F8C992A" w:rsidR="008E25C4" w:rsidRDefault="00FF6AA3" w:rsidP="00B53EF2">
      <w:pPr>
        <w:pStyle w:val="Pagedecouverture"/>
      </w:pPr>
      <w:r>
        <w:pict w14:anchorId="74EAAF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9FBBDF9-9E62-4835-B1CA-19C789B3FA03" style="width:455.25pt;height:582pt">
            <v:imagedata r:id="rId8" o:title=""/>
          </v:shape>
        </w:pict>
      </w:r>
    </w:p>
    <w:p w14:paraId="373AAB1A" w14:textId="036A38AD" w:rsidR="00230D7C" w:rsidRPr="00230D7C" w:rsidRDefault="00230D7C" w:rsidP="00230D7C">
      <w:pPr>
        <w:pStyle w:val="Pagedecouverture"/>
        <w:sectPr w:rsidR="00230D7C" w:rsidRPr="00230D7C" w:rsidSect="008346D7">
          <w:headerReference w:type="even" r:id="rId9"/>
          <w:headerReference w:type="default" r:id="rId10"/>
          <w:footerReference w:type="even" r:id="rId11"/>
          <w:footerReference w:type="default" r:id="rId12"/>
          <w:headerReference w:type="first" r:id="rId13"/>
          <w:footerReference w:type="first" r:id="rId14"/>
          <w:pgSz w:w="11907" w:h="16839"/>
          <w:pgMar w:top="1134" w:right="1417" w:bottom="1134" w:left="1417" w:header="709" w:footer="709" w:gutter="0"/>
          <w:pgNumType w:start="0"/>
          <w:cols w:space="720"/>
          <w:docGrid w:linePitch="360"/>
        </w:sectPr>
      </w:pPr>
    </w:p>
    <w:p w14:paraId="2D1E9BFB" w14:textId="395E3C1D" w:rsidR="00C518AF" w:rsidRPr="00922C91" w:rsidRDefault="00230D7C" w:rsidP="00230D7C">
      <w:pPr>
        <w:pStyle w:val="Typedudocument"/>
      </w:pPr>
      <w:r w:rsidRPr="00230D7C">
        <w:lastRenderedPageBreak/>
        <w:t>COMMISSION IMPLEMENTING REGULATION (EU) …/...</w:t>
      </w:r>
    </w:p>
    <w:p w14:paraId="0A52AFEC" w14:textId="452BC12C" w:rsidR="00C518AF" w:rsidRPr="00922C91" w:rsidRDefault="00230D7C" w:rsidP="00230D7C">
      <w:pPr>
        <w:pStyle w:val="Datedadoption"/>
      </w:pPr>
      <w:r w:rsidRPr="00230D7C">
        <w:t xml:space="preserve">of </w:t>
      </w:r>
      <w:r w:rsidRPr="00230D7C">
        <w:rPr>
          <w:rStyle w:val="Marker2"/>
        </w:rPr>
        <w:t>XXX</w:t>
      </w:r>
    </w:p>
    <w:p w14:paraId="2133AC01" w14:textId="3628309D" w:rsidR="00C518AF" w:rsidRPr="00B408C0" w:rsidRDefault="00230D7C" w:rsidP="00230D7C">
      <w:pPr>
        <w:pStyle w:val="Titreobjet"/>
      </w:pPr>
      <w:r w:rsidRPr="00230D7C">
        <w:t>amending Implementing Regulation (EU) 2022/1426 laying down rules for the application of Regulation (EU) 2019/2144 of the European Parliament and of the Council as regards uniform procedures and technical specifications for the type-approval of the automated driving system of fully automated vehicles</w:t>
      </w:r>
    </w:p>
    <w:p w14:paraId="565A6FD7" w14:textId="5C920AD7" w:rsidR="00C518AF" w:rsidRPr="00C518AF" w:rsidRDefault="00230D7C" w:rsidP="00230D7C">
      <w:pPr>
        <w:pStyle w:val="IntrtEEE"/>
      </w:pPr>
      <w:r w:rsidRPr="00230D7C">
        <w:t>(Text with EEA relevance)</w:t>
      </w:r>
    </w:p>
    <w:p w14:paraId="66815DE6" w14:textId="77777777" w:rsidR="00C41992" w:rsidRPr="00C41992" w:rsidRDefault="002D49DF" w:rsidP="00C41992">
      <w:pPr>
        <w:pStyle w:val="Institutionquiagit"/>
      </w:pPr>
      <w:r>
        <w:t>THE EUROPEAN COMMISSION,</w:t>
      </w:r>
    </w:p>
    <w:p w14:paraId="0BFC35BF" w14:textId="77777777" w:rsidR="002D49DF" w:rsidRDefault="002D49DF" w:rsidP="002D49DF">
      <w:r>
        <w:rPr>
          <w:color w:val="000000"/>
        </w:rPr>
        <w:t>Having regard to the Treaty on the Functioning of the European Union</w:t>
      </w:r>
      <w:r>
        <w:t>,</w:t>
      </w:r>
    </w:p>
    <w:p w14:paraId="65A69728" w14:textId="77777777" w:rsidR="002D49DF" w:rsidRPr="008473CC" w:rsidRDefault="002D49DF" w:rsidP="002D49DF">
      <w:r>
        <w:t>Having regard to Regulation (EU) 2019/2144 of the European Parliament and of the Council of 27 November 2019 on type-approval requirements for motor vehicles and their trailers, and</w:t>
      </w:r>
      <w:r w:rsidR="00D141C9">
        <w:t xml:space="preserve"> </w:t>
      </w:r>
      <w:r>
        <w:t>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347/2012, (EU) No 351/2012, (EU) No 1230/2012 and (EU) 2015/166</w:t>
      </w:r>
      <w:r>
        <w:rPr>
          <w:rStyle w:val="FootnoteReference"/>
        </w:rPr>
        <w:footnoteReference w:id="2"/>
      </w:r>
      <w:r>
        <w:t xml:space="preserve">, and in particular </w:t>
      </w:r>
      <w:r w:rsidRPr="008473CC">
        <w:t>Article 11 (2) thereof,</w:t>
      </w:r>
    </w:p>
    <w:p w14:paraId="4301D144" w14:textId="77777777" w:rsidR="002D49DF" w:rsidRPr="008473CC" w:rsidRDefault="002D49DF" w:rsidP="002D49DF">
      <w:r w:rsidRPr="008473CC">
        <w:t>Whereas:</w:t>
      </w:r>
    </w:p>
    <w:p w14:paraId="37C60195" w14:textId="77777777" w:rsidR="001B2462" w:rsidRPr="008473CC" w:rsidRDefault="001B2462" w:rsidP="00AF5277">
      <w:pPr>
        <w:pStyle w:val="Considrant"/>
        <w:numPr>
          <w:ilvl w:val="0"/>
          <w:numId w:val="1"/>
        </w:numPr>
      </w:pPr>
      <w:bookmarkStart w:id="0" w:name="_Hlk193864675"/>
      <w:r w:rsidRPr="008473CC">
        <w:t xml:space="preserve">The </w:t>
      </w:r>
      <w:r w:rsidR="002021EC" w:rsidRPr="008473CC">
        <w:t>Union</w:t>
      </w:r>
      <w:r w:rsidRPr="008473CC">
        <w:t xml:space="preserve"> type-approval legislation allows since 2022 the market introduction of driverless </w:t>
      </w:r>
      <w:r w:rsidR="00973D82" w:rsidRPr="008473CC">
        <w:t>vehicles for</w:t>
      </w:r>
      <w:r w:rsidRPr="008473CC">
        <w:t xml:space="preserve"> specific use cases, by means of a small series scheme, </w:t>
      </w:r>
      <w:bookmarkStart w:id="1" w:name="_Hlk193864568"/>
      <w:r w:rsidRPr="008473CC">
        <w:t xml:space="preserve">allowing exemptions from certain type-approval regulations for fully automated vehicles. </w:t>
      </w:r>
      <w:bookmarkEnd w:id="1"/>
      <w:r w:rsidRPr="008473CC">
        <w:t>The derogations under this small series scheme apply under the condition that the number of registrations of a vehicle type in the Union per year does not exceed 1500 registrations</w:t>
      </w:r>
      <w:r w:rsidR="00AF5277" w:rsidRPr="008473CC">
        <w:t xml:space="preserve">. </w:t>
      </w:r>
    </w:p>
    <w:p w14:paraId="42378FD7" w14:textId="65AD1E15" w:rsidR="00AF5277" w:rsidRPr="008473CC" w:rsidRDefault="001B2462" w:rsidP="00AF5277">
      <w:pPr>
        <w:pStyle w:val="Considrant"/>
        <w:numPr>
          <w:ilvl w:val="0"/>
          <w:numId w:val="1"/>
        </w:numPr>
      </w:pPr>
      <w:r w:rsidRPr="008473CC">
        <w:t>Substantial technological and regulatory developments have taken place since 2022 mak</w:t>
      </w:r>
      <w:r w:rsidR="00C303F3" w:rsidRPr="008473CC">
        <w:t>ing</w:t>
      </w:r>
      <w:r w:rsidRPr="008473CC">
        <w:t xml:space="preserve"> </w:t>
      </w:r>
      <w:r w:rsidR="00C303F3" w:rsidRPr="008473CC">
        <w:t xml:space="preserve">the large-scale deployment of fully automated vehicles possible. </w:t>
      </w:r>
      <w:r w:rsidR="004E5BF8" w:rsidRPr="008473CC">
        <w:t>Solutions for automated valet parking (AVP) large-scale production</w:t>
      </w:r>
      <w:r w:rsidR="00270BD3">
        <w:t xml:space="preserve"> and deployment</w:t>
      </w:r>
      <w:r w:rsidR="004E5BF8" w:rsidRPr="008473CC">
        <w:t xml:space="preserve"> are already available and the adoption of requirements for steering and braking of dual-mode vehicles in the UNECE, in particular UN Regulations No 79</w:t>
      </w:r>
      <w:r w:rsidR="004E5BF8" w:rsidRPr="00BC6E67">
        <w:rPr>
          <w:rStyle w:val="FootnoteReference"/>
        </w:rPr>
        <w:footnoteReference w:id="3"/>
      </w:r>
      <w:r w:rsidR="004E5BF8" w:rsidRPr="008473CC">
        <w:t xml:space="preserve"> and No 13/13-H</w:t>
      </w:r>
      <w:r w:rsidR="004E5BF8" w:rsidRPr="00BC6E67">
        <w:rPr>
          <w:rStyle w:val="FootnoteReference"/>
        </w:rPr>
        <w:footnoteReference w:id="4"/>
      </w:r>
      <w:r w:rsidR="004E5BF8" w:rsidRPr="008473CC">
        <w:t xml:space="preserve"> respectively, allows</w:t>
      </w:r>
      <w:r w:rsidR="00C0420F" w:rsidRPr="008473CC">
        <w:t xml:space="preserve"> for</w:t>
      </w:r>
      <w:r w:rsidR="004E5BF8" w:rsidRPr="008473CC">
        <w:t xml:space="preserve"> compliance of AVP systems with the EU whole vehicle type-approval framework. </w:t>
      </w:r>
      <w:r w:rsidR="00C303F3" w:rsidRPr="008473CC">
        <w:t xml:space="preserve">Therefore, </w:t>
      </w:r>
      <w:r w:rsidRPr="008473CC">
        <w:t xml:space="preserve">it </w:t>
      </w:r>
      <w:r w:rsidR="00C303F3" w:rsidRPr="008473CC">
        <w:t xml:space="preserve">has become </w:t>
      </w:r>
      <w:r w:rsidR="002021EC" w:rsidRPr="008473CC">
        <w:t xml:space="preserve">possible and </w:t>
      </w:r>
      <w:r w:rsidRPr="008473CC">
        <w:t xml:space="preserve">appropriate to lift the small series limitation starting with the (‘AVP’) use case. </w:t>
      </w:r>
    </w:p>
    <w:p w14:paraId="6895F55B" w14:textId="59FBFAB1" w:rsidR="0019042C" w:rsidRPr="008473CC" w:rsidRDefault="00F21969" w:rsidP="00A96EB4">
      <w:pPr>
        <w:pStyle w:val="Considrant"/>
        <w:numPr>
          <w:ilvl w:val="0"/>
          <w:numId w:val="1"/>
        </w:numPr>
      </w:pPr>
      <w:r>
        <w:lastRenderedPageBreak/>
        <w:t>However, b</w:t>
      </w:r>
      <w:r w:rsidR="001B2462" w:rsidRPr="008473CC">
        <w:t xml:space="preserve">efore allowing the whole-vehicle type-approval of vehicles equipped with AVP systems in unlimited numbers, </w:t>
      </w:r>
      <w:r w:rsidR="002021EC" w:rsidRPr="008473CC">
        <w:t>i</w:t>
      </w:r>
      <w:r w:rsidR="001B2462" w:rsidRPr="008473CC">
        <w:t>t is necessary to</w:t>
      </w:r>
      <w:r w:rsidR="002021EC" w:rsidRPr="008473CC">
        <w:t xml:space="preserve"> </w:t>
      </w:r>
      <w:r w:rsidR="00A74B4C" w:rsidRPr="008473CC">
        <w:t xml:space="preserve">lay down </w:t>
      </w:r>
      <w:r w:rsidR="001B2462" w:rsidRPr="008473CC">
        <w:t>additional technical requirements on the safety performance and the safety validation through selected scenarios, given the specificities of the AVP use case, i.e. operation in parking areas at very low speed</w:t>
      </w:r>
      <w:r w:rsidR="00F96BC8" w:rsidRPr="008473CC">
        <w:t>.</w:t>
      </w:r>
    </w:p>
    <w:bookmarkEnd w:id="0"/>
    <w:p w14:paraId="5BF2A47C" w14:textId="77777777" w:rsidR="001B2462" w:rsidRPr="008473CC" w:rsidRDefault="002021EC" w:rsidP="00A96EB4">
      <w:pPr>
        <w:pStyle w:val="Considrant"/>
        <w:numPr>
          <w:ilvl w:val="0"/>
          <w:numId w:val="1"/>
        </w:numPr>
      </w:pPr>
      <w:r w:rsidRPr="008473CC">
        <w:t>E</w:t>
      </w:r>
      <w:r w:rsidR="002A05C3" w:rsidRPr="008473CC">
        <w:t>xten</w:t>
      </w:r>
      <w:r w:rsidRPr="008473CC">
        <w:t>sion of</w:t>
      </w:r>
      <w:r w:rsidR="002A05C3" w:rsidRPr="008473CC">
        <w:t xml:space="preserve"> scope of the </w:t>
      </w:r>
      <w:r w:rsidRPr="008473CC">
        <w:t xml:space="preserve">existing Union legislation </w:t>
      </w:r>
      <w:r w:rsidR="002A05C3" w:rsidRPr="008473CC">
        <w:t>beyond dual mode vehicles and</w:t>
      </w:r>
      <w:r w:rsidRPr="008473CC">
        <w:t xml:space="preserve"> its</w:t>
      </w:r>
      <w:r w:rsidR="002A05C3" w:rsidRPr="008473CC">
        <w:t xml:space="preserve"> </w:t>
      </w:r>
      <w:r w:rsidR="001B2462" w:rsidRPr="008473CC">
        <w:t>align</w:t>
      </w:r>
      <w:r w:rsidRPr="008473CC">
        <w:t>ment</w:t>
      </w:r>
      <w:r w:rsidR="001B2462" w:rsidRPr="008473CC">
        <w:t xml:space="preserve"> with the </w:t>
      </w:r>
      <w:r w:rsidR="00D75C51" w:rsidRPr="008473CC">
        <w:t xml:space="preserve">evolving </w:t>
      </w:r>
      <w:r w:rsidR="001B2462" w:rsidRPr="008473CC">
        <w:t>United Nations Economic Commission for Europe (UNECE) framewor</w:t>
      </w:r>
      <w:r w:rsidRPr="008473CC">
        <w:t>k</w:t>
      </w:r>
      <w:r w:rsidR="00A74B4C" w:rsidRPr="008473CC">
        <w:t>, necessary</w:t>
      </w:r>
      <w:r w:rsidRPr="008473CC">
        <w:t xml:space="preserve"> to enable </w:t>
      </w:r>
      <w:r w:rsidR="001B2462" w:rsidRPr="008473CC">
        <w:t>harmonised interpretation and application at international level</w:t>
      </w:r>
      <w:r w:rsidR="00A74B4C" w:rsidRPr="008473CC">
        <w:t>,</w:t>
      </w:r>
      <w:r w:rsidRPr="008473CC">
        <w:t xml:space="preserve"> require adaptation of several definitions included in this legislation</w:t>
      </w:r>
      <w:r w:rsidR="001B2462" w:rsidRPr="008473CC">
        <w:t>.</w:t>
      </w:r>
    </w:p>
    <w:p w14:paraId="069D0FA1" w14:textId="77777777" w:rsidR="00093A15" w:rsidRPr="008473CC" w:rsidRDefault="00C47611" w:rsidP="001442CA">
      <w:pPr>
        <w:pStyle w:val="Considrant"/>
        <w:numPr>
          <w:ilvl w:val="0"/>
          <w:numId w:val="1"/>
        </w:numPr>
      </w:pPr>
      <w:r w:rsidRPr="008473CC">
        <w:t xml:space="preserve">Implementing Regulation (EU) 2022/1426 </w:t>
      </w:r>
      <w:r w:rsidR="000D1F22" w:rsidRPr="008473CC">
        <w:t>should therefore be amended accordingly.</w:t>
      </w:r>
    </w:p>
    <w:p w14:paraId="526D3A27" w14:textId="77777777" w:rsidR="002D49DF" w:rsidRPr="008473CC" w:rsidRDefault="002D49DF" w:rsidP="001442CA">
      <w:pPr>
        <w:pStyle w:val="Considrant"/>
        <w:numPr>
          <w:ilvl w:val="0"/>
          <w:numId w:val="1"/>
        </w:numPr>
      </w:pPr>
      <w:r w:rsidRPr="008473CC">
        <w:t>The measures provided for in this Regulation are in accordance with the opinion of the Technical Committee – Motor Vehicles</w:t>
      </w:r>
      <w:r w:rsidR="007703A5" w:rsidRPr="008473CC">
        <w:t xml:space="preserve"> </w:t>
      </w:r>
      <w:r w:rsidR="007703A5" w:rsidRPr="008473CC">
        <w:rPr>
          <w:rFonts w:hint="eastAsia"/>
        </w:rPr>
        <w:t>(TCMV)</w:t>
      </w:r>
      <w:r w:rsidRPr="008473CC">
        <w:t xml:space="preserve">, </w:t>
      </w:r>
    </w:p>
    <w:p w14:paraId="435CB984" w14:textId="77777777" w:rsidR="002D49DF" w:rsidRPr="008473CC" w:rsidRDefault="002D49DF" w:rsidP="002D49DF">
      <w:pPr>
        <w:pStyle w:val="Formuledadoption"/>
      </w:pPr>
      <w:r w:rsidRPr="008473CC">
        <w:t>HAS ADOPTED THIS REGULATION:</w:t>
      </w:r>
    </w:p>
    <w:p w14:paraId="5745E481" w14:textId="77777777" w:rsidR="002D49DF" w:rsidRPr="008473CC" w:rsidRDefault="002D49DF" w:rsidP="002D49DF">
      <w:pPr>
        <w:pStyle w:val="Titrearticle"/>
      </w:pPr>
      <w:r w:rsidRPr="008473CC">
        <w:t>Article 1</w:t>
      </w:r>
    </w:p>
    <w:p w14:paraId="2F5C03C1" w14:textId="77777777" w:rsidR="00AD0ECB" w:rsidRPr="008473CC" w:rsidRDefault="002D49DF" w:rsidP="002D49DF">
      <w:r w:rsidRPr="008473CC">
        <w:t xml:space="preserve">Regulation (EU) 2022/1426 is amended </w:t>
      </w:r>
      <w:r w:rsidR="00AD0ECB" w:rsidRPr="008473CC">
        <w:t>as follows:</w:t>
      </w:r>
    </w:p>
    <w:p w14:paraId="7808C340" w14:textId="77777777" w:rsidR="008D4C13" w:rsidRPr="008473CC" w:rsidRDefault="006916C3" w:rsidP="001D6E38">
      <w:pPr>
        <w:pStyle w:val="Point0number"/>
        <w:numPr>
          <w:ilvl w:val="0"/>
          <w:numId w:val="11"/>
        </w:numPr>
      </w:pPr>
      <w:r w:rsidRPr="008473CC">
        <w:t xml:space="preserve">in </w:t>
      </w:r>
      <w:r w:rsidR="008D4C13" w:rsidRPr="008473CC">
        <w:t>Article 1</w:t>
      </w:r>
      <w:r w:rsidR="008D4C13" w:rsidRPr="008473CC">
        <w:rPr>
          <w:i/>
        </w:rPr>
        <w:t xml:space="preserve">, </w:t>
      </w:r>
      <w:r w:rsidRPr="008473CC">
        <w:t>first subparagraph, point</w:t>
      </w:r>
      <w:r w:rsidR="008D4C13" w:rsidRPr="008473CC">
        <w:t xml:space="preserve"> (c) is replaced by the following:</w:t>
      </w:r>
    </w:p>
    <w:p w14:paraId="03375AAD" w14:textId="4966F153" w:rsidR="008D4C13" w:rsidRPr="008473CC" w:rsidRDefault="0016751F" w:rsidP="00BC6E67">
      <w:pPr>
        <w:pStyle w:val="Text1"/>
      </w:pPr>
      <w:r w:rsidRPr="008473CC">
        <w:t xml:space="preserve">‘(c) </w:t>
      </w:r>
      <w:r w:rsidR="008D4C13" w:rsidRPr="008473CC">
        <w:t>‘Automated valet parking’</w:t>
      </w:r>
      <w:r w:rsidR="005E272C" w:rsidRPr="008473CC">
        <w:t xml:space="preserve"> (‘AVP’)</w:t>
      </w:r>
      <w:r w:rsidR="008D4C13" w:rsidRPr="008473CC">
        <w:t xml:space="preserve">: </w:t>
      </w:r>
      <w:r w:rsidR="00B70C71" w:rsidRPr="008473CC">
        <w:t xml:space="preserve">vehicles with </w:t>
      </w:r>
      <w:r w:rsidR="008D4C13" w:rsidRPr="008473CC">
        <w:rPr>
          <w:rFonts w:eastAsia="Calibri" w:cs="Calibri"/>
          <w:color w:val="000000"/>
          <w:u w:color="000000"/>
          <w:bdr w:val="nil"/>
          <w:lang w:eastAsia="en-GB"/>
          <w14:textOutline w14:w="0" w14:cap="flat" w14:cmpd="sng" w14:algn="ctr">
            <w14:noFill/>
            <w14:prstDash w14:val="solid"/>
            <w14:bevel/>
          </w14:textOutline>
        </w:rPr>
        <w:t xml:space="preserve">an </w:t>
      </w:r>
      <w:r w:rsidR="002F0054" w:rsidRPr="008473CC">
        <w:rPr>
          <w:rFonts w:eastAsia="Calibri" w:cs="Calibri"/>
          <w:color w:val="000000"/>
          <w:u w:color="000000"/>
          <w:bdr w:val="nil"/>
          <w:lang w:eastAsia="en-GB"/>
          <w14:textOutline w14:w="0" w14:cap="flat" w14:cmpd="sng" w14:algn="ctr">
            <w14:noFill/>
            <w14:prstDash w14:val="solid"/>
            <w14:bevel/>
          </w14:textOutline>
        </w:rPr>
        <w:t>a</w:t>
      </w:r>
      <w:r w:rsidR="007A51C8" w:rsidRPr="008473CC">
        <w:rPr>
          <w:rFonts w:eastAsia="Calibri" w:cs="Calibri"/>
          <w:color w:val="000000"/>
          <w:u w:color="000000"/>
          <w:bdr w:val="nil"/>
          <w:lang w:eastAsia="en-GB"/>
          <w14:textOutline w14:w="0" w14:cap="flat" w14:cmpd="sng" w14:algn="ctr">
            <w14:noFill/>
            <w14:prstDash w14:val="solid"/>
            <w14:bevel/>
          </w14:textOutline>
        </w:rPr>
        <w:t xml:space="preserve">utomated </w:t>
      </w:r>
      <w:r w:rsidR="002F0054" w:rsidRPr="008473CC">
        <w:rPr>
          <w:rFonts w:eastAsia="Calibri" w:cs="Calibri"/>
          <w:color w:val="000000"/>
          <w:u w:color="000000"/>
          <w:bdr w:val="nil"/>
          <w:lang w:eastAsia="en-GB"/>
          <w14:textOutline w14:w="0" w14:cap="flat" w14:cmpd="sng" w14:algn="ctr">
            <w14:noFill/>
            <w14:prstDash w14:val="solid"/>
            <w14:bevel/>
          </w14:textOutline>
        </w:rPr>
        <w:t>d</w:t>
      </w:r>
      <w:r w:rsidR="007A51C8" w:rsidRPr="008473CC">
        <w:rPr>
          <w:rFonts w:eastAsia="Calibri" w:cs="Calibri"/>
          <w:color w:val="000000"/>
          <w:u w:color="000000"/>
          <w:bdr w:val="nil"/>
          <w:lang w:eastAsia="en-GB"/>
          <w14:textOutline w14:w="0" w14:cap="flat" w14:cmpd="sng" w14:algn="ctr">
            <w14:noFill/>
            <w14:prstDash w14:val="solid"/>
            <w14:bevel/>
          </w14:textOutline>
        </w:rPr>
        <w:t xml:space="preserve">riving </w:t>
      </w:r>
      <w:r w:rsidR="002F0054" w:rsidRPr="008473CC">
        <w:rPr>
          <w:rFonts w:eastAsia="Calibri" w:cs="Calibri"/>
          <w:color w:val="000000"/>
          <w:u w:color="000000"/>
          <w:bdr w:val="nil"/>
          <w:lang w:eastAsia="en-GB"/>
          <w14:textOutline w14:w="0" w14:cap="flat" w14:cmpd="sng" w14:algn="ctr">
            <w14:noFill/>
            <w14:prstDash w14:val="solid"/>
            <w14:bevel/>
          </w14:textOutline>
        </w:rPr>
        <w:t>s</w:t>
      </w:r>
      <w:r w:rsidR="007A51C8" w:rsidRPr="008473CC">
        <w:rPr>
          <w:rFonts w:eastAsia="Calibri" w:cs="Calibri"/>
          <w:color w:val="000000"/>
          <w:u w:color="000000"/>
          <w:bdr w:val="nil"/>
          <w:lang w:eastAsia="en-GB"/>
          <w14:textOutline w14:w="0" w14:cap="flat" w14:cmpd="sng" w14:algn="ctr">
            <w14:noFill/>
            <w14:prstDash w14:val="solid"/>
            <w14:bevel/>
          </w14:textOutline>
        </w:rPr>
        <w:t>ystem (</w:t>
      </w:r>
      <w:r w:rsidR="009408BE" w:rsidRPr="008473CC">
        <w:rPr>
          <w:rFonts w:eastAsia="Calibri" w:cs="Calibri"/>
          <w:color w:val="000000"/>
          <w:u w:color="000000"/>
          <w:bdr w:val="nil"/>
          <w:lang w:eastAsia="en-GB"/>
          <w14:textOutline w14:w="0" w14:cap="flat" w14:cmpd="sng" w14:algn="ctr">
            <w14:noFill/>
            <w14:prstDash w14:val="solid"/>
            <w14:bevel/>
          </w14:textOutline>
        </w:rPr>
        <w:t>‘</w:t>
      </w:r>
      <w:r w:rsidR="008D4C13" w:rsidRPr="008473CC">
        <w:rPr>
          <w:rFonts w:eastAsia="Calibri" w:cs="Calibri"/>
          <w:color w:val="000000"/>
          <w:u w:color="000000"/>
          <w:bdr w:val="nil"/>
          <w:lang w:eastAsia="en-GB"/>
          <w14:textOutline w14:w="0" w14:cap="flat" w14:cmpd="sng" w14:algn="ctr">
            <w14:noFill/>
            <w14:prstDash w14:val="solid"/>
            <w14:bevel/>
          </w14:textOutline>
        </w:rPr>
        <w:t>ADS</w:t>
      </w:r>
      <w:r w:rsidR="009408BE" w:rsidRPr="008473CC">
        <w:rPr>
          <w:rFonts w:eastAsia="Calibri" w:cs="Calibri"/>
          <w:color w:val="000000"/>
          <w:u w:color="000000"/>
          <w:bdr w:val="nil"/>
          <w:lang w:eastAsia="en-GB"/>
          <w14:textOutline w14:w="0" w14:cap="flat" w14:cmpd="sng" w14:algn="ctr">
            <w14:noFill/>
            <w14:prstDash w14:val="solid"/>
            <w14:bevel/>
          </w14:textOutline>
        </w:rPr>
        <w:t>’</w:t>
      </w:r>
      <w:r w:rsidR="007A51C8" w:rsidRPr="008473CC">
        <w:rPr>
          <w:rFonts w:eastAsia="Calibri" w:cs="Calibri"/>
          <w:color w:val="000000"/>
          <w:u w:color="000000"/>
          <w:bdr w:val="nil"/>
          <w:lang w:eastAsia="en-GB"/>
          <w14:textOutline w14:w="0" w14:cap="flat" w14:cmpd="sng" w14:algn="ctr">
            <w14:noFill/>
            <w14:prstDash w14:val="solid"/>
            <w14:bevel/>
          </w14:textOutline>
        </w:rPr>
        <w:t>)</w:t>
      </w:r>
      <w:r w:rsidR="008D4C13" w:rsidRPr="008473CC">
        <w:rPr>
          <w:rFonts w:eastAsia="Calibri" w:cs="Calibri"/>
          <w:color w:val="000000"/>
          <w:u w:color="000000"/>
          <w:bdr w:val="nil"/>
          <w:lang w:eastAsia="en-GB"/>
          <w14:textOutline w14:w="0" w14:cap="flat" w14:cmpd="sng" w14:algn="ctr">
            <w14:noFill/>
            <w14:prstDash w14:val="solid"/>
            <w14:bevel/>
          </w14:textOutline>
        </w:rPr>
        <w:t xml:space="preserve"> feature for parking</w:t>
      </w:r>
      <w:r w:rsidR="00715FA6" w:rsidRPr="008473CC">
        <w:rPr>
          <w:rFonts w:eastAsia="Calibri" w:cs="Calibri"/>
          <w:color w:val="000000"/>
          <w:u w:color="000000"/>
          <w:bdr w:val="nil"/>
          <w:lang w:eastAsia="en-GB"/>
          <w14:textOutline w14:w="0" w14:cap="flat" w14:cmpd="sng" w14:algn="ctr">
            <w14:noFill/>
            <w14:prstDash w14:val="solid"/>
            <w14:bevel/>
          </w14:textOutline>
        </w:rPr>
        <w:t xml:space="preserve"> applications</w:t>
      </w:r>
      <w:r w:rsidR="008D4C13" w:rsidRPr="008473CC">
        <w:rPr>
          <w:rFonts w:eastAsia="Calibri" w:cs="Calibri"/>
          <w:color w:val="000000"/>
          <w:u w:color="000000"/>
          <w:bdr w:val="nil"/>
          <w:lang w:eastAsia="en-GB"/>
          <w14:textOutline w14:w="0" w14:cap="flat" w14:cmpd="sng" w14:algn="ctr">
            <w14:noFill/>
            <w14:prstDash w14:val="solid"/>
            <w14:bevel/>
          </w14:textOutline>
        </w:rPr>
        <w:t xml:space="preserve"> within an </w:t>
      </w:r>
      <w:r w:rsidR="002F0054" w:rsidRPr="008473CC">
        <w:rPr>
          <w:rFonts w:eastAsia="Calibri" w:cs="Calibri"/>
          <w:color w:val="000000"/>
          <w:u w:color="000000"/>
          <w:bdr w:val="nil"/>
          <w:lang w:eastAsia="en-GB"/>
          <w14:textOutline w14:w="0" w14:cap="flat" w14:cmpd="sng" w14:algn="ctr">
            <w14:noFill/>
            <w14:prstDash w14:val="solid"/>
            <w14:bevel/>
          </w14:textOutline>
        </w:rPr>
        <w:t>operational design domain (</w:t>
      </w:r>
      <w:r w:rsidR="009408BE" w:rsidRPr="008473CC">
        <w:rPr>
          <w:rFonts w:eastAsia="Calibri" w:cs="Calibri"/>
          <w:color w:val="000000"/>
          <w:u w:color="000000"/>
          <w:bdr w:val="nil"/>
          <w:lang w:eastAsia="en-GB"/>
          <w14:textOutline w14:w="0" w14:cap="flat" w14:cmpd="sng" w14:algn="ctr">
            <w14:noFill/>
            <w14:prstDash w14:val="solid"/>
            <w14:bevel/>
          </w14:textOutline>
        </w:rPr>
        <w:t>‘</w:t>
      </w:r>
      <w:r w:rsidR="008D4C13" w:rsidRPr="008473CC">
        <w:rPr>
          <w:rFonts w:eastAsia="Calibri" w:cs="Calibri"/>
          <w:color w:val="000000"/>
          <w:u w:color="000000"/>
          <w:bdr w:val="nil"/>
          <w:lang w:eastAsia="en-GB"/>
          <w14:textOutline w14:w="0" w14:cap="flat" w14:cmpd="sng" w14:algn="ctr">
            <w14:noFill/>
            <w14:prstDash w14:val="solid"/>
            <w14:bevel/>
          </w14:textOutline>
        </w:rPr>
        <w:t>ODD</w:t>
      </w:r>
      <w:r w:rsidR="009408BE" w:rsidRPr="008473CC">
        <w:rPr>
          <w:rFonts w:eastAsia="Calibri" w:cs="Calibri"/>
          <w:color w:val="000000"/>
          <w:u w:color="000000"/>
          <w:bdr w:val="nil"/>
          <w:lang w:eastAsia="en-GB"/>
          <w14:textOutline w14:w="0" w14:cap="flat" w14:cmpd="sng" w14:algn="ctr">
            <w14:noFill/>
            <w14:prstDash w14:val="solid"/>
            <w14:bevel/>
          </w14:textOutline>
        </w:rPr>
        <w:t>’</w:t>
      </w:r>
      <w:r w:rsidR="002F0054" w:rsidRPr="008473CC">
        <w:rPr>
          <w:rFonts w:eastAsia="Calibri" w:cs="Calibri"/>
          <w:color w:val="000000"/>
          <w:u w:color="000000"/>
          <w:bdr w:val="nil"/>
          <w:lang w:eastAsia="en-GB"/>
          <w14:textOutline w14:w="0" w14:cap="flat" w14:cmpd="sng" w14:algn="ctr">
            <w14:noFill/>
            <w14:prstDash w14:val="solid"/>
            <w14:bevel/>
          </w14:textOutline>
        </w:rPr>
        <w:t>)</w:t>
      </w:r>
      <w:r w:rsidR="008D4C13" w:rsidRPr="008473CC">
        <w:t>. The system may use or not external infrastructure (</w:t>
      </w:r>
      <w:r w:rsidR="00D75C51" w:rsidRPr="008473CC">
        <w:t xml:space="preserve">including, where relevant, </w:t>
      </w:r>
      <w:r w:rsidR="008D4C13" w:rsidRPr="008473CC">
        <w:t>localization markers</w:t>
      </w:r>
      <w:r w:rsidR="00D75C51" w:rsidRPr="008473CC">
        <w:t xml:space="preserve"> and</w:t>
      </w:r>
      <w:r w:rsidR="008D4C13" w:rsidRPr="008473CC">
        <w:t xml:space="preserve"> perception sensors) to perform the dynamic driving task.</w:t>
      </w:r>
      <w:r w:rsidRPr="008473CC">
        <w:t>’;</w:t>
      </w:r>
    </w:p>
    <w:p w14:paraId="7D9E4C07" w14:textId="77777777" w:rsidR="008D4C13" w:rsidRPr="008473CC" w:rsidRDefault="008D4C13" w:rsidP="00BC6E67">
      <w:pPr>
        <w:pStyle w:val="Point0number"/>
      </w:pPr>
      <w:r w:rsidRPr="008473CC">
        <w:t>Article 2 is amended as follows:</w:t>
      </w:r>
    </w:p>
    <w:p w14:paraId="3CD796B1" w14:textId="7B692D67" w:rsidR="008D4C13" w:rsidRPr="008473CC" w:rsidRDefault="00BC6E67" w:rsidP="00BC6E67">
      <w:pPr>
        <w:pStyle w:val="Point1number"/>
      </w:pPr>
      <w:r>
        <w:t xml:space="preserve"> </w:t>
      </w:r>
      <w:r w:rsidR="009A0BAE" w:rsidRPr="008473CC">
        <w:t>p</w:t>
      </w:r>
      <w:r w:rsidR="008D4C13" w:rsidRPr="008473CC">
        <w:t>oint 2 is replaced by the following:</w:t>
      </w:r>
    </w:p>
    <w:p w14:paraId="35BCCF4E" w14:textId="77777777" w:rsidR="008D4C13" w:rsidRPr="008473CC" w:rsidRDefault="00F258FA" w:rsidP="00BC6E67">
      <w:pPr>
        <w:pStyle w:val="Text2"/>
        <w:rPr>
          <w:u w:color="000000"/>
          <w:bdr w:val="nil"/>
          <w:lang w:eastAsia="en-GB"/>
        </w:rPr>
      </w:pPr>
      <w:r w:rsidRPr="008473CC">
        <w:rPr>
          <w:u w:color="000000"/>
          <w:bdr w:val="nil"/>
          <w:lang w:eastAsia="en-GB"/>
        </w:rPr>
        <w:t>‘</w:t>
      </w:r>
      <w:r w:rsidR="008D4C13" w:rsidRPr="008473CC">
        <w:rPr>
          <w:u w:color="000000"/>
          <w:bdr w:val="nil"/>
          <w:lang w:eastAsia="en-GB"/>
        </w:rPr>
        <w:t>2. ‘ADS feature’ means an application of an ADS designed specifically for use within an ODD.</w:t>
      </w:r>
      <w:r w:rsidRPr="008473CC">
        <w:rPr>
          <w:u w:color="000000"/>
          <w:bdr w:val="nil"/>
          <w:lang w:eastAsia="en-GB"/>
        </w:rPr>
        <w:t>’;</w:t>
      </w:r>
    </w:p>
    <w:p w14:paraId="2769B65C" w14:textId="0CFFBFA2" w:rsidR="008D4C13" w:rsidRPr="008473CC" w:rsidRDefault="00BC6E67" w:rsidP="00BC6E67">
      <w:pPr>
        <w:pStyle w:val="Point1number"/>
      </w:pPr>
      <w:r>
        <w:t xml:space="preserve"> </w:t>
      </w:r>
      <w:r w:rsidR="006C3E2C" w:rsidRPr="008473CC">
        <w:t>p</w:t>
      </w:r>
      <w:r w:rsidR="008D4C13" w:rsidRPr="008473CC">
        <w:t>oint 5 is replaced by the following:</w:t>
      </w:r>
    </w:p>
    <w:p w14:paraId="1D85A4CA" w14:textId="77777777" w:rsidR="008D4C13" w:rsidRPr="008473CC" w:rsidRDefault="006C3E2C" w:rsidP="00313A68">
      <w:pPr>
        <w:pStyle w:val="Text2"/>
      </w:pPr>
      <w:r w:rsidRPr="008473CC">
        <w:t>‘</w:t>
      </w:r>
      <w:r w:rsidR="008D4C13" w:rsidRPr="008473CC">
        <w:t>5. ‘operational function’ means a capability to control the real-time motion of the vehicle</w:t>
      </w:r>
      <w:r w:rsidR="00D9509A" w:rsidRPr="008473CC">
        <w:t>,</w:t>
      </w:r>
      <w:r w:rsidR="00E65859" w:rsidRPr="008473CC">
        <w:t xml:space="preserve"> which</w:t>
      </w:r>
      <w:r w:rsidR="008D4C13" w:rsidRPr="008473CC">
        <w:t xml:space="preserve"> involves executing micro-changes in steering, braking, and accelerating to maintain lane position or proper vehicle separation and immediate responsive actions to avoid crashes in critical driving situations.</w:t>
      </w:r>
      <w:r w:rsidRPr="008473CC">
        <w:t>’;</w:t>
      </w:r>
    </w:p>
    <w:p w14:paraId="2B0FAA28" w14:textId="4A675D07" w:rsidR="008D4C13" w:rsidRPr="008473CC" w:rsidRDefault="00BC6E67" w:rsidP="00313A68">
      <w:pPr>
        <w:pStyle w:val="Point1number"/>
      </w:pPr>
      <w:r>
        <w:t xml:space="preserve"> </w:t>
      </w:r>
      <w:r w:rsidR="00305A51" w:rsidRPr="008473CC">
        <w:t>p</w:t>
      </w:r>
      <w:r w:rsidR="008D4C13" w:rsidRPr="008473CC">
        <w:t>oint 6 is replaced by the following:</w:t>
      </w:r>
    </w:p>
    <w:p w14:paraId="12FF9308" w14:textId="77777777" w:rsidR="006C3E2C" w:rsidRPr="008473CC" w:rsidRDefault="00305A51" w:rsidP="00313A68">
      <w:pPr>
        <w:pStyle w:val="Text2"/>
      </w:pPr>
      <w:r w:rsidRPr="008473CC">
        <w:t>‘</w:t>
      </w:r>
      <w:r w:rsidR="008D4C13" w:rsidRPr="008473CC">
        <w:t>6. ‘tactical function’ means a capability to perceive the vehicle environment and control real-time planning, decision, and execution of manoeuvres, including conspicuity of the vehicle and its motion</w:t>
      </w:r>
      <w:r w:rsidR="00714ABB" w:rsidRPr="008473CC">
        <w:t xml:space="preserve"> and which</w:t>
      </w:r>
      <w:r w:rsidR="008D4C13" w:rsidRPr="008473CC">
        <w:t xml:space="preserve"> includes deciding whether to overtake a vehicle or change lanes, signalling intended manoeuvres, deciding when to initiate the manoeuvre, choosing the proper speed, and executing the manoeuvre.</w:t>
      </w:r>
      <w:r w:rsidRPr="008473CC">
        <w:t>’;</w:t>
      </w:r>
    </w:p>
    <w:p w14:paraId="71B84CDB" w14:textId="77777777" w:rsidR="00FC2D61" w:rsidRPr="008473CC" w:rsidRDefault="00FC2D61" w:rsidP="002D49DF"/>
    <w:p w14:paraId="46695B2E" w14:textId="77777777" w:rsidR="00F70016" w:rsidRPr="008473CC" w:rsidRDefault="00D805F6" w:rsidP="00BC6E67">
      <w:pPr>
        <w:pStyle w:val="Point0number"/>
      </w:pPr>
      <w:r w:rsidRPr="008473CC">
        <w:t xml:space="preserve">in </w:t>
      </w:r>
      <w:r w:rsidR="00F70016" w:rsidRPr="008473CC">
        <w:t>Article 3</w:t>
      </w:r>
      <w:r w:rsidRPr="008473CC">
        <w:t>, point 2</w:t>
      </w:r>
      <w:r w:rsidR="00F70016" w:rsidRPr="008473CC">
        <w:t xml:space="preserve"> is </w:t>
      </w:r>
      <w:r w:rsidRPr="008473CC">
        <w:t>replaced by the following</w:t>
      </w:r>
      <w:r w:rsidR="00F70016" w:rsidRPr="008473CC">
        <w:t xml:space="preserve">: </w:t>
      </w:r>
    </w:p>
    <w:p w14:paraId="52DBC3A9" w14:textId="77777777" w:rsidR="00D805F6" w:rsidRPr="008473CC" w:rsidRDefault="00D805F6" w:rsidP="00313A68">
      <w:pPr>
        <w:pStyle w:val="Text1"/>
      </w:pPr>
      <w:r w:rsidRPr="008473CC">
        <w:t>‘2.</w:t>
      </w:r>
      <w:r w:rsidRPr="008473CC">
        <w:tab/>
        <w:t xml:space="preserve">The type-approval of the </w:t>
      </w:r>
      <w:r w:rsidR="00E20D9F" w:rsidRPr="008473CC">
        <w:t>ADS</w:t>
      </w:r>
      <w:r w:rsidRPr="008473CC">
        <w:t xml:space="preserve"> of fully automated vehicles shall be subject to the technical specifications set out in Annex </w:t>
      </w:r>
      <w:r w:rsidRPr="008473CC" w:rsidDel="004C7896">
        <w:t>II</w:t>
      </w:r>
      <w:r w:rsidRPr="008473CC">
        <w:t xml:space="preserve">. Those specifications shall be assessed by the approval authorities or their technical services in accordance with Annex III. </w:t>
      </w:r>
    </w:p>
    <w:p w14:paraId="53EDFCF7" w14:textId="77777777" w:rsidR="00667F49" w:rsidRPr="008473CC" w:rsidRDefault="00667F49" w:rsidP="00313A68">
      <w:pPr>
        <w:pStyle w:val="Text1"/>
      </w:pPr>
    </w:p>
    <w:p w14:paraId="6C0E7003" w14:textId="77777777" w:rsidR="00667F49" w:rsidRPr="008473CC" w:rsidRDefault="00AE3BD6" w:rsidP="00313A68">
      <w:pPr>
        <w:pStyle w:val="Text1"/>
      </w:pPr>
      <w:r w:rsidRPr="008473CC">
        <w:t>In addition to the requirements set out in the first subparagraph, t</w:t>
      </w:r>
      <w:r w:rsidR="00667F49" w:rsidRPr="008473CC">
        <w:t xml:space="preserve">he type approval of the </w:t>
      </w:r>
      <w:r w:rsidR="00CF2C68" w:rsidRPr="008473CC">
        <w:t>AVP</w:t>
      </w:r>
      <w:r w:rsidR="00667F49" w:rsidRPr="008473CC">
        <w:t xml:space="preserve"> features of </w:t>
      </w:r>
      <w:r w:rsidR="00CF2C68" w:rsidRPr="008473CC">
        <w:t>ADS</w:t>
      </w:r>
      <w:r w:rsidR="00667F49" w:rsidRPr="008473CC">
        <w:t xml:space="preserve"> shall be subject to the technical specifications set out in Annex V. Those specifications shall be assessed by the approval authorities or their technical services in accordance with Annex V.</w:t>
      </w:r>
      <w:r w:rsidR="007724F7" w:rsidRPr="008473CC">
        <w:t>;</w:t>
      </w:r>
    </w:p>
    <w:p w14:paraId="00EC0C98" w14:textId="77777777" w:rsidR="002D49DF" w:rsidRPr="008473CC" w:rsidRDefault="002D49DF" w:rsidP="00BC6E67">
      <w:pPr>
        <w:pStyle w:val="Point0number"/>
      </w:pPr>
      <w:r w:rsidRPr="008473CC">
        <w:t>Annex III is amended in accordance with Annex I to this Regulation</w:t>
      </w:r>
      <w:r w:rsidR="00CD5BBB" w:rsidRPr="008473CC">
        <w:t>;</w:t>
      </w:r>
    </w:p>
    <w:p w14:paraId="7AABCD1A" w14:textId="77777777" w:rsidR="002D49DF" w:rsidRPr="008473CC" w:rsidRDefault="00444748" w:rsidP="00BC6E67">
      <w:pPr>
        <w:pStyle w:val="Point0number"/>
      </w:pPr>
      <w:r w:rsidRPr="008473CC">
        <w:t xml:space="preserve"> the text in</w:t>
      </w:r>
      <w:r w:rsidR="002D49DF" w:rsidRPr="008473CC">
        <w:t xml:space="preserve"> Annex II to this Regulation</w:t>
      </w:r>
      <w:r w:rsidRPr="008473CC">
        <w:t xml:space="preserve"> is added as Annex V</w:t>
      </w:r>
      <w:r w:rsidR="002D49DF" w:rsidRPr="008473CC">
        <w:t>.</w:t>
      </w:r>
    </w:p>
    <w:p w14:paraId="2BE84CE4" w14:textId="77777777" w:rsidR="002D49DF" w:rsidRPr="008473CC" w:rsidRDefault="002D49DF" w:rsidP="002D49DF">
      <w:pPr>
        <w:pStyle w:val="Titrearticle"/>
      </w:pPr>
      <w:r w:rsidRPr="008473CC">
        <w:t xml:space="preserve">Article </w:t>
      </w:r>
      <w:r w:rsidR="009A27FD" w:rsidRPr="008473CC">
        <w:t>2</w:t>
      </w:r>
    </w:p>
    <w:p w14:paraId="09DAA22B" w14:textId="77777777" w:rsidR="00F57D75" w:rsidRPr="008473CC" w:rsidRDefault="00F57D75" w:rsidP="00245182">
      <w:pPr>
        <w:jc w:val="center"/>
        <w:rPr>
          <w:b/>
          <w:lang w:val="en-IE"/>
        </w:rPr>
      </w:pPr>
      <w:r w:rsidRPr="008473CC">
        <w:rPr>
          <w:b/>
          <w:lang w:val="en-IE"/>
        </w:rPr>
        <w:t xml:space="preserve">Entry into force </w:t>
      </w:r>
    </w:p>
    <w:p w14:paraId="238C0F35" w14:textId="77777777" w:rsidR="002D49DF" w:rsidRPr="008473CC" w:rsidRDefault="002D49DF" w:rsidP="002D49DF">
      <w:r w:rsidRPr="008473CC">
        <w:t xml:space="preserve">This Regulation shall enter into force on the twentieth day following that of its publication in the </w:t>
      </w:r>
      <w:r w:rsidRPr="008473CC">
        <w:rPr>
          <w:i/>
        </w:rPr>
        <w:t>Official Journal of the European Union</w:t>
      </w:r>
      <w:r w:rsidRPr="008473CC">
        <w:t xml:space="preserve">. </w:t>
      </w:r>
    </w:p>
    <w:p w14:paraId="07DF3B00" w14:textId="77777777" w:rsidR="002D49DF" w:rsidRDefault="002D49DF" w:rsidP="002D49DF">
      <w:pPr>
        <w:pStyle w:val="Applicationdirecte"/>
      </w:pPr>
      <w:r w:rsidRPr="008473CC">
        <w:t>This Regulation shall be binding in its entirety and directly applicable in all Member</w:t>
      </w:r>
      <w:r>
        <w:t xml:space="preserve"> States.</w:t>
      </w:r>
    </w:p>
    <w:p w14:paraId="19E71AB0" w14:textId="6CA45C07" w:rsidR="002D49DF" w:rsidRDefault="00230D7C" w:rsidP="00230D7C">
      <w:pPr>
        <w:pStyle w:val="Fait"/>
      </w:pPr>
      <w:r w:rsidRPr="00230D7C">
        <w:t>Done at Brussels,</w:t>
      </w:r>
    </w:p>
    <w:p w14:paraId="51F78171" w14:textId="77777777" w:rsidR="00896029" w:rsidRPr="00331EC2" w:rsidRDefault="00C518AF" w:rsidP="00896029">
      <w:pPr>
        <w:pStyle w:val="Institutionquisigne"/>
      </w:pPr>
      <w:r w:rsidRPr="00C518AF">
        <w:tab/>
      </w:r>
      <w:r w:rsidR="00896029" w:rsidRPr="00331EC2">
        <w:t>For the Commission</w:t>
      </w:r>
    </w:p>
    <w:p w14:paraId="1F2DAC09" w14:textId="75B35090" w:rsidR="00896029" w:rsidRPr="00F92D24" w:rsidRDefault="00896029" w:rsidP="00896029">
      <w:pPr>
        <w:pStyle w:val="Personnequisigne"/>
      </w:pPr>
      <w:r w:rsidRPr="00331EC2">
        <w:tab/>
        <w:t>The President</w:t>
      </w:r>
      <w:r w:rsidRPr="00331EC2">
        <w:br/>
      </w:r>
      <w:r w:rsidRPr="00331EC2">
        <w:tab/>
      </w:r>
      <w:r w:rsidR="00E223AA" w:rsidRPr="00E223AA">
        <w:rPr>
          <w:i w:val="0"/>
          <w:iCs/>
        </w:rPr>
        <w:t>Ursula VON DER LEYEN</w:t>
      </w:r>
    </w:p>
    <w:p w14:paraId="362DA2E5" w14:textId="77777777" w:rsidR="00C518AF" w:rsidRPr="00C518AF" w:rsidRDefault="00896029" w:rsidP="00AD6BD6">
      <w:pPr>
        <w:pStyle w:val="Personnequisigne"/>
      </w:pPr>
      <w:r>
        <w:br/>
      </w:r>
    </w:p>
    <w:sectPr w:rsidR="00C518AF" w:rsidRPr="00C518AF" w:rsidSect="008346D7">
      <w:headerReference w:type="even" r:id="rId15"/>
      <w:footerReference w:type="even" r:id="rId16"/>
      <w:footerReference w:type="default" r:id="rId17"/>
      <w:headerReference w:type="first" r:id="rId18"/>
      <w:footerReference w:type="first" r:id="rId19"/>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C3CA" w14:textId="77777777" w:rsidR="00097599" w:rsidRDefault="00097599" w:rsidP="00C518AF">
      <w:pPr>
        <w:spacing w:before="0" w:after="0"/>
      </w:pPr>
      <w:r>
        <w:separator/>
      </w:r>
    </w:p>
  </w:endnote>
  <w:endnote w:type="continuationSeparator" w:id="0">
    <w:p w14:paraId="2FB58DB9" w14:textId="77777777" w:rsidR="00097599" w:rsidRDefault="00097599" w:rsidP="00C518AF">
      <w:pPr>
        <w:spacing w:before="0" w:after="0"/>
      </w:pPr>
      <w:r>
        <w:continuationSeparator/>
      </w:r>
    </w:p>
  </w:endnote>
  <w:endnote w:type="continuationNotice" w:id="1">
    <w:p w14:paraId="2E293237" w14:textId="77777777" w:rsidR="00097599" w:rsidRDefault="0009759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A99C" w14:textId="333A955C" w:rsidR="00B53EF2" w:rsidRPr="008346D7" w:rsidRDefault="008346D7" w:rsidP="008346D7">
    <w:pPr>
      <w:pStyle w:val="Footer"/>
      <w:rPr>
        <w:rFonts w:ascii="Arial" w:hAnsi="Arial" w:cs="Arial"/>
        <w:b/>
        <w:sz w:val="48"/>
      </w:rPr>
    </w:pPr>
    <w:r w:rsidRPr="008346D7">
      <w:rPr>
        <w:rFonts w:ascii="Arial" w:hAnsi="Arial" w:cs="Arial"/>
        <w:b/>
        <w:sz w:val="48"/>
      </w:rPr>
      <w:t>EN</w:t>
    </w:r>
    <w:r w:rsidRPr="008346D7">
      <w:rPr>
        <w:rFonts w:ascii="Arial" w:hAnsi="Arial" w:cs="Arial"/>
        <w:b/>
        <w:sz w:val="48"/>
      </w:rPr>
      <w:tab/>
    </w:r>
    <w:r w:rsidRPr="008346D7">
      <w:rPr>
        <w:rFonts w:ascii="Arial" w:hAnsi="Arial" w:cs="Arial"/>
        <w:b/>
        <w:sz w:val="48"/>
      </w:rPr>
      <w:tab/>
    </w:r>
    <w:r w:rsidRPr="008346D7">
      <w:tab/>
    </w:r>
    <w:r w:rsidRPr="008346D7">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7EDA" w14:textId="067403B6" w:rsidR="00B53EF2" w:rsidRPr="008346D7" w:rsidRDefault="008346D7" w:rsidP="008346D7">
    <w:pPr>
      <w:pStyle w:val="Footer"/>
      <w:rPr>
        <w:rFonts w:ascii="Arial" w:hAnsi="Arial" w:cs="Arial"/>
        <w:b/>
        <w:sz w:val="48"/>
      </w:rPr>
    </w:pPr>
    <w:r w:rsidRPr="008346D7">
      <w:rPr>
        <w:rFonts w:ascii="Arial" w:hAnsi="Arial" w:cs="Arial"/>
        <w:b/>
        <w:sz w:val="48"/>
      </w:rPr>
      <w:t>EN</w:t>
    </w:r>
    <w:r w:rsidRPr="008346D7">
      <w:rPr>
        <w:rFonts w:ascii="Arial" w:hAnsi="Arial" w:cs="Arial"/>
        <w:b/>
        <w:sz w:val="48"/>
      </w:rPr>
      <w:tab/>
    </w:r>
    <w:r w:rsidRPr="008346D7">
      <w:rPr>
        <w:rFonts w:ascii="Arial" w:hAnsi="Arial" w:cs="Arial"/>
        <w:b/>
        <w:sz w:val="48"/>
      </w:rPr>
      <w:tab/>
    </w:r>
    <w:r w:rsidRPr="008346D7">
      <w:tab/>
    </w:r>
    <w:r w:rsidRPr="008346D7">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F721" w14:textId="77777777" w:rsidR="00B53EF2" w:rsidRPr="008346D7" w:rsidRDefault="00B53EF2" w:rsidP="008346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29FF" w14:textId="77777777" w:rsidR="00B979C5" w:rsidRPr="00FC0233" w:rsidRDefault="00B979C5" w:rsidP="00FC0233">
    <w:pPr>
      <w:pStyle w:val="Footer"/>
      <w:rPr>
        <w:rFonts w:ascii="Arial" w:hAnsi="Arial" w:cs="Arial"/>
        <w:b/>
        <w:sz w:val="48"/>
      </w:rPr>
    </w:pPr>
    <w:r w:rsidRPr="00FC0233">
      <w:rPr>
        <w:rFonts w:ascii="Arial" w:hAnsi="Arial" w:cs="Arial"/>
        <w:b/>
        <w:sz w:val="48"/>
      </w:rPr>
      <w:t>EN</w:t>
    </w:r>
    <w:r w:rsidRPr="00FC0233">
      <w:rPr>
        <w:rFonts w:ascii="Arial" w:hAnsi="Arial" w:cs="Arial"/>
        <w:b/>
        <w:sz w:val="48"/>
      </w:rPr>
      <w:tab/>
    </w:r>
    <w:r w:rsidRPr="00FC0233">
      <w:rPr>
        <w:rFonts w:ascii="Arial" w:hAnsi="Arial" w:cs="Arial"/>
        <w:b/>
        <w:sz w:val="48"/>
      </w:rPr>
      <w:tab/>
    </w:r>
    <w:r w:rsidRPr="00FC0233">
      <w:tab/>
    </w:r>
    <w:r w:rsidRPr="00FC0233">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D5C4" w14:textId="1A585C19" w:rsidR="008346D7" w:rsidRPr="008346D7" w:rsidRDefault="008346D7" w:rsidP="008346D7">
    <w:pPr>
      <w:pStyle w:val="Footer"/>
      <w:rPr>
        <w:rFonts w:ascii="Arial" w:hAnsi="Arial" w:cs="Arial"/>
        <w:b/>
        <w:sz w:val="48"/>
      </w:rPr>
    </w:pPr>
    <w:r w:rsidRPr="008346D7">
      <w:rPr>
        <w:rFonts w:ascii="Arial" w:hAnsi="Arial" w:cs="Arial"/>
        <w:b/>
        <w:sz w:val="48"/>
      </w:rPr>
      <w:t>EN</w:t>
    </w:r>
    <w:r w:rsidRPr="008346D7">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8346D7">
      <w:tab/>
    </w:r>
    <w:r w:rsidRPr="008346D7">
      <w:rPr>
        <w:rFonts w:ascii="Arial" w:hAnsi="Arial" w:cs="Arial"/>
        <w:b/>
        <w:sz w:val="48"/>
      </w:rPr>
      <w:t>EN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4AC3" w14:textId="77777777" w:rsidR="002D49DF" w:rsidRPr="002D49DF" w:rsidRDefault="002D49DF" w:rsidP="00834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8DD84" w14:textId="7DE5D594" w:rsidR="00097599" w:rsidRDefault="0078436B" w:rsidP="00C518AF">
      <w:pPr>
        <w:spacing w:before="0" w:after="0"/>
      </w:pPr>
      <w:r>
        <w:rPr>
          <w:noProof/>
        </w:rPr>
        <w:pict w14:anchorId="753F8F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3.75pt;height:1.5pt;z-index:251659264">
            <v:fill r:id="rId1" o:title=""/>
            <v:stroke r:id="rId1" o:title=""/>
            <v:shadow color="#868686"/>
            <v:textpath style="font-family:&quot;Arial&quot;;font-size:1pt;v-text-kern:t" trim="t" fitpath="t" string="DRAFT"/>
          </v:shape>
        </w:pict>
      </w:r>
      <w:r w:rsidR="00097599">
        <w:separator/>
      </w:r>
    </w:p>
  </w:footnote>
  <w:footnote w:type="continuationSeparator" w:id="0">
    <w:p w14:paraId="4B632FE6" w14:textId="77777777" w:rsidR="00097599" w:rsidRDefault="00097599" w:rsidP="00C518AF">
      <w:pPr>
        <w:spacing w:before="0" w:after="0"/>
      </w:pPr>
      <w:r>
        <w:continuationSeparator/>
      </w:r>
    </w:p>
  </w:footnote>
  <w:footnote w:type="continuationNotice" w:id="1">
    <w:p w14:paraId="7D7501E5" w14:textId="77777777" w:rsidR="00097599" w:rsidRDefault="00097599">
      <w:pPr>
        <w:spacing w:before="0" w:after="0"/>
      </w:pPr>
    </w:p>
  </w:footnote>
  <w:footnote w:id="2">
    <w:p w14:paraId="5C503349" w14:textId="77777777" w:rsidR="002D49DF" w:rsidRPr="00245182" w:rsidRDefault="002D49DF" w:rsidP="002D49DF">
      <w:pPr>
        <w:pStyle w:val="FootnoteText"/>
        <w:rPr>
          <w:lang w:val="it-IT"/>
        </w:rPr>
      </w:pPr>
      <w:r>
        <w:rPr>
          <w:rStyle w:val="FootnoteReference"/>
        </w:rPr>
        <w:footnoteRef/>
      </w:r>
      <w:r w:rsidRPr="000E2375">
        <w:rPr>
          <w:lang w:val="fi-FI"/>
        </w:rPr>
        <w:tab/>
        <w:t>OJ L 325, 16.12.2019, p. 1</w:t>
      </w:r>
      <w:r w:rsidR="00C21B7D" w:rsidRPr="000E2375">
        <w:rPr>
          <w:lang w:val="fi-FI"/>
        </w:rPr>
        <w:t xml:space="preserve">, ELI: </w:t>
      </w:r>
      <w:hyperlink r:id="rId2" w:history="1">
        <w:r w:rsidR="00687A8C" w:rsidRPr="00245182">
          <w:rPr>
            <w:rStyle w:val="Hyperlink"/>
            <w:lang w:val="it-IT"/>
          </w:rPr>
          <w:t>http://data.europa.eu/eli/reg/2019/2144/oj</w:t>
        </w:r>
      </w:hyperlink>
      <w:r w:rsidRPr="00245182">
        <w:rPr>
          <w:lang w:val="it-IT"/>
        </w:rPr>
        <w:t xml:space="preserve">. </w:t>
      </w:r>
    </w:p>
  </w:footnote>
  <w:footnote w:id="3">
    <w:p w14:paraId="0BCC5841" w14:textId="142DB5D3" w:rsidR="004E5BF8" w:rsidRPr="000E2375" w:rsidRDefault="004E5BF8" w:rsidP="004E5BF8">
      <w:pPr>
        <w:pStyle w:val="FootnoteText"/>
        <w:rPr>
          <w:lang w:val="en-IE"/>
        </w:rPr>
      </w:pPr>
      <w:r w:rsidRPr="00BC6E67">
        <w:rPr>
          <w:rStyle w:val="FootnoteReference"/>
        </w:rPr>
        <w:footnoteRef/>
      </w:r>
      <w:r w:rsidR="00BC6E67">
        <w:tab/>
      </w:r>
      <w:r w:rsidRPr="007B5500">
        <w:t>UN Regulation No 79 – Uniform provisions concerning the approval of vehicles with regard to steering equipment [2025/3]</w:t>
      </w:r>
      <w:r>
        <w:t xml:space="preserve"> (</w:t>
      </w:r>
      <w:r w:rsidRPr="007B5500">
        <w:t>OJ L</w:t>
      </w:r>
      <w:r>
        <w:t xml:space="preserve"> </w:t>
      </w:r>
      <w:r w:rsidRPr="007B5500">
        <w:t>2025/3</w:t>
      </w:r>
      <w:r>
        <w:t xml:space="preserve">, </w:t>
      </w:r>
      <w:r w:rsidRPr="007B5500">
        <w:t>10.1.2025</w:t>
      </w:r>
      <w:r>
        <w:t xml:space="preserve">, ELI: </w:t>
      </w:r>
      <w:hyperlink r:id="rId3" w:history="1">
        <w:r w:rsidRPr="001F382C">
          <w:rPr>
            <w:rStyle w:val="Hyperlink"/>
          </w:rPr>
          <w:t>https://eur-lex.europa.eu/eli/reg/2025/3/oj</w:t>
        </w:r>
      </w:hyperlink>
      <w:r>
        <w:rPr>
          <w:lang w:val="en-IE"/>
        </w:rPr>
        <w:t xml:space="preserve">). </w:t>
      </w:r>
    </w:p>
  </w:footnote>
  <w:footnote w:id="4">
    <w:p w14:paraId="39627C32" w14:textId="32934B5D" w:rsidR="004E5BF8" w:rsidRPr="00F71BD6" w:rsidRDefault="004E5BF8" w:rsidP="004E5BF8">
      <w:pPr>
        <w:pStyle w:val="FootnoteText"/>
        <w:rPr>
          <w:lang w:val="en-IE"/>
        </w:rPr>
      </w:pPr>
      <w:r w:rsidRPr="00BC6E67">
        <w:rPr>
          <w:rStyle w:val="FootnoteReference"/>
        </w:rPr>
        <w:footnoteRef/>
      </w:r>
      <w:r w:rsidR="00BC6E67">
        <w:tab/>
      </w:r>
      <w:r w:rsidRPr="00F71BD6">
        <w:rPr>
          <w:lang w:val="en-IE"/>
        </w:rPr>
        <w:t xml:space="preserve">UN Regulation No 13-H – Uniform provisions concerning the approval of passenger cars with </w:t>
      </w:r>
    </w:p>
    <w:p w14:paraId="1243680D" w14:textId="77777777" w:rsidR="004E5BF8" w:rsidRPr="003F0F19" w:rsidRDefault="004E5BF8" w:rsidP="004E5BF8">
      <w:pPr>
        <w:pStyle w:val="FootnoteText"/>
        <w:ind w:firstLine="0"/>
        <w:rPr>
          <w:lang w:val="en-IE"/>
        </w:rPr>
      </w:pPr>
      <w:r w:rsidRPr="00F71BD6">
        <w:rPr>
          <w:lang w:val="en-IE"/>
        </w:rPr>
        <w:t>regard to braking [2023/401] (OJ L</w:t>
      </w:r>
      <w:r>
        <w:rPr>
          <w:lang w:val="en-IE"/>
        </w:rPr>
        <w:t xml:space="preserve"> 60, 24.2.2023, p. 1, ELI: </w:t>
      </w:r>
      <w:r w:rsidRPr="00B963A7">
        <w:rPr>
          <w:lang w:val="en-IE"/>
        </w:rPr>
        <w:t>http://data.europa.eu/eli/reg/2023/401/oj</w:t>
      </w:r>
      <w:r>
        <w:rPr>
          <w:lang w:val="en-I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7EA2" w14:textId="0D629AC8" w:rsidR="00B53EF2" w:rsidRPr="008346D7" w:rsidRDefault="00B53EF2" w:rsidP="00834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770367"/>
      <w:lock w:val="sdtContentLocked"/>
      <w:placeholder>
        <w:docPart w:val="DefaultPlaceholder_-1854013440"/>
      </w:placeholder>
      <w:group/>
    </w:sdtPr>
    <w:sdtEndPr/>
    <w:sdtContent>
      <w:p w14:paraId="3C41900B" w14:textId="01695946" w:rsidR="00B53EF2" w:rsidRPr="008346D7" w:rsidRDefault="0078436B" w:rsidP="008346D7">
        <w:pPr>
          <w:pStyle w:val="Header"/>
        </w:pPr>
        <w:r>
          <w:rPr>
            <w:noProof/>
          </w:rPr>
          <w:pict w14:anchorId="29A01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Draft_LW" o:spid="_x0000_s1027" type="#_x0000_t136" style="position:absolute;left:0;text-align:left;margin-left:0;margin-top:0;width:402.5pt;height:175.75pt;rotation:315;z-index:251658240;mso-position-horizontal:center;mso-position-horizontal-relative:margin;mso-position-vertical:center;mso-position-vertical-relative:margin" fillcolor="silver" stroked="f">
              <v:fill opacity=".5"/>
              <v:stroke r:id="rId1" o:title=""/>
              <v:shadow color="#868686"/>
              <v:textpath style="font-family:&quot;Arial&quot;;font-size:1pt;v-text-kern:t" trim="t" fitpath="t" string="DRAFT"/>
              <o:lock v:ext="edit" aspectratio="t"/>
              <w10:wrap side="largest"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6602" w14:textId="77777777" w:rsidR="00B53EF2" w:rsidRPr="008346D7" w:rsidRDefault="00B53EF2" w:rsidP="008346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6011" w14:textId="77777777" w:rsidR="00B979C5" w:rsidRDefault="00B979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6167" w14:textId="77777777" w:rsidR="00B979C5" w:rsidRDefault="00B97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82809AA"/>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BAF6DF0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DA6619C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063A4BB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D06C4052"/>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21C338A"/>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526D67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47C1E8A"/>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6"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7"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8"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9"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0"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1"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3"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951981782">
    <w:abstractNumId w:val="23"/>
    <w:lvlOverride w:ilvl="0">
      <w:startOverride w:val="1"/>
    </w:lvlOverride>
  </w:num>
  <w:num w:numId="2" w16cid:durableId="1107391775">
    <w:abstractNumId w:val="7"/>
  </w:num>
  <w:num w:numId="3" w16cid:durableId="580286963">
    <w:abstractNumId w:val="5"/>
  </w:num>
  <w:num w:numId="4" w16cid:durableId="1377464513">
    <w:abstractNumId w:val="4"/>
  </w:num>
  <w:num w:numId="5" w16cid:durableId="1855411842">
    <w:abstractNumId w:val="3"/>
  </w:num>
  <w:num w:numId="6" w16cid:durableId="62678100">
    <w:abstractNumId w:val="12"/>
  </w:num>
  <w:num w:numId="7" w16cid:durableId="1365212792">
    <w:abstractNumId w:val="6"/>
  </w:num>
  <w:num w:numId="8" w16cid:durableId="285821233">
    <w:abstractNumId w:val="2"/>
  </w:num>
  <w:num w:numId="9" w16cid:durableId="943728296">
    <w:abstractNumId w:val="1"/>
  </w:num>
  <w:num w:numId="10" w16cid:durableId="525799663">
    <w:abstractNumId w:val="0"/>
  </w:num>
  <w:num w:numId="11" w16cid:durableId="2002003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9693441">
    <w:abstractNumId w:val="20"/>
  </w:num>
  <w:num w:numId="13" w16cid:durableId="1693998065">
    <w:abstractNumId w:val="13"/>
  </w:num>
  <w:num w:numId="14" w16cid:durableId="788817884">
    <w:abstractNumId w:val="22"/>
  </w:num>
  <w:num w:numId="15" w16cid:durableId="1535464848">
    <w:abstractNumId w:val="11"/>
  </w:num>
  <w:num w:numId="16" w16cid:durableId="639657071">
    <w:abstractNumId w:val="14"/>
  </w:num>
  <w:num w:numId="17" w16cid:durableId="361050661">
    <w:abstractNumId w:val="15"/>
  </w:num>
  <w:num w:numId="18" w16cid:durableId="472790552">
    <w:abstractNumId w:val="9"/>
  </w:num>
  <w:num w:numId="19" w16cid:durableId="384646725">
    <w:abstractNumId w:val="21"/>
  </w:num>
  <w:num w:numId="20" w16cid:durableId="2031682509">
    <w:abstractNumId w:val="8"/>
  </w:num>
  <w:num w:numId="21" w16cid:durableId="150604668">
    <w:abstractNumId w:val="16"/>
  </w:num>
  <w:num w:numId="22" w16cid:durableId="472332852">
    <w:abstractNumId w:val="18"/>
  </w:num>
  <w:num w:numId="23" w16cid:durableId="1298296966">
    <w:abstractNumId w:val="19"/>
  </w:num>
  <w:num w:numId="24" w16cid:durableId="1306230484">
    <w:abstractNumId w:val="10"/>
  </w:num>
  <w:num w:numId="25" w16cid:durableId="24066917">
    <w:abstractNumId w:val="17"/>
  </w:num>
  <w:num w:numId="26" w16cid:durableId="485436588">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fi-FI" w:vendorID="64" w:dllVersion="6" w:nlCheck="1" w:checkStyle="0"/>
  <w:activeWritingStyle w:appName="MSWord" w:lang="en-IE" w:vendorID="64" w:dllVersion="6" w:nlCheck="1" w:checkStyle="1"/>
  <w:activeWritingStyle w:appName="MSWord" w:lang="en-GB" w:vendorID="64" w:dllVersion="6" w:nlCheck="1" w:checkStyle="1"/>
  <w:activeWritingStyle w:appName="MSWord" w:lang="en-GB" w:vendorID="64" w:dllVersion="0" w:nlCheck="1" w:checkStyle="0"/>
  <w:activeWritingStyle w:appName="MSWord" w:lang="fi-FI" w:vendorID="64" w:dllVersion="0" w:nlCheck="1" w:checkStyle="0"/>
  <w:activeWritingStyle w:appName="MSWord" w:lang="en-IE" w:vendorID="64" w:dllVersion="0" w:nlCheck="1" w:checkStyle="0"/>
  <w:attachedTemplate r:id="rId1"/>
  <w:defaultTabStop w:val="720"/>
  <w:hyphenationZone w:val="425"/>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_RefLast" w:val="0"/>
    <w:docVar w:name="DQCDateTime" w:val="2025-11-24 13:42:55"/>
    <w:docVar w:name="DQCResult_Distribution" w:val="0;0"/>
    <w:docVar w:name="DQCResult_DocumentContent" w:val="0;0"/>
    <w:docVar w:name="DQCResult_DocumentSize" w:val="0;0"/>
    <w:docVar w:name="DQCResult_InvalidFootnotes" w:val="0;0"/>
    <w:docVar w:name="DQCResult_ModifiedMarkers" w:val="0;0"/>
    <w:docVar w:name="DQCResult_ModifiedNumbering" w:val="0;0"/>
    <w:docVar w:name="DQCResult_Objects" w:val="0;0"/>
    <w:docVar w:name="DQCResult_StructureCheck" w:val="0;0"/>
    <w:docVar w:name="DQCStatus" w:val="Green"/>
    <w:docVar w:name="DQCVersion" w:val="3"/>
    <w:docVar w:name="DQCWithWarnings" w:val="0"/>
    <w:docVar w:name="LW_CORRIGENDUM" w:val="&lt;UNUSED&gt;"/>
    <w:docVar w:name="LW_COVERPAGE_EXISTS" w:val="True"/>
    <w:docVar w:name="LW_COVERPAGE_GUID" w:val="D9FBBDF9-9E62-4835-B1CA-19C789B3FA03"/>
    <w:docVar w:name="LW_COVERPAGE_TYPE" w:val="2"/>
    <w:docVar w:name="LW_CROSSREFERENCE" w:val="&lt;UNUSED&gt;"/>
    <w:docVar w:name="LW_DATE.ADOPT.CP" w:val="of XXX"/>
    <w:docVar w:name="LW_DATE.ADOPT.CP_DATEFORMAT" w:val="of %DATE%"/>
    <w:docVar w:name="LW_DATE.ADOPT.CP_ISODATE" w:val="&lt;EMPTY&gt;"/>
    <w:docVar w:name="LW_DocType" w:val="COM"/>
    <w:docVar w:name="LW_EMISSION" w:val="&lt;EMPTY&gt;"/>
    <w:docVar w:name="LW_EMISSION_ISODATE" w:val="&lt;EMPTY&gt;"/>
    <w:docVar w:name="LW_EMISSION_LOCATION" w:val="BRX"/>
    <w:docVar w:name="LW_EMISSION_PREFIX" w:val="Brussels, "/>
    <w:docVar w:name="LW_EMISSION_SUFFIX" w:val=" "/>
    <w:docVar w:name="LW_ID_DOCMODEL" w:val="SJ-004"/>
    <w:docVar w:name="LW_ID_DOCSIGNATURE" w:val="SJ-004"/>
    <w:docVar w:name="LW_ID_DOCSTRUCTURE" w:val="COM/AA"/>
    <w:docVar w:name="LW_ID_DOCTYPE" w:val="SJ-004"/>
    <w:docVar w:name="LW_INTERETEEE.CP" w:val="(Text with EEA relevance)"/>
    <w:docVar w:name="LW_LANGUE" w:val="EN"/>
    <w:docVar w:name="LW_LANGUESFAISANTFOI.CP" w:val="&lt;UNUSED&gt;"/>
    <w:docVar w:name="LW_LEVEL_OF_SENSITIVITY" w:val="Standard treatment"/>
    <w:docVar w:name="LW_NOM.INST" w:val="EUROPEAN COMMISSION"/>
    <w:docVar w:name="LW_NOM.INST_JOINTDOC" w:val="&lt;EMPTY&gt;"/>
    <w:docVar w:name="LW_PART_NBR" w:val="1"/>
    <w:docVar w:name="LW_PART_NBR_TOTAL" w:val="1"/>
    <w:docVar w:name="LW_REF.INST.NEW" w:val="&lt;EMPTY&gt;"/>
    <w:docVar w:name="LW_REF.INST.NEW_ADOPTED" w:val="draft"/>
    <w:docVar w:name="LW_REF.INST.NEW_TEXT" w:val="(2025) XXX"/>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amending Implementing Regulation (EU) 2022/1426 laying down rules for the application of Regulation (EU) 2019/2144 of the European Parliament and of the Council as regards uniform procedures and technical specifications for the type-approval of the automated driving system of fully automated vehicles"/>
    <w:docVar w:name="LW_TYPE.DOC.CP" w:val="COMMISSION IMPLEMENTING REGULATION (EU) \u8230?/..."/>
  </w:docVars>
  <w:rsids>
    <w:rsidRoot w:val="00C518AF"/>
    <w:rsid w:val="000006AC"/>
    <w:rsid w:val="0000091C"/>
    <w:rsid w:val="00000EAB"/>
    <w:rsid w:val="00003ADC"/>
    <w:rsid w:val="00004B2B"/>
    <w:rsid w:val="00005420"/>
    <w:rsid w:val="000063BC"/>
    <w:rsid w:val="00006E58"/>
    <w:rsid w:val="000076E7"/>
    <w:rsid w:val="00010385"/>
    <w:rsid w:val="000159CA"/>
    <w:rsid w:val="000161D6"/>
    <w:rsid w:val="000169D1"/>
    <w:rsid w:val="000216CF"/>
    <w:rsid w:val="00021B0E"/>
    <w:rsid w:val="00021DBA"/>
    <w:rsid w:val="00022030"/>
    <w:rsid w:val="00022DCD"/>
    <w:rsid w:val="00026CC9"/>
    <w:rsid w:val="00027223"/>
    <w:rsid w:val="000276DE"/>
    <w:rsid w:val="00027798"/>
    <w:rsid w:val="0003100B"/>
    <w:rsid w:val="000320A0"/>
    <w:rsid w:val="00032F35"/>
    <w:rsid w:val="000333F7"/>
    <w:rsid w:val="00034295"/>
    <w:rsid w:val="00034E46"/>
    <w:rsid w:val="000375CF"/>
    <w:rsid w:val="000440C0"/>
    <w:rsid w:val="00047B8E"/>
    <w:rsid w:val="00047E6A"/>
    <w:rsid w:val="0005175B"/>
    <w:rsid w:val="0005177E"/>
    <w:rsid w:val="00051C86"/>
    <w:rsid w:val="00053A09"/>
    <w:rsid w:val="0005641C"/>
    <w:rsid w:val="00057CFD"/>
    <w:rsid w:val="00057D78"/>
    <w:rsid w:val="00060BFB"/>
    <w:rsid w:val="00060DBF"/>
    <w:rsid w:val="00060E17"/>
    <w:rsid w:val="00061012"/>
    <w:rsid w:val="00067369"/>
    <w:rsid w:val="000674E3"/>
    <w:rsid w:val="0006767A"/>
    <w:rsid w:val="0007382B"/>
    <w:rsid w:val="00077795"/>
    <w:rsid w:val="0008028C"/>
    <w:rsid w:val="0008075B"/>
    <w:rsid w:val="00081C63"/>
    <w:rsid w:val="00083B90"/>
    <w:rsid w:val="00084370"/>
    <w:rsid w:val="000859FB"/>
    <w:rsid w:val="0008642A"/>
    <w:rsid w:val="00086747"/>
    <w:rsid w:val="00087187"/>
    <w:rsid w:val="00087E18"/>
    <w:rsid w:val="0009007D"/>
    <w:rsid w:val="00093A15"/>
    <w:rsid w:val="00097599"/>
    <w:rsid w:val="000A517E"/>
    <w:rsid w:val="000A7084"/>
    <w:rsid w:val="000A7517"/>
    <w:rsid w:val="000B081B"/>
    <w:rsid w:val="000B093F"/>
    <w:rsid w:val="000B7F10"/>
    <w:rsid w:val="000C2540"/>
    <w:rsid w:val="000C2F3D"/>
    <w:rsid w:val="000C30B7"/>
    <w:rsid w:val="000C3B3E"/>
    <w:rsid w:val="000C5BE5"/>
    <w:rsid w:val="000C759E"/>
    <w:rsid w:val="000D1F22"/>
    <w:rsid w:val="000D2B55"/>
    <w:rsid w:val="000D305B"/>
    <w:rsid w:val="000D30CA"/>
    <w:rsid w:val="000E01E7"/>
    <w:rsid w:val="000E0CF2"/>
    <w:rsid w:val="000E14E3"/>
    <w:rsid w:val="000E198E"/>
    <w:rsid w:val="000E1C30"/>
    <w:rsid w:val="000E2375"/>
    <w:rsid w:val="000E2737"/>
    <w:rsid w:val="000E2C84"/>
    <w:rsid w:val="000F0E9E"/>
    <w:rsid w:val="000F1309"/>
    <w:rsid w:val="000F2FFE"/>
    <w:rsid w:val="000F75D6"/>
    <w:rsid w:val="000F7738"/>
    <w:rsid w:val="000F7AF0"/>
    <w:rsid w:val="001003F9"/>
    <w:rsid w:val="00102405"/>
    <w:rsid w:val="00104022"/>
    <w:rsid w:val="00105780"/>
    <w:rsid w:val="001064CD"/>
    <w:rsid w:val="00107980"/>
    <w:rsid w:val="0011041B"/>
    <w:rsid w:val="0012286F"/>
    <w:rsid w:val="00123866"/>
    <w:rsid w:val="001272CA"/>
    <w:rsid w:val="00127BD3"/>
    <w:rsid w:val="001310D2"/>
    <w:rsid w:val="00131B28"/>
    <w:rsid w:val="00131B71"/>
    <w:rsid w:val="00131FEC"/>
    <w:rsid w:val="001335F9"/>
    <w:rsid w:val="00143E24"/>
    <w:rsid w:val="001442CA"/>
    <w:rsid w:val="001472E9"/>
    <w:rsid w:val="001504DB"/>
    <w:rsid w:val="001511B2"/>
    <w:rsid w:val="001514D5"/>
    <w:rsid w:val="00152AA8"/>
    <w:rsid w:val="00153715"/>
    <w:rsid w:val="00155980"/>
    <w:rsid w:val="00156A81"/>
    <w:rsid w:val="00157461"/>
    <w:rsid w:val="00160525"/>
    <w:rsid w:val="0016069A"/>
    <w:rsid w:val="00160700"/>
    <w:rsid w:val="00160ADF"/>
    <w:rsid w:val="00163168"/>
    <w:rsid w:val="001648FE"/>
    <w:rsid w:val="0016751F"/>
    <w:rsid w:val="00170171"/>
    <w:rsid w:val="00170D16"/>
    <w:rsid w:val="0017562B"/>
    <w:rsid w:val="00177733"/>
    <w:rsid w:val="00180A89"/>
    <w:rsid w:val="00182793"/>
    <w:rsid w:val="00182A5B"/>
    <w:rsid w:val="00184EE9"/>
    <w:rsid w:val="00186EA8"/>
    <w:rsid w:val="0019042C"/>
    <w:rsid w:val="00191C59"/>
    <w:rsid w:val="00192D97"/>
    <w:rsid w:val="00194C12"/>
    <w:rsid w:val="00194CFF"/>
    <w:rsid w:val="00195717"/>
    <w:rsid w:val="001A24F8"/>
    <w:rsid w:val="001B2462"/>
    <w:rsid w:val="001B36A0"/>
    <w:rsid w:val="001B3CC0"/>
    <w:rsid w:val="001B5772"/>
    <w:rsid w:val="001B5C6F"/>
    <w:rsid w:val="001C188A"/>
    <w:rsid w:val="001C2816"/>
    <w:rsid w:val="001C39AF"/>
    <w:rsid w:val="001C59ED"/>
    <w:rsid w:val="001C5FD6"/>
    <w:rsid w:val="001D1359"/>
    <w:rsid w:val="001D3BFA"/>
    <w:rsid w:val="001D45BD"/>
    <w:rsid w:val="001D52E7"/>
    <w:rsid w:val="001D6E38"/>
    <w:rsid w:val="001D77CA"/>
    <w:rsid w:val="001E17E5"/>
    <w:rsid w:val="001E41E9"/>
    <w:rsid w:val="001E7010"/>
    <w:rsid w:val="001E7B1E"/>
    <w:rsid w:val="001F1915"/>
    <w:rsid w:val="001F4A3A"/>
    <w:rsid w:val="00200096"/>
    <w:rsid w:val="002003AB"/>
    <w:rsid w:val="002019C0"/>
    <w:rsid w:val="002021EC"/>
    <w:rsid w:val="00203B7C"/>
    <w:rsid w:val="002052C6"/>
    <w:rsid w:val="00206397"/>
    <w:rsid w:val="00206743"/>
    <w:rsid w:val="002074BC"/>
    <w:rsid w:val="00211F6C"/>
    <w:rsid w:val="00211F70"/>
    <w:rsid w:val="0021442F"/>
    <w:rsid w:val="00216F31"/>
    <w:rsid w:val="00221D3C"/>
    <w:rsid w:val="002239B0"/>
    <w:rsid w:val="00225BD6"/>
    <w:rsid w:val="00225CF9"/>
    <w:rsid w:val="00225D5E"/>
    <w:rsid w:val="002275E4"/>
    <w:rsid w:val="00230D7C"/>
    <w:rsid w:val="00232E98"/>
    <w:rsid w:val="002438D9"/>
    <w:rsid w:val="00243961"/>
    <w:rsid w:val="00245182"/>
    <w:rsid w:val="002477C5"/>
    <w:rsid w:val="002505AC"/>
    <w:rsid w:val="00250ABF"/>
    <w:rsid w:val="002523A3"/>
    <w:rsid w:val="00254003"/>
    <w:rsid w:val="0025447E"/>
    <w:rsid w:val="00254CAD"/>
    <w:rsid w:val="0025585A"/>
    <w:rsid w:val="00256955"/>
    <w:rsid w:val="0026236E"/>
    <w:rsid w:val="00263210"/>
    <w:rsid w:val="00263F0B"/>
    <w:rsid w:val="002642D9"/>
    <w:rsid w:val="002658C0"/>
    <w:rsid w:val="00267A74"/>
    <w:rsid w:val="00270BD3"/>
    <w:rsid w:val="0027209F"/>
    <w:rsid w:val="00272216"/>
    <w:rsid w:val="002749AB"/>
    <w:rsid w:val="00274F70"/>
    <w:rsid w:val="00277FB7"/>
    <w:rsid w:val="00280BF2"/>
    <w:rsid w:val="002822F0"/>
    <w:rsid w:val="00284DE0"/>
    <w:rsid w:val="00287D21"/>
    <w:rsid w:val="00290561"/>
    <w:rsid w:val="00291424"/>
    <w:rsid w:val="00294A9E"/>
    <w:rsid w:val="00295DF0"/>
    <w:rsid w:val="002A05C3"/>
    <w:rsid w:val="002A5C9D"/>
    <w:rsid w:val="002A6C12"/>
    <w:rsid w:val="002B0966"/>
    <w:rsid w:val="002B5AC0"/>
    <w:rsid w:val="002B7303"/>
    <w:rsid w:val="002C1AFF"/>
    <w:rsid w:val="002C1C5D"/>
    <w:rsid w:val="002C4E76"/>
    <w:rsid w:val="002C650C"/>
    <w:rsid w:val="002D25CD"/>
    <w:rsid w:val="002D32CC"/>
    <w:rsid w:val="002D49DF"/>
    <w:rsid w:val="002D5F4D"/>
    <w:rsid w:val="002E06A1"/>
    <w:rsid w:val="002E0D43"/>
    <w:rsid w:val="002E172A"/>
    <w:rsid w:val="002E2BCA"/>
    <w:rsid w:val="002E337B"/>
    <w:rsid w:val="002E357F"/>
    <w:rsid w:val="002F0054"/>
    <w:rsid w:val="002F0292"/>
    <w:rsid w:val="002F1349"/>
    <w:rsid w:val="002F151B"/>
    <w:rsid w:val="002F3C4B"/>
    <w:rsid w:val="00300257"/>
    <w:rsid w:val="00300477"/>
    <w:rsid w:val="0030334B"/>
    <w:rsid w:val="0030350E"/>
    <w:rsid w:val="0030388D"/>
    <w:rsid w:val="003048FB"/>
    <w:rsid w:val="00305613"/>
    <w:rsid w:val="00305A51"/>
    <w:rsid w:val="00307D5E"/>
    <w:rsid w:val="00313A68"/>
    <w:rsid w:val="00313FAD"/>
    <w:rsid w:val="00314A3E"/>
    <w:rsid w:val="00320C9E"/>
    <w:rsid w:val="003213B9"/>
    <w:rsid w:val="003240E3"/>
    <w:rsid w:val="003257AA"/>
    <w:rsid w:val="00325E12"/>
    <w:rsid w:val="00327239"/>
    <w:rsid w:val="00327A5F"/>
    <w:rsid w:val="00330ACC"/>
    <w:rsid w:val="00330CB0"/>
    <w:rsid w:val="00330FB5"/>
    <w:rsid w:val="0033156C"/>
    <w:rsid w:val="003333B8"/>
    <w:rsid w:val="003333F7"/>
    <w:rsid w:val="00333D84"/>
    <w:rsid w:val="003344E6"/>
    <w:rsid w:val="00335D13"/>
    <w:rsid w:val="00337A53"/>
    <w:rsid w:val="00337D1E"/>
    <w:rsid w:val="0034020B"/>
    <w:rsid w:val="00342EEA"/>
    <w:rsid w:val="00346561"/>
    <w:rsid w:val="00350A30"/>
    <w:rsid w:val="00350B29"/>
    <w:rsid w:val="00351276"/>
    <w:rsid w:val="003539CB"/>
    <w:rsid w:val="0035420D"/>
    <w:rsid w:val="0035445A"/>
    <w:rsid w:val="00354AD9"/>
    <w:rsid w:val="003556CB"/>
    <w:rsid w:val="00355863"/>
    <w:rsid w:val="003569C6"/>
    <w:rsid w:val="00356F88"/>
    <w:rsid w:val="00360504"/>
    <w:rsid w:val="003621B2"/>
    <w:rsid w:val="00362397"/>
    <w:rsid w:val="0036327E"/>
    <w:rsid w:val="00364541"/>
    <w:rsid w:val="00367855"/>
    <w:rsid w:val="00367969"/>
    <w:rsid w:val="00370783"/>
    <w:rsid w:val="003707ED"/>
    <w:rsid w:val="003728C9"/>
    <w:rsid w:val="00376713"/>
    <w:rsid w:val="00377E9D"/>
    <w:rsid w:val="00381299"/>
    <w:rsid w:val="0038145A"/>
    <w:rsid w:val="00383544"/>
    <w:rsid w:val="00383942"/>
    <w:rsid w:val="0038455B"/>
    <w:rsid w:val="00386116"/>
    <w:rsid w:val="0038682E"/>
    <w:rsid w:val="0038722D"/>
    <w:rsid w:val="0038778B"/>
    <w:rsid w:val="0039088C"/>
    <w:rsid w:val="003908F1"/>
    <w:rsid w:val="003914C2"/>
    <w:rsid w:val="00392221"/>
    <w:rsid w:val="00392B73"/>
    <w:rsid w:val="00394297"/>
    <w:rsid w:val="00394E2D"/>
    <w:rsid w:val="00395227"/>
    <w:rsid w:val="00395662"/>
    <w:rsid w:val="00395E00"/>
    <w:rsid w:val="003965C1"/>
    <w:rsid w:val="00397A2D"/>
    <w:rsid w:val="003A09BB"/>
    <w:rsid w:val="003A0CEB"/>
    <w:rsid w:val="003A2D9C"/>
    <w:rsid w:val="003A3425"/>
    <w:rsid w:val="003A36B1"/>
    <w:rsid w:val="003A3F7A"/>
    <w:rsid w:val="003A799F"/>
    <w:rsid w:val="003B107E"/>
    <w:rsid w:val="003B127D"/>
    <w:rsid w:val="003B1427"/>
    <w:rsid w:val="003B23AE"/>
    <w:rsid w:val="003B4150"/>
    <w:rsid w:val="003B4534"/>
    <w:rsid w:val="003B4B2D"/>
    <w:rsid w:val="003B6FDE"/>
    <w:rsid w:val="003C03BA"/>
    <w:rsid w:val="003C356B"/>
    <w:rsid w:val="003C5866"/>
    <w:rsid w:val="003C7051"/>
    <w:rsid w:val="003C7115"/>
    <w:rsid w:val="003D0A40"/>
    <w:rsid w:val="003D1FD9"/>
    <w:rsid w:val="003D430D"/>
    <w:rsid w:val="003D5BE4"/>
    <w:rsid w:val="003D64B6"/>
    <w:rsid w:val="003D7B7A"/>
    <w:rsid w:val="003E07E0"/>
    <w:rsid w:val="003F0F19"/>
    <w:rsid w:val="003F1FC7"/>
    <w:rsid w:val="003F454F"/>
    <w:rsid w:val="003F68A7"/>
    <w:rsid w:val="00400D4B"/>
    <w:rsid w:val="00403330"/>
    <w:rsid w:val="0040542F"/>
    <w:rsid w:val="00407506"/>
    <w:rsid w:val="00410F45"/>
    <w:rsid w:val="004128DF"/>
    <w:rsid w:val="00413E44"/>
    <w:rsid w:val="00414184"/>
    <w:rsid w:val="004160FA"/>
    <w:rsid w:val="00417EE3"/>
    <w:rsid w:val="00423313"/>
    <w:rsid w:val="0042389F"/>
    <w:rsid w:val="004260A1"/>
    <w:rsid w:val="004268FE"/>
    <w:rsid w:val="004302CE"/>
    <w:rsid w:val="004305A5"/>
    <w:rsid w:val="0043409E"/>
    <w:rsid w:val="00437E52"/>
    <w:rsid w:val="004401BF"/>
    <w:rsid w:val="004412DF"/>
    <w:rsid w:val="00442743"/>
    <w:rsid w:val="00442A0F"/>
    <w:rsid w:val="00443E5B"/>
    <w:rsid w:val="00444748"/>
    <w:rsid w:val="004455F1"/>
    <w:rsid w:val="004500CB"/>
    <w:rsid w:val="0045192B"/>
    <w:rsid w:val="004521E3"/>
    <w:rsid w:val="0045239E"/>
    <w:rsid w:val="00453967"/>
    <w:rsid w:val="00454D08"/>
    <w:rsid w:val="0045543D"/>
    <w:rsid w:val="004564B2"/>
    <w:rsid w:val="00457118"/>
    <w:rsid w:val="004615D9"/>
    <w:rsid w:val="0046196B"/>
    <w:rsid w:val="0046430D"/>
    <w:rsid w:val="00465A91"/>
    <w:rsid w:val="00466B2E"/>
    <w:rsid w:val="00466C0C"/>
    <w:rsid w:val="004708CB"/>
    <w:rsid w:val="004720BE"/>
    <w:rsid w:val="00472657"/>
    <w:rsid w:val="0047295C"/>
    <w:rsid w:val="004732CB"/>
    <w:rsid w:val="004732EC"/>
    <w:rsid w:val="004833B6"/>
    <w:rsid w:val="00483A20"/>
    <w:rsid w:val="00483D8C"/>
    <w:rsid w:val="004854F7"/>
    <w:rsid w:val="004871AA"/>
    <w:rsid w:val="00490335"/>
    <w:rsid w:val="00490C78"/>
    <w:rsid w:val="004972AD"/>
    <w:rsid w:val="004A170A"/>
    <w:rsid w:val="004A1E7A"/>
    <w:rsid w:val="004A37F7"/>
    <w:rsid w:val="004A426F"/>
    <w:rsid w:val="004A6244"/>
    <w:rsid w:val="004A7E76"/>
    <w:rsid w:val="004B00F3"/>
    <w:rsid w:val="004B1088"/>
    <w:rsid w:val="004B2BD7"/>
    <w:rsid w:val="004B2D96"/>
    <w:rsid w:val="004B5021"/>
    <w:rsid w:val="004B50FA"/>
    <w:rsid w:val="004B55AC"/>
    <w:rsid w:val="004B56C0"/>
    <w:rsid w:val="004B6093"/>
    <w:rsid w:val="004B6951"/>
    <w:rsid w:val="004B722A"/>
    <w:rsid w:val="004B7A51"/>
    <w:rsid w:val="004C263D"/>
    <w:rsid w:val="004C2C04"/>
    <w:rsid w:val="004C35EB"/>
    <w:rsid w:val="004C684C"/>
    <w:rsid w:val="004C7896"/>
    <w:rsid w:val="004C7F65"/>
    <w:rsid w:val="004D1497"/>
    <w:rsid w:val="004D4462"/>
    <w:rsid w:val="004D5672"/>
    <w:rsid w:val="004D605A"/>
    <w:rsid w:val="004D6E22"/>
    <w:rsid w:val="004E1A3B"/>
    <w:rsid w:val="004E29AB"/>
    <w:rsid w:val="004E37F2"/>
    <w:rsid w:val="004E4201"/>
    <w:rsid w:val="004E55FF"/>
    <w:rsid w:val="004E5BF8"/>
    <w:rsid w:val="004E7B61"/>
    <w:rsid w:val="004F0F9F"/>
    <w:rsid w:val="004F11C5"/>
    <w:rsid w:val="004F3247"/>
    <w:rsid w:val="004F3A21"/>
    <w:rsid w:val="004F4C7B"/>
    <w:rsid w:val="004F63EC"/>
    <w:rsid w:val="004F7BB9"/>
    <w:rsid w:val="0050069C"/>
    <w:rsid w:val="005007F5"/>
    <w:rsid w:val="00501C83"/>
    <w:rsid w:val="005025B4"/>
    <w:rsid w:val="005033B0"/>
    <w:rsid w:val="00505237"/>
    <w:rsid w:val="0050560E"/>
    <w:rsid w:val="00505FFF"/>
    <w:rsid w:val="005103DB"/>
    <w:rsid w:val="00510D82"/>
    <w:rsid w:val="00513948"/>
    <w:rsid w:val="00514110"/>
    <w:rsid w:val="00516F1A"/>
    <w:rsid w:val="00517B3A"/>
    <w:rsid w:val="00522754"/>
    <w:rsid w:val="00522DA5"/>
    <w:rsid w:val="00523898"/>
    <w:rsid w:val="00524B63"/>
    <w:rsid w:val="00524C69"/>
    <w:rsid w:val="00525A3D"/>
    <w:rsid w:val="005264AB"/>
    <w:rsid w:val="005272CA"/>
    <w:rsid w:val="00530CE3"/>
    <w:rsid w:val="005331EC"/>
    <w:rsid w:val="00533DA6"/>
    <w:rsid w:val="00534800"/>
    <w:rsid w:val="0053580F"/>
    <w:rsid w:val="0053597F"/>
    <w:rsid w:val="00535BBD"/>
    <w:rsid w:val="00535E51"/>
    <w:rsid w:val="00537097"/>
    <w:rsid w:val="00537C59"/>
    <w:rsid w:val="005409AC"/>
    <w:rsid w:val="00542411"/>
    <w:rsid w:val="00542EE7"/>
    <w:rsid w:val="005456A6"/>
    <w:rsid w:val="005468D4"/>
    <w:rsid w:val="00547EFB"/>
    <w:rsid w:val="00550645"/>
    <w:rsid w:val="0055242A"/>
    <w:rsid w:val="00552668"/>
    <w:rsid w:val="00555791"/>
    <w:rsid w:val="00555B90"/>
    <w:rsid w:val="00555FB9"/>
    <w:rsid w:val="005561DA"/>
    <w:rsid w:val="00556956"/>
    <w:rsid w:val="00556E32"/>
    <w:rsid w:val="00556F0B"/>
    <w:rsid w:val="00557118"/>
    <w:rsid w:val="00557221"/>
    <w:rsid w:val="0055755A"/>
    <w:rsid w:val="00560752"/>
    <w:rsid w:val="00561BDC"/>
    <w:rsid w:val="005658F3"/>
    <w:rsid w:val="00570BDE"/>
    <w:rsid w:val="00572563"/>
    <w:rsid w:val="00573FDC"/>
    <w:rsid w:val="00574B1E"/>
    <w:rsid w:val="00574D15"/>
    <w:rsid w:val="00576B7B"/>
    <w:rsid w:val="00580942"/>
    <w:rsid w:val="00582A2E"/>
    <w:rsid w:val="00584EB4"/>
    <w:rsid w:val="00585F0D"/>
    <w:rsid w:val="00587B48"/>
    <w:rsid w:val="00587D87"/>
    <w:rsid w:val="005915FB"/>
    <w:rsid w:val="00591EF1"/>
    <w:rsid w:val="00592E6B"/>
    <w:rsid w:val="00592FEE"/>
    <w:rsid w:val="00593F27"/>
    <w:rsid w:val="005950A5"/>
    <w:rsid w:val="00596991"/>
    <w:rsid w:val="005976F4"/>
    <w:rsid w:val="005A314F"/>
    <w:rsid w:val="005A5A09"/>
    <w:rsid w:val="005B030B"/>
    <w:rsid w:val="005B09D7"/>
    <w:rsid w:val="005B3F23"/>
    <w:rsid w:val="005B4EE1"/>
    <w:rsid w:val="005B581B"/>
    <w:rsid w:val="005B5BB5"/>
    <w:rsid w:val="005B5BB9"/>
    <w:rsid w:val="005B601F"/>
    <w:rsid w:val="005C0C8B"/>
    <w:rsid w:val="005C20E6"/>
    <w:rsid w:val="005C33B2"/>
    <w:rsid w:val="005C4088"/>
    <w:rsid w:val="005C4FB4"/>
    <w:rsid w:val="005C533C"/>
    <w:rsid w:val="005C59AA"/>
    <w:rsid w:val="005C6A0E"/>
    <w:rsid w:val="005C7512"/>
    <w:rsid w:val="005C7901"/>
    <w:rsid w:val="005C7952"/>
    <w:rsid w:val="005D0C18"/>
    <w:rsid w:val="005D1396"/>
    <w:rsid w:val="005D1F36"/>
    <w:rsid w:val="005D29ED"/>
    <w:rsid w:val="005D3A22"/>
    <w:rsid w:val="005D4F06"/>
    <w:rsid w:val="005D713E"/>
    <w:rsid w:val="005E0ECD"/>
    <w:rsid w:val="005E272C"/>
    <w:rsid w:val="005E5E27"/>
    <w:rsid w:val="005E6E67"/>
    <w:rsid w:val="005F2F5E"/>
    <w:rsid w:val="005F4210"/>
    <w:rsid w:val="005F5CA7"/>
    <w:rsid w:val="0060029A"/>
    <w:rsid w:val="006011BF"/>
    <w:rsid w:val="0060185B"/>
    <w:rsid w:val="006022B0"/>
    <w:rsid w:val="006103D1"/>
    <w:rsid w:val="00611C77"/>
    <w:rsid w:val="006129B4"/>
    <w:rsid w:val="00615A1B"/>
    <w:rsid w:val="00617D95"/>
    <w:rsid w:val="006209E1"/>
    <w:rsid w:val="006211AB"/>
    <w:rsid w:val="00623699"/>
    <w:rsid w:val="006259F3"/>
    <w:rsid w:val="006263C4"/>
    <w:rsid w:val="00626AB3"/>
    <w:rsid w:val="00627054"/>
    <w:rsid w:val="00631516"/>
    <w:rsid w:val="006333D2"/>
    <w:rsid w:val="00633714"/>
    <w:rsid w:val="00634855"/>
    <w:rsid w:val="006348BD"/>
    <w:rsid w:val="00636C44"/>
    <w:rsid w:val="00641209"/>
    <w:rsid w:val="0064548C"/>
    <w:rsid w:val="00647E3F"/>
    <w:rsid w:val="006515B6"/>
    <w:rsid w:val="00651F54"/>
    <w:rsid w:val="00651F6C"/>
    <w:rsid w:val="00652247"/>
    <w:rsid w:val="00655901"/>
    <w:rsid w:val="00655DF6"/>
    <w:rsid w:val="006617A9"/>
    <w:rsid w:val="006623F3"/>
    <w:rsid w:val="0066348F"/>
    <w:rsid w:val="006636B6"/>
    <w:rsid w:val="00664C14"/>
    <w:rsid w:val="00667071"/>
    <w:rsid w:val="00667657"/>
    <w:rsid w:val="00667697"/>
    <w:rsid w:val="00667F49"/>
    <w:rsid w:val="006702FB"/>
    <w:rsid w:val="00671B11"/>
    <w:rsid w:val="006733B6"/>
    <w:rsid w:val="006737FC"/>
    <w:rsid w:val="00674344"/>
    <w:rsid w:val="00676703"/>
    <w:rsid w:val="006807D1"/>
    <w:rsid w:val="00680EBF"/>
    <w:rsid w:val="00680F66"/>
    <w:rsid w:val="00681071"/>
    <w:rsid w:val="00681B1D"/>
    <w:rsid w:val="00682008"/>
    <w:rsid w:val="00682613"/>
    <w:rsid w:val="00682640"/>
    <w:rsid w:val="00685B69"/>
    <w:rsid w:val="00687A8C"/>
    <w:rsid w:val="006916C3"/>
    <w:rsid w:val="0069311E"/>
    <w:rsid w:val="00693225"/>
    <w:rsid w:val="00695BBD"/>
    <w:rsid w:val="00696D41"/>
    <w:rsid w:val="006A17B0"/>
    <w:rsid w:val="006A1C3D"/>
    <w:rsid w:val="006A628E"/>
    <w:rsid w:val="006B128E"/>
    <w:rsid w:val="006B1C4F"/>
    <w:rsid w:val="006B314E"/>
    <w:rsid w:val="006B3EB0"/>
    <w:rsid w:val="006B435B"/>
    <w:rsid w:val="006B779A"/>
    <w:rsid w:val="006B77F5"/>
    <w:rsid w:val="006B7964"/>
    <w:rsid w:val="006C033B"/>
    <w:rsid w:val="006C276F"/>
    <w:rsid w:val="006C3E2C"/>
    <w:rsid w:val="006C466B"/>
    <w:rsid w:val="006C4EE5"/>
    <w:rsid w:val="006C60FC"/>
    <w:rsid w:val="006D0967"/>
    <w:rsid w:val="006D401D"/>
    <w:rsid w:val="006D534D"/>
    <w:rsid w:val="006D5ADC"/>
    <w:rsid w:val="006D73C8"/>
    <w:rsid w:val="006E07BF"/>
    <w:rsid w:val="006E3F03"/>
    <w:rsid w:val="006E4CF1"/>
    <w:rsid w:val="006E5ED8"/>
    <w:rsid w:val="006E7048"/>
    <w:rsid w:val="006F0378"/>
    <w:rsid w:val="006F131F"/>
    <w:rsid w:val="006F34AC"/>
    <w:rsid w:val="006F563F"/>
    <w:rsid w:val="006F67A2"/>
    <w:rsid w:val="0070128F"/>
    <w:rsid w:val="007068C6"/>
    <w:rsid w:val="00711000"/>
    <w:rsid w:val="0071126E"/>
    <w:rsid w:val="0071352B"/>
    <w:rsid w:val="00714175"/>
    <w:rsid w:val="00714314"/>
    <w:rsid w:val="00714963"/>
    <w:rsid w:val="00714ABB"/>
    <w:rsid w:val="00715FA6"/>
    <w:rsid w:val="007177D7"/>
    <w:rsid w:val="00722CAD"/>
    <w:rsid w:val="00722DF3"/>
    <w:rsid w:val="00723072"/>
    <w:rsid w:val="0072441F"/>
    <w:rsid w:val="007266BD"/>
    <w:rsid w:val="00726A94"/>
    <w:rsid w:val="007275C4"/>
    <w:rsid w:val="00732305"/>
    <w:rsid w:val="007331D1"/>
    <w:rsid w:val="007333B5"/>
    <w:rsid w:val="007339E1"/>
    <w:rsid w:val="00735053"/>
    <w:rsid w:val="00736C00"/>
    <w:rsid w:val="007403DE"/>
    <w:rsid w:val="00740ED9"/>
    <w:rsid w:val="007433ED"/>
    <w:rsid w:val="00743575"/>
    <w:rsid w:val="0074470A"/>
    <w:rsid w:val="00746553"/>
    <w:rsid w:val="00746CE9"/>
    <w:rsid w:val="00747838"/>
    <w:rsid w:val="00747DE3"/>
    <w:rsid w:val="00750097"/>
    <w:rsid w:val="00751341"/>
    <w:rsid w:val="007516CD"/>
    <w:rsid w:val="00753B2B"/>
    <w:rsid w:val="007555E2"/>
    <w:rsid w:val="0075639B"/>
    <w:rsid w:val="00760ACB"/>
    <w:rsid w:val="007625EA"/>
    <w:rsid w:val="0076493F"/>
    <w:rsid w:val="0076527C"/>
    <w:rsid w:val="007703A5"/>
    <w:rsid w:val="0077064D"/>
    <w:rsid w:val="007724F7"/>
    <w:rsid w:val="00772816"/>
    <w:rsid w:val="007732B2"/>
    <w:rsid w:val="007774A7"/>
    <w:rsid w:val="007819D4"/>
    <w:rsid w:val="00781C63"/>
    <w:rsid w:val="00782058"/>
    <w:rsid w:val="00782710"/>
    <w:rsid w:val="0078436B"/>
    <w:rsid w:val="00784682"/>
    <w:rsid w:val="007848AD"/>
    <w:rsid w:val="007866BA"/>
    <w:rsid w:val="0078781E"/>
    <w:rsid w:val="00787E3C"/>
    <w:rsid w:val="00791111"/>
    <w:rsid w:val="007926FD"/>
    <w:rsid w:val="00794C3F"/>
    <w:rsid w:val="00796C1D"/>
    <w:rsid w:val="007A0953"/>
    <w:rsid w:val="007A0CDB"/>
    <w:rsid w:val="007A12AF"/>
    <w:rsid w:val="007A2F51"/>
    <w:rsid w:val="007A31D0"/>
    <w:rsid w:val="007A51C8"/>
    <w:rsid w:val="007A5D8E"/>
    <w:rsid w:val="007B1269"/>
    <w:rsid w:val="007B231E"/>
    <w:rsid w:val="007B2D91"/>
    <w:rsid w:val="007B4640"/>
    <w:rsid w:val="007B5B2D"/>
    <w:rsid w:val="007B7B00"/>
    <w:rsid w:val="007C06F6"/>
    <w:rsid w:val="007C24D7"/>
    <w:rsid w:val="007C40C3"/>
    <w:rsid w:val="007C41C6"/>
    <w:rsid w:val="007C7149"/>
    <w:rsid w:val="007D2751"/>
    <w:rsid w:val="007D3B6A"/>
    <w:rsid w:val="007D3B98"/>
    <w:rsid w:val="007D5E9A"/>
    <w:rsid w:val="007E0EB3"/>
    <w:rsid w:val="007E136E"/>
    <w:rsid w:val="007E2F97"/>
    <w:rsid w:val="007E36C7"/>
    <w:rsid w:val="007E3CEB"/>
    <w:rsid w:val="007E63A0"/>
    <w:rsid w:val="007E7457"/>
    <w:rsid w:val="007F0266"/>
    <w:rsid w:val="007F099C"/>
    <w:rsid w:val="007F798C"/>
    <w:rsid w:val="00801895"/>
    <w:rsid w:val="00801DD6"/>
    <w:rsid w:val="00803059"/>
    <w:rsid w:val="0080323C"/>
    <w:rsid w:val="00803312"/>
    <w:rsid w:val="00804DC9"/>
    <w:rsid w:val="008058D4"/>
    <w:rsid w:val="00805B95"/>
    <w:rsid w:val="00806786"/>
    <w:rsid w:val="00806E00"/>
    <w:rsid w:val="0081032F"/>
    <w:rsid w:val="00810CAD"/>
    <w:rsid w:val="0081234C"/>
    <w:rsid w:val="0081285C"/>
    <w:rsid w:val="00813C56"/>
    <w:rsid w:val="00814689"/>
    <w:rsid w:val="008147B2"/>
    <w:rsid w:val="008166E9"/>
    <w:rsid w:val="00823C74"/>
    <w:rsid w:val="00824CB1"/>
    <w:rsid w:val="00825E36"/>
    <w:rsid w:val="008265CA"/>
    <w:rsid w:val="0083170F"/>
    <w:rsid w:val="0083209C"/>
    <w:rsid w:val="0083311A"/>
    <w:rsid w:val="008339CE"/>
    <w:rsid w:val="00833C2B"/>
    <w:rsid w:val="00834094"/>
    <w:rsid w:val="008340EE"/>
    <w:rsid w:val="008346D7"/>
    <w:rsid w:val="0083794B"/>
    <w:rsid w:val="00837E03"/>
    <w:rsid w:val="00843840"/>
    <w:rsid w:val="0084402C"/>
    <w:rsid w:val="00844F85"/>
    <w:rsid w:val="0084680D"/>
    <w:rsid w:val="008473CC"/>
    <w:rsid w:val="008475F9"/>
    <w:rsid w:val="00850DBB"/>
    <w:rsid w:val="0085175F"/>
    <w:rsid w:val="00852598"/>
    <w:rsid w:val="00852E39"/>
    <w:rsid w:val="008533E7"/>
    <w:rsid w:val="00853451"/>
    <w:rsid w:val="00854585"/>
    <w:rsid w:val="00855A3E"/>
    <w:rsid w:val="00856D72"/>
    <w:rsid w:val="00856FDE"/>
    <w:rsid w:val="00857233"/>
    <w:rsid w:val="00857C07"/>
    <w:rsid w:val="00862E80"/>
    <w:rsid w:val="00867A68"/>
    <w:rsid w:val="00870619"/>
    <w:rsid w:val="00870B2A"/>
    <w:rsid w:val="008720B5"/>
    <w:rsid w:val="008749B9"/>
    <w:rsid w:val="00875E3A"/>
    <w:rsid w:val="00877096"/>
    <w:rsid w:val="00877B72"/>
    <w:rsid w:val="00880CB8"/>
    <w:rsid w:val="0088229E"/>
    <w:rsid w:val="008842FE"/>
    <w:rsid w:val="008852CA"/>
    <w:rsid w:val="00885460"/>
    <w:rsid w:val="00886550"/>
    <w:rsid w:val="0088744E"/>
    <w:rsid w:val="00894540"/>
    <w:rsid w:val="0089506F"/>
    <w:rsid w:val="00895A67"/>
    <w:rsid w:val="00895ECB"/>
    <w:rsid w:val="00896029"/>
    <w:rsid w:val="00896B0C"/>
    <w:rsid w:val="00897DFC"/>
    <w:rsid w:val="008A191D"/>
    <w:rsid w:val="008A1C34"/>
    <w:rsid w:val="008A3D20"/>
    <w:rsid w:val="008A4394"/>
    <w:rsid w:val="008A4C8D"/>
    <w:rsid w:val="008A51E8"/>
    <w:rsid w:val="008A7461"/>
    <w:rsid w:val="008B2719"/>
    <w:rsid w:val="008B339F"/>
    <w:rsid w:val="008C02D5"/>
    <w:rsid w:val="008C17D8"/>
    <w:rsid w:val="008C24B6"/>
    <w:rsid w:val="008C2D8D"/>
    <w:rsid w:val="008C3C8C"/>
    <w:rsid w:val="008D0196"/>
    <w:rsid w:val="008D0556"/>
    <w:rsid w:val="008D06BE"/>
    <w:rsid w:val="008D08D1"/>
    <w:rsid w:val="008D2060"/>
    <w:rsid w:val="008D40D2"/>
    <w:rsid w:val="008D41CE"/>
    <w:rsid w:val="008D4BDD"/>
    <w:rsid w:val="008D4C13"/>
    <w:rsid w:val="008D4C18"/>
    <w:rsid w:val="008D5825"/>
    <w:rsid w:val="008D656C"/>
    <w:rsid w:val="008D6BB8"/>
    <w:rsid w:val="008D6E80"/>
    <w:rsid w:val="008D734B"/>
    <w:rsid w:val="008D7AB8"/>
    <w:rsid w:val="008D7E64"/>
    <w:rsid w:val="008E0BB6"/>
    <w:rsid w:val="008E25C4"/>
    <w:rsid w:val="008E459F"/>
    <w:rsid w:val="008E5955"/>
    <w:rsid w:val="008E774C"/>
    <w:rsid w:val="008E7EAC"/>
    <w:rsid w:val="008F1765"/>
    <w:rsid w:val="008F482D"/>
    <w:rsid w:val="008F4B3B"/>
    <w:rsid w:val="008F6BBC"/>
    <w:rsid w:val="0090204E"/>
    <w:rsid w:val="00903707"/>
    <w:rsid w:val="00907F5A"/>
    <w:rsid w:val="009122D9"/>
    <w:rsid w:val="009150A0"/>
    <w:rsid w:val="0091624E"/>
    <w:rsid w:val="00917CE3"/>
    <w:rsid w:val="00926728"/>
    <w:rsid w:val="00927EE0"/>
    <w:rsid w:val="009306A4"/>
    <w:rsid w:val="0093428B"/>
    <w:rsid w:val="009350B8"/>
    <w:rsid w:val="0093577A"/>
    <w:rsid w:val="00936FA0"/>
    <w:rsid w:val="0094075A"/>
    <w:rsid w:val="009408BE"/>
    <w:rsid w:val="00942737"/>
    <w:rsid w:val="00943BC4"/>
    <w:rsid w:val="00944544"/>
    <w:rsid w:val="00950967"/>
    <w:rsid w:val="00952D38"/>
    <w:rsid w:val="0095312C"/>
    <w:rsid w:val="009537F4"/>
    <w:rsid w:val="009568B9"/>
    <w:rsid w:val="00956E8F"/>
    <w:rsid w:val="00960080"/>
    <w:rsid w:val="0096010E"/>
    <w:rsid w:val="009658BD"/>
    <w:rsid w:val="009700F7"/>
    <w:rsid w:val="0097014F"/>
    <w:rsid w:val="0097135F"/>
    <w:rsid w:val="009727F6"/>
    <w:rsid w:val="00972C86"/>
    <w:rsid w:val="00973CDF"/>
    <w:rsid w:val="00973D82"/>
    <w:rsid w:val="00974EED"/>
    <w:rsid w:val="0097554A"/>
    <w:rsid w:val="00975776"/>
    <w:rsid w:val="00976E23"/>
    <w:rsid w:val="0097787C"/>
    <w:rsid w:val="00981494"/>
    <w:rsid w:val="00984C31"/>
    <w:rsid w:val="00985BEC"/>
    <w:rsid w:val="00986B33"/>
    <w:rsid w:val="00987AD5"/>
    <w:rsid w:val="009904A6"/>
    <w:rsid w:val="0099223A"/>
    <w:rsid w:val="00993790"/>
    <w:rsid w:val="0099448A"/>
    <w:rsid w:val="009953BD"/>
    <w:rsid w:val="00995E10"/>
    <w:rsid w:val="009977FA"/>
    <w:rsid w:val="00997F1A"/>
    <w:rsid w:val="009A0BAE"/>
    <w:rsid w:val="009A121C"/>
    <w:rsid w:val="009A1304"/>
    <w:rsid w:val="009A18BA"/>
    <w:rsid w:val="009A27FD"/>
    <w:rsid w:val="009A35F5"/>
    <w:rsid w:val="009A4A8C"/>
    <w:rsid w:val="009A7989"/>
    <w:rsid w:val="009A7DF5"/>
    <w:rsid w:val="009B5ABA"/>
    <w:rsid w:val="009B5AE5"/>
    <w:rsid w:val="009B6FE1"/>
    <w:rsid w:val="009B7138"/>
    <w:rsid w:val="009C114D"/>
    <w:rsid w:val="009C3169"/>
    <w:rsid w:val="009C51BB"/>
    <w:rsid w:val="009D4428"/>
    <w:rsid w:val="009D4C8C"/>
    <w:rsid w:val="009D5DFC"/>
    <w:rsid w:val="009D7009"/>
    <w:rsid w:val="009D7DBE"/>
    <w:rsid w:val="009E08C5"/>
    <w:rsid w:val="009E0AA3"/>
    <w:rsid w:val="009E1A58"/>
    <w:rsid w:val="009E22D6"/>
    <w:rsid w:val="009E5CB3"/>
    <w:rsid w:val="009E69C1"/>
    <w:rsid w:val="009E7A64"/>
    <w:rsid w:val="009F2741"/>
    <w:rsid w:val="009F3790"/>
    <w:rsid w:val="009F4D70"/>
    <w:rsid w:val="009F55BF"/>
    <w:rsid w:val="009F7740"/>
    <w:rsid w:val="009F7C9D"/>
    <w:rsid w:val="00A011F0"/>
    <w:rsid w:val="00A02B5A"/>
    <w:rsid w:val="00A05BDD"/>
    <w:rsid w:val="00A076F6"/>
    <w:rsid w:val="00A07A23"/>
    <w:rsid w:val="00A10C14"/>
    <w:rsid w:val="00A10DF1"/>
    <w:rsid w:val="00A115B5"/>
    <w:rsid w:val="00A12450"/>
    <w:rsid w:val="00A14139"/>
    <w:rsid w:val="00A14BED"/>
    <w:rsid w:val="00A14F4E"/>
    <w:rsid w:val="00A16F91"/>
    <w:rsid w:val="00A171C2"/>
    <w:rsid w:val="00A17E2A"/>
    <w:rsid w:val="00A21FEB"/>
    <w:rsid w:val="00A27A6D"/>
    <w:rsid w:val="00A31129"/>
    <w:rsid w:val="00A32F0B"/>
    <w:rsid w:val="00A36FDD"/>
    <w:rsid w:val="00A40033"/>
    <w:rsid w:val="00A43364"/>
    <w:rsid w:val="00A43F45"/>
    <w:rsid w:val="00A45CDA"/>
    <w:rsid w:val="00A46BC1"/>
    <w:rsid w:val="00A47A86"/>
    <w:rsid w:val="00A47F31"/>
    <w:rsid w:val="00A502CC"/>
    <w:rsid w:val="00A50CA0"/>
    <w:rsid w:val="00A51C69"/>
    <w:rsid w:val="00A53803"/>
    <w:rsid w:val="00A5486F"/>
    <w:rsid w:val="00A54B62"/>
    <w:rsid w:val="00A5664D"/>
    <w:rsid w:val="00A567FF"/>
    <w:rsid w:val="00A56C70"/>
    <w:rsid w:val="00A60473"/>
    <w:rsid w:val="00A60DE6"/>
    <w:rsid w:val="00A66C35"/>
    <w:rsid w:val="00A66D76"/>
    <w:rsid w:val="00A6744E"/>
    <w:rsid w:val="00A74B4C"/>
    <w:rsid w:val="00A7599F"/>
    <w:rsid w:val="00A76AA9"/>
    <w:rsid w:val="00A76BDA"/>
    <w:rsid w:val="00A76E7D"/>
    <w:rsid w:val="00A801CB"/>
    <w:rsid w:val="00A81B23"/>
    <w:rsid w:val="00A81E02"/>
    <w:rsid w:val="00A81E03"/>
    <w:rsid w:val="00A81E5B"/>
    <w:rsid w:val="00A87D4F"/>
    <w:rsid w:val="00A908C1"/>
    <w:rsid w:val="00A94D81"/>
    <w:rsid w:val="00A94E45"/>
    <w:rsid w:val="00A95D8C"/>
    <w:rsid w:val="00A95E6F"/>
    <w:rsid w:val="00A96384"/>
    <w:rsid w:val="00A96A13"/>
    <w:rsid w:val="00A96EB4"/>
    <w:rsid w:val="00A96F5B"/>
    <w:rsid w:val="00AA11B6"/>
    <w:rsid w:val="00AA25DC"/>
    <w:rsid w:val="00AA2935"/>
    <w:rsid w:val="00AA4C79"/>
    <w:rsid w:val="00AA67CC"/>
    <w:rsid w:val="00AB18CF"/>
    <w:rsid w:val="00AB41A8"/>
    <w:rsid w:val="00AB4221"/>
    <w:rsid w:val="00AB489B"/>
    <w:rsid w:val="00AB5103"/>
    <w:rsid w:val="00AB54FE"/>
    <w:rsid w:val="00AB5E96"/>
    <w:rsid w:val="00AB63B7"/>
    <w:rsid w:val="00AB7291"/>
    <w:rsid w:val="00AC1B81"/>
    <w:rsid w:val="00AC1DB9"/>
    <w:rsid w:val="00AC2116"/>
    <w:rsid w:val="00AC40B3"/>
    <w:rsid w:val="00AC45E0"/>
    <w:rsid w:val="00AC4B48"/>
    <w:rsid w:val="00AC52B5"/>
    <w:rsid w:val="00AC6613"/>
    <w:rsid w:val="00AC67E3"/>
    <w:rsid w:val="00AC6A32"/>
    <w:rsid w:val="00AC6BB0"/>
    <w:rsid w:val="00AC7166"/>
    <w:rsid w:val="00AC7B2D"/>
    <w:rsid w:val="00AC7B83"/>
    <w:rsid w:val="00AD005A"/>
    <w:rsid w:val="00AD0ECB"/>
    <w:rsid w:val="00AD2E04"/>
    <w:rsid w:val="00AD5190"/>
    <w:rsid w:val="00AD51CE"/>
    <w:rsid w:val="00AD5C8C"/>
    <w:rsid w:val="00AD6BD6"/>
    <w:rsid w:val="00AD7C5C"/>
    <w:rsid w:val="00AE1ACB"/>
    <w:rsid w:val="00AE3BD6"/>
    <w:rsid w:val="00AE4512"/>
    <w:rsid w:val="00AE521A"/>
    <w:rsid w:val="00AF1D8B"/>
    <w:rsid w:val="00AF3394"/>
    <w:rsid w:val="00AF5277"/>
    <w:rsid w:val="00AF771C"/>
    <w:rsid w:val="00B0089C"/>
    <w:rsid w:val="00B016A9"/>
    <w:rsid w:val="00B018CB"/>
    <w:rsid w:val="00B02A3A"/>
    <w:rsid w:val="00B031E6"/>
    <w:rsid w:val="00B0444C"/>
    <w:rsid w:val="00B04740"/>
    <w:rsid w:val="00B047E9"/>
    <w:rsid w:val="00B10468"/>
    <w:rsid w:val="00B1468B"/>
    <w:rsid w:val="00B156F0"/>
    <w:rsid w:val="00B243AF"/>
    <w:rsid w:val="00B24B32"/>
    <w:rsid w:val="00B24CF1"/>
    <w:rsid w:val="00B25D95"/>
    <w:rsid w:val="00B270A7"/>
    <w:rsid w:val="00B31EB9"/>
    <w:rsid w:val="00B3239C"/>
    <w:rsid w:val="00B32B0D"/>
    <w:rsid w:val="00B33D5B"/>
    <w:rsid w:val="00B35297"/>
    <w:rsid w:val="00B35EEF"/>
    <w:rsid w:val="00B366CC"/>
    <w:rsid w:val="00B36ECE"/>
    <w:rsid w:val="00B37837"/>
    <w:rsid w:val="00B408C0"/>
    <w:rsid w:val="00B42323"/>
    <w:rsid w:val="00B423E2"/>
    <w:rsid w:val="00B426A9"/>
    <w:rsid w:val="00B45B91"/>
    <w:rsid w:val="00B46CFF"/>
    <w:rsid w:val="00B4705F"/>
    <w:rsid w:val="00B47A3E"/>
    <w:rsid w:val="00B507E9"/>
    <w:rsid w:val="00B51F1A"/>
    <w:rsid w:val="00B53EF2"/>
    <w:rsid w:val="00B55709"/>
    <w:rsid w:val="00B6318E"/>
    <w:rsid w:val="00B63D00"/>
    <w:rsid w:val="00B653F8"/>
    <w:rsid w:val="00B6678B"/>
    <w:rsid w:val="00B66FCE"/>
    <w:rsid w:val="00B70163"/>
    <w:rsid w:val="00B70C71"/>
    <w:rsid w:val="00B71179"/>
    <w:rsid w:val="00B71B73"/>
    <w:rsid w:val="00B72284"/>
    <w:rsid w:val="00B7425A"/>
    <w:rsid w:val="00B75106"/>
    <w:rsid w:val="00B76046"/>
    <w:rsid w:val="00B76A49"/>
    <w:rsid w:val="00B771D8"/>
    <w:rsid w:val="00B80FBA"/>
    <w:rsid w:val="00B815C1"/>
    <w:rsid w:val="00B82D0A"/>
    <w:rsid w:val="00B83EE8"/>
    <w:rsid w:val="00B84589"/>
    <w:rsid w:val="00B84D04"/>
    <w:rsid w:val="00B85824"/>
    <w:rsid w:val="00B85ADB"/>
    <w:rsid w:val="00B86501"/>
    <w:rsid w:val="00B872D6"/>
    <w:rsid w:val="00B87775"/>
    <w:rsid w:val="00B87D07"/>
    <w:rsid w:val="00B93682"/>
    <w:rsid w:val="00B94FB7"/>
    <w:rsid w:val="00B95297"/>
    <w:rsid w:val="00B95B7D"/>
    <w:rsid w:val="00B9608A"/>
    <w:rsid w:val="00B963A7"/>
    <w:rsid w:val="00B979C5"/>
    <w:rsid w:val="00B97B25"/>
    <w:rsid w:val="00BA1F75"/>
    <w:rsid w:val="00BA20C2"/>
    <w:rsid w:val="00BA2DAA"/>
    <w:rsid w:val="00BA3018"/>
    <w:rsid w:val="00BA34C6"/>
    <w:rsid w:val="00BA4ABA"/>
    <w:rsid w:val="00BA4C77"/>
    <w:rsid w:val="00BA5580"/>
    <w:rsid w:val="00BB1031"/>
    <w:rsid w:val="00BB1C37"/>
    <w:rsid w:val="00BB31C6"/>
    <w:rsid w:val="00BB39B3"/>
    <w:rsid w:val="00BB3FFB"/>
    <w:rsid w:val="00BB69C5"/>
    <w:rsid w:val="00BB7665"/>
    <w:rsid w:val="00BC10A5"/>
    <w:rsid w:val="00BC1D48"/>
    <w:rsid w:val="00BC5109"/>
    <w:rsid w:val="00BC5900"/>
    <w:rsid w:val="00BC6810"/>
    <w:rsid w:val="00BC6E67"/>
    <w:rsid w:val="00BD2FC7"/>
    <w:rsid w:val="00BD7A2D"/>
    <w:rsid w:val="00BD7DA4"/>
    <w:rsid w:val="00BE0C22"/>
    <w:rsid w:val="00BE19BC"/>
    <w:rsid w:val="00BE246D"/>
    <w:rsid w:val="00BE28EA"/>
    <w:rsid w:val="00BE545B"/>
    <w:rsid w:val="00BE74F7"/>
    <w:rsid w:val="00BF12CF"/>
    <w:rsid w:val="00BF17AA"/>
    <w:rsid w:val="00BF4407"/>
    <w:rsid w:val="00C00239"/>
    <w:rsid w:val="00C014DB"/>
    <w:rsid w:val="00C0262A"/>
    <w:rsid w:val="00C04017"/>
    <w:rsid w:val="00C0420F"/>
    <w:rsid w:val="00C051ED"/>
    <w:rsid w:val="00C05F07"/>
    <w:rsid w:val="00C06201"/>
    <w:rsid w:val="00C06717"/>
    <w:rsid w:val="00C06E3D"/>
    <w:rsid w:val="00C072CF"/>
    <w:rsid w:val="00C13640"/>
    <w:rsid w:val="00C1476E"/>
    <w:rsid w:val="00C20E57"/>
    <w:rsid w:val="00C21B7D"/>
    <w:rsid w:val="00C24556"/>
    <w:rsid w:val="00C260F5"/>
    <w:rsid w:val="00C262A8"/>
    <w:rsid w:val="00C26800"/>
    <w:rsid w:val="00C303F3"/>
    <w:rsid w:val="00C30E73"/>
    <w:rsid w:val="00C31AAE"/>
    <w:rsid w:val="00C328B8"/>
    <w:rsid w:val="00C333A9"/>
    <w:rsid w:val="00C36A0C"/>
    <w:rsid w:val="00C36ECA"/>
    <w:rsid w:val="00C41992"/>
    <w:rsid w:val="00C42B0B"/>
    <w:rsid w:val="00C43CA2"/>
    <w:rsid w:val="00C458F3"/>
    <w:rsid w:val="00C465E6"/>
    <w:rsid w:val="00C47611"/>
    <w:rsid w:val="00C47823"/>
    <w:rsid w:val="00C47FAE"/>
    <w:rsid w:val="00C51568"/>
    <w:rsid w:val="00C518AF"/>
    <w:rsid w:val="00C52502"/>
    <w:rsid w:val="00C52E14"/>
    <w:rsid w:val="00C54EC0"/>
    <w:rsid w:val="00C561FC"/>
    <w:rsid w:val="00C6042C"/>
    <w:rsid w:val="00C63765"/>
    <w:rsid w:val="00C64794"/>
    <w:rsid w:val="00C66DC9"/>
    <w:rsid w:val="00C6726E"/>
    <w:rsid w:val="00C7269B"/>
    <w:rsid w:val="00C73F75"/>
    <w:rsid w:val="00C74344"/>
    <w:rsid w:val="00C76224"/>
    <w:rsid w:val="00C77004"/>
    <w:rsid w:val="00C77579"/>
    <w:rsid w:val="00C77921"/>
    <w:rsid w:val="00C82CD7"/>
    <w:rsid w:val="00C86046"/>
    <w:rsid w:val="00C8698D"/>
    <w:rsid w:val="00C869F4"/>
    <w:rsid w:val="00C87839"/>
    <w:rsid w:val="00C8789D"/>
    <w:rsid w:val="00C92688"/>
    <w:rsid w:val="00C93124"/>
    <w:rsid w:val="00C9329A"/>
    <w:rsid w:val="00CA03C1"/>
    <w:rsid w:val="00CA17C8"/>
    <w:rsid w:val="00CA27E5"/>
    <w:rsid w:val="00CA2DD9"/>
    <w:rsid w:val="00CA2EC0"/>
    <w:rsid w:val="00CA4468"/>
    <w:rsid w:val="00CA6210"/>
    <w:rsid w:val="00CB251C"/>
    <w:rsid w:val="00CB3BF6"/>
    <w:rsid w:val="00CB4E6B"/>
    <w:rsid w:val="00CB7D72"/>
    <w:rsid w:val="00CC0584"/>
    <w:rsid w:val="00CC0BEE"/>
    <w:rsid w:val="00CC0FD6"/>
    <w:rsid w:val="00CC2D6D"/>
    <w:rsid w:val="00CC2F23"/>
    <w:rsid w:val="00CC3AE2"/>
    <w:rsid w:val="00CC54B6"/>
    <w:rsid w:val="00CC7567"/>
    <w:rsid w:val="00CD03A7"/>
    <w:rsid w:val="00CD0562"/>
    <w:rsid w:val="00CD13DC"/>
    <w:rsid w:val="00CD3699"/>
    <w:rsid w:val="00CD3A98"/>
    <w:rsid w:val="00CD47AB"/>
    <w:rsid w:val="00CD4EAB"/>
    <w:rsid w:val="00CD57AD"/>
    <w:rsid w:val="00CD5BBB"/>
    <w:rsid w:val="00CD5C6A"/>
    <w:rsid w:val="00CE006B"/>
    <w:rsid w:val="00CE02F3"/>
    <w:rsid w:val="00CE3DE8"/>
    <w:rsid w:val="00CE4455"/>
    <w:rsid w:val="00CE4B20"/>
    <w:rsid w:val="00CE52D9"/>
    <w:rsid w:val="00CE5A82"/>
    <w:rsid w:val="00CE5CB9"/>
    <w:rsid w:val="00CE6EBE"/>
    <w:rsid w:val="00CF1512"/>
    <w:rsid w:val="00CF1C25"/>
    <w:rsid w:val="00CF2C68"/>
    <w:rsid w:val="00D001E5"/>
    <w:rsid w:val="00D003FC"/>
    <w:rsid w:val="00D0093F"/>
    <w:rsid w:val="00D024AB"/>
    <w:rsid w:val="00D0312B"/>
    <w:rsid w:val="00D053D9"/>
    <w:rsid w:val="00D06DC0"/>
    <w:rsid w:val="00D07FEA"/>
    <w:rsid w:val="00D1052D"/>
    <w:rsid w:val="00D13EAB"/>
    <w:rsid w:val="00D141C9"/>
    <w:rsid w:val="00D1433A"/>
    <w:rsid w:val="00D15331"/>
    <w:rsid w:val="00D16880"/>
    <w:rsid w:val="00D17936"/>
    <w:rsid w:val="00D2062D"/>
    <w:rsid w:val="00D20B5D"/>
    <w:rsid w:val="00D30F0B"/>
    <w:rsid w:val="00D31623"/>
    <w:rsid w:val="00D32383"/>
    <w:rsid w:val="00D323AA"/>
    <w:rsid w:val="00D32F8E"/>
    <w:rsid w:val="00D33969"/>
    <w:rsid w:val="00D37E6B"/>
    <w:rsid w:val="00D4041C"/>
    <w:rsid w:val="00D43C1A"/>
    <w:rsid w:val="00D45586"/>
    <w:rsid w:val="00D47565"/>
    <w:rsid w:val="00D505C6"/>
    <w:rsid w:val="00D509BB"/>
    <w:rsid w:val="00D50ED7"/>
    <w:rsid w:val="00D51F73"/>
    <w:rsid w:val="00D531E4"/>
    <w:rsid w:val="00D54514"/>
    <w:rsid w:val="00D54A26"/>
    <w:rsid w:val="00D5657F"/>
    <w:rsid w:val="00D5769A"/>
    <w:rsid w:val="00D576E9"/>
    <w:rsid w:val="00D60628"/>
    <w:rsid w:val="00D610A4"/>
    <w:rsid w:val="00D64B76"/>
    <w:rsid w:val="00D651E0"/>
    <w:rsid w:val="00D66D47"/>
    <w:rsid w:val="00D671F3"/>
    <w:rsid w:val="00D70360"/>
    <w:rsid w:val="00D71969"/>
    <w:rsid w:val="00D71B94"/>
    <w:rsid w:val="00D7299D"/>
    <w:rsid w:val="00D73332"/>
    <w:rsid w:val="00D73BEA"/>
    <w:rsid w:val="00D7469B"/>
    <w:rsid w:val="00D74A4B"/>
    <w:rsid w:val="00D75C51"/>
    <w:rsid w:val="00D75F7C"/>
    <w:rsid w:val="00D75FE9"/>
    <w:rsid w:val="00D763CD"/>
    <w:rsid w:val="00D805F6"/>
    <w:rsid w:val="00D807F2"/>
    <w:rsid w:val="00D8200E"/>
    <w:rsid w:val="00D826ED"/>
    <w:rsid w:val="00D83FF4"/>
    <w:rsid w:val="00D845B9"/>
    <w:rsid w:val="00D8693D"/>
    <w:rsid w:val="00D86C43"/>
    <w:rsid w:val="00D9043E"/>
    <w:rsid w:val="00D91C94"/>
    <w:rsid w:val="00D93C9D"/>
    <w:rsid w:val="00D9509A"/>
    <w:rsid w:val="00D96871"/>
    <w:rsid w:val="00D96928"/>
    <w:rsid w:val="00DA05F7"/>
    <w:rsid w:val="00DA0990"/>
    <w:rsid w:val="00DA1D07"/>
    <w:rsid w:val="00DA3ADD"/>
    <w:rsid w:val="00DA524B"/>
    <w:rsid w:val="00DA7269"/>
    <w:rsid w:val="00DA7F63"/>
    <w:rsid w:val="00DB1F9C"/>
    <w:rsid w:val="00DB22CD"/>
    <w:rsid w:val="00DB30DF"/>
    <w:rsid w:val="00DB32B3"/>
    <w:rsid w:val="00DB3AA8"/>
    <w:rsid w:val="00DB40D2"/>
    <w:rsid w:val="00DB520A"/>
    <w:rsid w:val="00DB6E68"/>
    <w:rsid w:val="00DC08C7"/>
    <w:rsid w:val="00DC2A38"/>
    <w:rsid w:val="00DC7AFF"/>
    <w:rsid w:val="00DC7F03"/>
    <w:rsid w:val="00DD009E"/>
    <w:rsid w:val="00DD06E8"/>
    <w:rsid w:val="00DD191A"/>
    <w:rsid w:val="00DD1FD4"/>
    <w:rsid w:val="00DD2D1D"/>
    <w:rsid w:val="00DD7E4A"/>
    <w:rsid w:val="00DE0124"/>
    <w:rsid w:val="00DE081B"/>
    <w:rsid w:val="00DE0F5D"/>
    <w:rsid w:val="00DE366A"/>
    <w:rsid w:val="00DE3DB2"/>
    <w:rsid w:val="00DE4807"/>
    <w:rsid w:val="00DE5E15"/>
    <w:rsid w:val="00DF07C9"/>
    <w:rsid w:val="00DF0ED9"/>
    <w:rsid w:val="00DF50FC"/>
    <w:rsid w:val="00DF59A8"/>
    <w:rsid w:val="00DF6D0B"/>
    <w:rsid w:val="00E045E2"/>
    <w:rsid w:val="00E048C4"/>
    <w:rsid w:val="00E04EF9"/>
    <w:rsid w:val="00E058AD"/>
    <w:rsid w:val="00E05E32"/>
    <w:rsid w:val="00E072BC"/>
    <w:rsid w:val="00E0792A"/>
    <w:rsid w:val="00E104E9"/>
    <w:rsid w:val="00E14F9A"/>
    <w:rsid w:val="00E1535F"/>
    <w:rsid w:val="00E1769E"/>
    <w:rsid w:val="00E177BA"/>
    <w:rsid w:val="00E20D09"/>
    <w:rsid w:val="00E20D9F"/>
    <w:rsid w:val="00E223AA"/>
    <w:rsid w:val="00E232E5"/>
    <w:rsid w:val="00E23DA0"/>
    <w:rsid w:val="00E2538F"/>
    <w:rsid w:val="00E253CD"/>
    <w:rsid w:val="00E26343"/>
    <w:rsid w:val="00E26FB1"/>
    <w:rsid w:val="00E27662"/>
    <w:rsid w:val="00E27DE4"/>
    <w:rsid w:val="00E31279"/>
    <w:rsid w:val="00E31FF8"/>
    <w:rsid w:val="00E32004"/>
    <w:rsid w:val="00E3213E"/>
    <w:rsid w:val="00E32469"/>
    <w:rsid w:val="00E35489"/>
    <w:rsid w:val="00E35BD5"/>
    <w:rsid w:val="00E36C64"/>
    <w:rsid w:val="00E40A41"/>
    <w:rsid w:val="00E40F3B"/>
    <w:rsid w:val="00E43256"/>
    <w:rsid w:val="00E44DAF"/>
    <w:rsid w:val="00E4530D"/>
    <w:rsid w:val="00E4664D"/>
    <w:rsid w:val="00E52135"/>
    <w:rsid w:val="00E52200"/>
    <w:rsid w:val="00E533C9"/>
    <w:rsid w:val="00E53D28"/>
    <w:rsid w:val="00E54202"/>
    <w:rsid w:val="00E54219"/>
    <w:rsid w:val="00E6037D"/>
    <w:rsid w:val="00E618FB"/>
    <w:rsid w:val="00E630B7"/>
    <w:rsid w:val="00E631B0"/>
    <w:rsid w:val="00E65859"/>
    <w:rsid w:val="00E664DA"/>
    <w:rsid w:val="00E67981"/>
    <w:rsid w:val="00E67A75"/>
    <w:rsid w:val="00E721AA"/>
    <w:rsid w:val="00E72D98"/>
    <w:rsid w:val="00E73349"/>
    <w:rsid w:val="00E75DE3"/>
    <w:rsid w:val="00E810B0"/>
    <w:rsid w:val="00E82DB0"/>
    <w:rsid w:val="00E83CF8"/>
    <w:rsid w:val="00E8574A"/>
    <w:rsid w:val="00E86C92"/>
    <w:rsid w:val="00E86D7A"/>
    <w:rsid w:val="00E8759F"/>
    <w:rsid w:val="00E87979"/>
    <w:rsid w:val="00E87F04"/>
    <w:rsid w:val="00E90473"/>
    <w:rsid w:val="00E91A25"/>
    <w:rsid w:val="00E92C49"/>
    <w:rsid w:val="00E93C29"/>
    <w:rsid w:val="00E976EF"/>
    <w:rsid w:val="00EA1AAB"/>
    <w:rsid w:val="00EA2787"/>
    <w:rsid w:val="00EA2E5F"/>
    <w:rsid w:val="00EA3DB0"/>
    <w:rsid w:val="00EA4BF5"/>
    <w:rsid w:val="00EA553F"/>
    <w:rsid w:val="00EA59E5"/>
    <w:rsid w:val="00EA5A79"/>
    <w:rsid w:val="00EA65BC"/>
    <w:rsid w:val="00EA6876"/>
    <w:rsid w:val="00EA6B10"/>
    <w:rsid w:val="00EA7666"/>
    <w:rsid w:val="00EB0F30"/>
    <w:rsid w:val="00EB2923"/>
    <w:rsid w:val="00EB3406"/>
    <w:rsid w:val="00EB466C"/>
    <w:rsid w:val="00EB6FD0"/>
    <w:rsid w:val="00EB75E3"/>
    <w:rsid w:val="00EC2BE5"/>
    <w:rsid w:val="00EC329B"/>
    <w:rsid w:val="00EC4EFE"/>
    <w:rsid w:val="00EC5211"/>
    <w:rsid w:val="00EC5761"/>
    <w:rsid w:val="00EC5E4F"/>
    <w:rsid w:val="00EC5F97"/>
    <w:rsid w:val="00EC60FC"/>
    <w:rsid w:val="00EC6654"/>
    <w:rsid w:val="00ED1161"/>
    <w:rsid w:val="00ED1BD2"/>
    <w:rsid w:val="00ED33F0"/>
    <w:rsid w:val="00EE05A2"/>
    <w:rsid w:val="00EE12D3"/>
    <w:rsid w:val="00EE19EF"/>
    <w:rsid w:val="00EE230A"/>
    <w:rsid w:val="00EE75FC"/>
    <w:rsid w:val="00EF23F0"/>
    <w:rsid w:val="00EF7138"/>
    <w:rsid w:val="00EF79A8"/>
    <w:rsid w:val="00F03845"/>
    <w:rsid w:val="00F0390C"/>
    <w:rsid w:val="00F0494E"/>
    <w:rsid w:val="00F05973"/>
    <w:rsid w:val="00F110AF"/>
    <w:rsid w:val="00F130E4"/>
    <w:rsid w:val="00F153EA"/>
    <w:rsid w:val="00F16641"/>
    <w:rsid w:val="00F166B6"/>
    <w:rsid w:val="00F16A79"/>
    <w:rsid w:val="00F1767B"/>
    <w:rsid w:val="00F17F9C"/>
    <w:rsid w:val="00F20062"/>
    <w:rsid w:val="00F20515"/>
    <w:rsid w:val="00F20EF6"/>
    <w:rsid w:val="00F21969"/>
    <w:rsid w:val="00F24BCE"/>
    <w:rsid w:val="00F258FA"/>
    <w:rsid w:val="00F266D2"/>
    <w:rsid w:val="00F31B9A"/>
    <w:rsid w:val="00F3239C"/>
    <w:rsid w:val="00F330AB"/>
    <w:rsid w:val="00F33284"/>
    <w:rsid w:val="00F339C3"/>
    <w:rsid w:val="00F344BF"/>
    <w:rsid w:val="00F3486A"/>
    <w:rsid w:val="00F44071"/>
    <w:rsid w:val="00F4423A"/>
    <w:rsid w:val="00F447EB"/>
    <w:rsid w:val="00F45070"/>
    <w:rsid w:val="00F450F8"/>
    <w:rsid w:val="00F452A4"/>
    <w:rsid w:val="00F464BE"/>
    <w:rsid w:val="00F47298"/>
    <w:rsid w:val="00F5208A"/>
    <w:rsid w:val="00F523FA"/>
    <w:rsid w:val="00F52F2C"/>
    <w:rsid w:val="00F53B3C"/>
    <w:rsid w:val="00F5522E"/>
    <w:rsid w:val="00F558F5"/>
    <w:rsid w:val="00F57D75"/>
    <w:rsid w:val="00F6032F"/>
    <w:rsid w:val="00F613C0"/>
    <w:rsid w:val="00F64BDD"/>
    <w:rsid w:val="00F65802"/>
    <w:rsid w:val="00F665BB"/>
    <w:rsid w:val="00F6663F"/>
    <w:rsid w:val="00F70016"/>
    <w:rsid w:val="00F71CA4"/>
    <w:rsid w:val="00F72085"/>
    <w:rsid w:val="00F7428D"/>
    <w:rsid w:val="00F752B1"/>
    <w:rsid w:val="00F75AA5"/>
    <w:rsid w:val="00F762D9"/>
    <w:rsid w:val="00F771FA"/>
    <w:rsid w:val="00F802BB"/>
    <w:rsid w:val="00F81EAB"/>
    <w:rsid w:val="00F906DD"/>
    <w:rsid w:val="00F9166C"/>
    <w:rsid w:val="00F92104"/>
    <w:rsid w:val="00F9291E"/>
    <w:rsid w:val="00F941EA"/>
    <w:rsid w:val="00F96BC8"/>
    <w:rsid w:val="00F97342"/>
    <w:rsid w:val="00F97370"/>
    <w:rsid w:val="00F97AC6"/>
    <w:rsid w:val="00F97DAA"/>
    <w:rsid w:val="00FA4443"/>
    <w:rsid w:val="00FA4B4C"/>
    <w:rsid w:val="00FA4C3E"/>
    <w:rsid w:val="00FA6BAD"/>
    <w:rsid w:val="00FA6FBC"/>
    <w:rsid w:val="00FA7440"/>
    <w:rsid w:val="00FA79D5"/>
    <w:rsid w:val="00FB0F70"/>
    <w:rsid w:val="00FB1B5B"/>
    <w:rsid w:val="00FB2432"/>
    <w:rsid w:val="00FB2505"/>
    <w:rsid w:val="00FB28E9"/>
    <w:rsid w:val="00FB2FC8"/>
    <w:rsid w:val="00FC0233"/>
    <w:rsid w:val="00FC1C95"/>
    <w:rsid w:val="00FC216F"/>
    <w:rsid w:val="00FC2D61"/>
    <w:rsid w:val="00FC3DDD"/>
    <w:rsid w:val="00FC4700"/>
    <w:rsid w:val="00FC6696"/>
    <w:rsid w:val="00FC68A4"/>
    <w:rsid w:val="00FD197C"/>
    <w:rsid w:val="00FD1FE2"/>
    <w:rsid w:val="00FD32C3"/>
    <w:rsid w:val="00FD578F"/>
    <w:rsid w:val="00FD6B36"/>
    <w:rsid w:val="00FE047C"/>
    <w:rsid w:val="00FE195E"/>
    <w:rsid w:val="00FE1F86"/>
    <w:rsid w:val="00FE2049"/>
    <w:rsid w:val="00FE3616"/>
    <w:rsid w:val="00FE544F"/>
    <w:rsid w:val="00FE5CD0"/>
    <w:rsid w:val="00FE757A"/>
    <w:rsid w:val="00FF0E3B"/>
    <w:rsid w:val="00FF0F48"/>
    <w:rsid w:val="00FF18AA"/>
    <w:rsid w:val="00FF1B49"/>
    <w:rsid w:val="00FF354A"/>
    <w:rsid w:val="00FF3D8A"/>
    <w:rsid w:val="00FF6A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22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pPr>
      <w:keepNext/>
      <w:numPr>
        <w:numId w:val="19"/>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9"/>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9"/>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9"/>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9"/>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9"/>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9"/>
      </w:numPr>
      <w:outlineLvl w:val="6"/>
    </w:pPr>
    <w:rPr>
      <w:rFonts w:eastAsiaTheme="majorEastAsia"/>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794C3F"/>
    <w:pPr>
      <w:numPr>
        <w:numId w:val="2"/>
      </w:numPr>
      <w:contextualSpacing/>
    </w:pPr>
  </w:style>
  <w:style w:type="paragraph" w:styleId="ListBullet2">
    <w:name w:val="List Bullet 2"/>
    <w:basedOn w:val="Normal"/>
    <w:uiPriority w:val="99"/>
    <w:semiHidden/>
    <w:unhideWhenUsed/>
    <w:rsid w:val="00794C3F"/>
    <w:pPr>
      <w:numPr>
        <w:numId w:val="3"/>
      </w:numPr>
      <w:contextualSpacing/>
    </w:pPr>
  </w:style>
  <w:style w:type="paragraph" w:styleId="ListBullet3">
    <w:name w:val="List Bullet 3"/>
    <w:basedOn w:val="Normal"/>
    <w:uiPriority w:val="99"/>
    <w:semiHidden/>
    <w:unhideWhenUsed/>
    <w:rsid w:val="00794C3F"/>
    <w:pPr>
      <w:numPr>
        <w:numId w:val="4"/>
      </w:numPr>
      <w:contextualSpacing/>
    </w:pPr>
  </w:style>
  <w:style w:type="paragraph" w:styleId="ListBullet4">
    <w:name w:val="List Bullet 4"/>
    <w:basedOn w:val="Normal"/>
    <w:uiPriority w:val="99"/>
    <w:semiHidden/>
    <w:unhideWhenUsed/>
    <w:rsid w:val="00794C3F"/>
    <w:pPr>
      <w:numPr>
        <w:numId w:val="5"/>
      </w:numPr>
      <w:contextualSpacing/>
    </w:pPr>
  </w:style>
  <w:style w:type="paragraph" w:styleId="ListParagraph">
    <w:name w:val="List Paragraph"/>
    <w:basedOn w:val="Normal"/>
    <w:uiPriority w:val="34"/>
    <w:qFormat/>
    <w:rsid w:val="004F3A21"/>
    <w:pPr>
      <w:ind w:left="720"/>
      <w:contextualSpacing/>
    </w:pPr>
  </w:style>
  <w:style w:type="paragraph" w:customStyle="1" w:styleId="LegalNumPar">
    <w:name w:val="LegalNumPar"/>
    <w:basedOn w:val="Normal"/>
    <w:rsid w:val="004F3A21"/>
    <w:pPr>
      <w:numPr>
        <w:numId w:val="6"/>
      </w:numPr>
      <w:spacing w:line="360" w:lineRule="auto"/>
    </w:pPr>
  </w:style>
  <w:style w:type="paragraph" w:customStyle="1" w:styleId="LegalNumPar2">
    <w:name w:val="LegalNumPar2"/>
    <w:basedOn w:val="Normal"/>
    <w:rsid w:val="004F3A21"/>
    <w:pPr>
      <w:numPr>
        <w:ilvl w:val="1"/>
        <w:numId w:val="6"/>
      </w:numPr>
      <w:spacing w:line="360" w:lineRule="auto"/>
    </w:pPr>
  </w:style>
  <w:style w:type="paragraph" w:customStyle="1" w:styleId="LegalNumPar3">
    <w:name w:val="LegalNumPar3"/>
    <w:basedOn w:val="Normal"/>
    <w:rsid w:val="004F3A21"/>
    <w:pPr>
      <w:numPr>
        <w:ilvl w:val="2"/>
        <w:numId w:val="6"/>
      </w:numPr>
      <w:spacing w:line="360" w:lineRule="auto"/>
    </w:pPr>
  </w:style>
  <w:style w:type="paragraph" w:customStyle="1" w:styleId="Body">
    <w:name w:val="Body"/>
    <w:rsid w:val="00C51568"/>
    <w:pPr>
      <w:pBdr>
        <w:top w:val="nil"/>
        <w:left w:val="nil"/>
        <w:bottom w:val="nil"/>
        <w:right w:val="nil"/>
        <w:between w:val="nil"/>
        <w:bar w:val="nil"/>
      </w:pBdr>
    </w:pPr>
    <w:rPr>
      <w:rFonts w:ascii="Calibri" w:eastAsia="Calibri" w:hAnsi="Calibri" w:cs="Calibri"/>
      <w:color w:val="000000"/>
      <w:u w:color="000000"/>
      <w:bdr w:val="nil"/>
      <w:lang w:val="en-GB" w:eastAsia="en-GB"/>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B979C5"/>
    <w:rPr>
      <w:sz w:val="16"/>
      <w:szCs w:val="16"/>
    </w:rPr>
  </w:style>
  <w:style w:type="paragraph" w:styleId="CommentText">
    <w:name w:val="annotation text"/>
    <w:basedOn w:val="Normal"/>
    <w:link w:val="CommentTextChar"/>
    <w:uiPriority w:val="99"/>
    <w:unhideWhenUsed/>
    <w:rsid w:val="00B979C5"/>
    <w:rPr>
      <w:sz w:val="20"/>
      <w:szCs w:val="20"/>
    </w:rPr>
  </w:style>
  <w:style w:type="character" w:customStyle="1" w:styleId="CommentTextChar">
    <w:name w:val="Comment Text Char"/>
    <w:basedOn w:val="DefaultParagraphFont"/>
    <w:link w:val="CommentText"/>
    <w:uiPriority w:val="99"/>
    <w:rsid w:val="00B979C5"/>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B979C5"/>
    <w:rPr>
      <w:b/>
      <w:bCs/>
    </w:rPr>
  </w:style>
  <w:style w:type="character" w:customStyle="1" w:styleId="CommentSubjectChar">
    <w:name w:val="Comment Subject Char"/>
    <w:basedOn w:val="CommentTextChar"/>
    <w:link w:val="CommentSubject"/>
    <w:uiPriority w:val="99"/>
    <w:semiHidden/>
    <w:rsid w:val="00B979C5"/>
    <w:rPr>
      <w:rFonts w:ascii="Times New Roman" w:hAnsi="Times New Roman" w:cs="Times New Roman"/>
      <w:b/>
      <w:bCs/>
      <w:sz w:val="20"/>
      <w:szCs w:val="20"/>
      <w:lang w:val="en-GB"/>
    </w:rPr>
  </w:style>
  <w:style w:type="character" w:styleId="Hyperlink">
    <w:name w:val="Hyperlink"/>
    <w:basedOn w:val="DefaultParagraphFont"/>
    <w:uiPriority w:val="99"/>
    <w:unhideWhenUsed/>
    <w:rsid w:val="00B979C5"/>
    <w:rPr>
      <w:color w:val="0000FF" w:themeColor="hyperlink"/>
      <w:u w:val="single"/>
    </w:rPr>
  </w:style>
  <w:style w:type="character" w:customStyle="1" w:styleId="UnresolvedMention1">
    <w:name w:val="Unresolved Mention1"/>
    <w:basedOn w:val="DefaultParagraphFont"/>
    <w:uiPriority w:val="99"/>
    <w:semiHidden/>
    <w:unhideWhenUsed/>
    <w:rsid w:val="00B979C5"/>
    <w:rPr>
      <w:color w:val="605E5C"/>
      <w:shd w:val="clear" w:color="auto" w:fill="E1DFDD"/>
    </w:rPr>
  </w:style>
  <w:style w:type="paragraph" w:styleId="Revision">
    <w:name w:val="Revision"/>
    <w:hidden/>
    <w:uiPriority w:val="99"/>
    <w:semiHidden/>
    <w:rsid w:val="00AD7C5C"/>
    <w:pPr>
      <w:spacing w:after="0" w:line="240" w:lineRule="auto"/>
    </w:pPr>
    <w:rPr>
      <w:rFonts w:ascii="Times New Roman" w:hAnsi="Times New Roman" w:cs="Times New Roman"/>
      <w:sz w:val="24"/>
      <w:lang w:val="en-GB"/>
    </w:rPr>
  </w:style>
  <w:style w:type="paragraph" w:styleId="Caption">
    <w:name w:val="caption"/>
    <w:basedOn w:val="Normal"/>
    <w:next w:val="Normal"/>
    <w:uiPriority w:val="35"/>
    <w:semiHidden/>
    <w:unhideWhenUsed/>
    <w:qFormat/>
    <w:rsid w:val="0088744E"/>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88744E"/>
    <w:pPr>
      <w:spacing w:after="0"/>
    </w:pPr>
  </w:style>
  <w:style w:type="paragraph" w:styleId="ListNumber">
    <w:name w:val="List Number"/>
    <w:basedOn w:val="Normal"/>
    <w:uiPriority w:val="99"/>
    <w:semiHidden/>
    <w:unhideWhenUsed/>
    <w:rsid w:val="0088744E"/>
    <w:pPr>
      <w:numPr>
        <w:numId w:val="7"/>
      </w:numPr>
      <w:contextualSpacing/>
    </w:pPr>
  </w:style>
  <w:style w:type="paragraph" w:styleId="ListNumber2">
    <w:name w:val="List Number 2"/>
    <w:basedOn w:val="Normal"/>
    <w:uiPriority w:val="99"/>
    <w:semiHidden/>
    <w:unhideWhenUsed/>
    <w:rsid w:val="0088744E"/>
    <w:pPr>
      <w:numPr>
        <w:numId w:val="8"/>
      </w:numPr>
      <w:contextualSpacing/>
    </w:pPr>
  </w:style>
  <w:style w:type="paragraph" w:styleId="ListNumber3">
    <w:name w:val="List Number 3"/>
    <w:basedOn w:val="Normal"/>
    <w:uiPriority w:val="99"/>
    <w:semiHidden/>
    <w:unhideWhenUsed/>
    <w:rsid w:val="0088744E"/>
    <w:pPr>
      <w:numPr>
        <w:numId w:val="9"/>
      </w:numPr>
      <w:contextualSpacing/>
    </w:pPr>
  </w:style>
  <w:style w:type="paragraph" w:styleId="ListNumber4">
    <w:name w:val="List Number 4"/>
    <w:basedOn w:val="Normal"/>
    <w:uiPriority w:val="99"/>
    <w:semiHidden/>
    <w:unhideWhenUsed/>
    <w:rsid w:val="0088744E"/>
    <w:pPr>
      <w:numPr>
        <w:numId w:val="10"/>
      </w:numPr>
      <w:contextualSpacing/>
    </w:pPr>
  </w:style>
  <w:style w:type="paragraph" w:styleId="BalloonText">
    <w:name w:val="Balloon Text"/>
    <w:basedOn w:val="Normal"/>
    <w:link w:val="BalloonTextChar"/>
    <w:uiPriority w:val="99"/>
    <w:semiHidden/>
    <w:unhideWhenUsed/>
    <w:rsid w:val="0066348F"/>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48F"/>
    <w:rPr>
      <w:rFonts w:ascii="Segoe UI" w:hAnsi="Segoe UI" w:cs="Segoe UI"/>
      <w:sz w:val="18"/>
      <w:szCs w:val="18"/>
      <w:lang w:val="en-GB"/>
    </w:rPr>
  </w:style>
  <w:style w:type="character" w:styleId="UnresolvedMention">
    <w:name w:val="Unresolved Mention"/>
    <w:basedOn w:val="DefaultParagraphFont"/>
    <w:uiPriority w:val="99"/>
    <w:semiHidden/>
    <w:unhideWhenUsed/>
    <w:rsid w:val="00D32F8E"/>
    <w:rPr>
      <w:color w:val="605E5C"/>
      <w:shd w:val="clear" w:color="auto" w:fill="E1DFDD"/>
    </w:rPr>
  </w:style>
  <w:style w:type="character" w:styleId="PlaceholderText">
    <w:name w:val="Placeholder Text"/>
    <w:basedOn w:val="DefaultParagraphFont"/>
    <w:uiPriority w:val="99"/>
    <w:semiHidden/>
    <w:rsid w:val="00B53EF2"/>
    <w:rPr>
      <w:color w:val="666666"/>
    </w:rPr>
  </w:style>
  <w:style w:type="paragraph" w:styleId="Header">
    <w:name w:val="header"/>
    <w:basedOn w:val="Normal"/>
    <w:link w:val="HeaderChar"/>
    <w:uiPriority w:val="99"/>
    <w:semiHidden/>
    <w:unhideWhenUsed/>
    <w:pPr>
      <w:tabs>
        <w:tab w:val="center" w:pos="4535"/>
        <w:tab w:val="right" w:pos="9071"/>
      </w:tabs>
      <w:spacing w:before="0"/>
    </w:pPr>
  </w:style>
  <w:style w:type="character" w:customStyle="1" w:styleId="HeaderChar">
    <w:name w:val="Header Char"/>
    <w:basedOn w:val="DefaultParagraphFont"/>
    <w:link w:val="Header"/>
    <w:uiPriority w:val="99"/>
    <w:semiHidden/>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en-GB"/>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en-GB"/>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en-GB"/>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en-GB"/>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ind w:left="1417" w:hanging="1417"/>
      <w:jc w:val="left"/>
    </w:pPr>
  </w:style>
  <w:style w:type="paragraph" w:customStyle="1" w:styleId="HeaderLandscape">
    <w:name w:val="HeaderLandscape"/>
    <w:basedOn w:val="Normal"/>
    <w:pPr>
      <w:tabs>
        <w:tab w:val="center" w:pos="7285"/>
        <w:tab w:val="right" w:pos="14003"/>
      </w:tabs>
      <w:spacing w:before="0"/>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Pr>
      <w:shd w:val="clear" w:color="auto" w:fill="auto"/>
      <w:vertAlign w:val="superscript"/>
    </w:rPr>
  </w:style>
  <w:style w:type="paragraph" w:customStyle="1" w:styleId="HeaderSensitivity">
    <w:name w:val="Header Sensitivity"/>
    <w:basedOn w:val="Normal"/>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pPr>
      <w:spacing w:before="0"/>
      <w:jc w:val="right"/>
    </w:pPr>
    <w:rPr>
      <w:sz w:val="28"/>
    </w:rPr>
  </w:style>
  <w:style w:type="paragraph" w:customStyle="1" w:styleId="FooterSensitivity">
    <w:name w:val="Footer Sensitivity"/>
    <w:basedOn w:val="Normal"/>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2"/>
      </w:numPr>
    </w:pPr>
  </w:style>
  <w:style w:type="paragraph" w:customStyle="1" w:styleId="Tiret1">
    <w:name w:val="Tiret 1"/>
    <w:basedOn w:val="Point1"/>
    <w:pPr>
      <w:numPr>
        <w:numId w:val="13"/>
      </w:numPr>
    </w:pPr>
  </w:style>
  <w:style w:type="paragraph" w:customStyle="1" w:styleId="Tiret2">
    <w:name w:val="Tiret 2"/>
    <w:basedOn w:val="Point2"/>
    <w:pPr>
      <w:numPr>
        <w:numId w:val="14"/>
      </w:numPr>
    </w:pPr>
  </w:style>
  <w:style w:type="paragraph" w:customStyle="1" w:styleId="Tiret3">
    <w:name w:val="Tiret 3"/>
    <w:basedOn w:val="Point3"/>
    <w:pPr>
      <w:numPr>
        <w:numId w:val="15"/>
      </w:numPr>
    </w:pPr>
  </w:style>
  <w:style w:type="paragraph" w:customStyle="1" w:styleId="Tiret4">
    <w:name w:val="Tiret 4"/>
    <w:basedOn w:val="Point4"/>
    <w:pPr>
      <w:numPr>
        <w:numId w:val="16"/>
      </w:numPr>
    </w:pPr>
  </w:style>
  <w:style w:type="paragraph" w:customStyle="1" w:styleId="Tiret5">
    <w:name w:val="Tiret 5"/>
    <w:basedOn w:val="Point5"/>
    <w:pPr>
      <w:numPr>
        <w:numId w:val="17"/>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8"/>
      </w:numPr>
    </w:pPr>
  </w:style>
  <w:style w:type="paragraph" w:customStyle="1" w:styleId="NumPar2">
    <w:name w:val="NumPar 2"/>
    <w:basedOn w:val="Normal"/>
    <w:next w:val="Text1"/>
    <w:pPr>
      <w:numPr>
        <w:ilvl w:val="1"/>
        <w:numId w:val="18"/>
      </w:numPr>
    </w:pPr>
  </w:style>
  <w:style w:type="paragraph" w:customStyle="1" w:styleId="NumPar3">
    <w:name w:val="NumPar 3"/>
    <w:basedOn w:val="Normal"/>
    <w:next w:val="Text1"/>
    <w:pPr>
      <w:numPr>
        <w:ilvl w:val="2"/>
        <w:numId w:val="18"/>
      </w:numPr>
    </w:pPr>
  </w:style>
  <w:style w:type="paragraph" w:customStyle="1" w:styleId="NumPar4">
    <w:name w:val="NumPar 4"/>
    <w:basedOn w:val="Normal"/>
    <w:next w:val="Text1"/>
    <w:pPr>
      <w:numPr>
        <w:ilvl w:val="3"/>
        <w:numId w:val="18"/>
      </w:numPr>
    </w:pPr>
  </w:style>
  <w:style w:type="paragraph" w:customStyle="1" w:styleId="NumPar5">
    <w:name w:val="NumPar 5"/>
    <w:basedOn w:val="Normal"/>
    <w:next w:val="Text2"/>
    <w:pPr>
      <w:numPr>
        <w:ilvl w:val="4"/>
        <w:numId w:val="18"/>
      </w:numPr>
    </w:pPr>
  </w:style>
  <w:style w:type="paragraph" w:customStyle="1" w:styleId="NumPar6">
    <w:name w:val="NumPar 6"/>
    <w:basedOn w:val="Normal"/>
    <w:next w:val="Text2"/>
    <w:pPr>
      <w:numPr>
        <w:ilvl w:val="5"/>
        <w:numId w:val="18"/>
      </w:numPr>
    </w:pPr>
  </w:style>
  <w:style w:type="paragraph" w:customStyle="1" w:styleId="NumPar7">
    <w:name w:val="NumPar 7"/>
    <w:basedOn w:val="Normal"/>
    <w:next w:val="Text2"/>
    <w:pPr>
      <w:numPr>
        <w:ilvl w:val="6"/>
        <w:numId w:val="18"/>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20"/>
      </w:numPr>
    </w:pPr>
  </w:style>
  <w:style w:type="paragraph" w:customStyle="1" w:styleId="Point1number">
    <w:name w:val="Point 1 (number)"/>
    <w:basedOn w:val="Normal"/>
    <w:pPr>
      <w:numPr>
        <w:ilvl w:val="2"/>
        <w:numId w:val="20"/>
      </w:numPr>
    </w:pPr>
  </w:style>
  <w:style w:type="paragraph" w:customStyle="1" w:styleId="Point2number">
    <w:name w:val="Point 2 (number)"/>
    <w:basedOn w:val="Normal"/>
    <w:pPr>
      <w:numPr>
        <w:ilvl w:val="4"/>
        <w:numId w:val="20"/>
      </w:numPr>
    </w:pPr>
  </w:style>
  <w:style w:type="paragraph" w:customStyle="1" w:styleId="Point3number">
    <w:name w:val="Point 3 (number)"/>
    <w:basedOn w:val="Normal"/>
    <w:pPr>
      <w:numPr>
        <w:ilvl w:val="6"/>
        <w:numId w:val="20"/>
      </w:numPr>
    </w:pPr>
  </w:style>
  <w:style w:type="paragraph" w:customStyle="1" w:styleId="Point0letter">
    <w:name w:val="Point 0 (letter)"/>
    <w:basedOn w:val="Normal"/>
    <w:pPr>
      <w:numPr>
        <w:ilvl w:val="1"/>
        <w:numId w:val="20"/>
      </w:numPr>
    </w:pPr>
  </w:style>
  <w:style w:type="paragraph" w:customStyle="1" w:styleId="Point1letter">
    <w:name w:val="Point 1 (letter)"/>
    <w:basedOn w:val="Normal"/>
    <w:pPr>
      <w:numPr>
        <w:ilvl w:val="3"/>
        <w:numId w:val="20"/>
      </w:numPr>
    </w:pPr>
  </w:style>
  <w:style w:type="paragraph" w:customStyle="1" w:styleId="Point2letter">
    <w:name w:val="Point 2 (letter)"/>
    <w:basedOn w:val="Normal"/>
    <w:pPr>
      <w:numPr>
        <w:ilvl w:val="5"/>
        <w:numId w:val="20"/>
      </w:numPr>
    </w:pPr>
  </w:style>
  <w:style w:type="paragraph" w:customStyle="1" w:styleId="Point3letter">
    <w:name w:val="Point 3 (letter)"/>
    <w:basedOn w:val="Normal"/>
    <w:pPr>
      <w:numPr>
        <w:ilvl w:val="7"/>
        <w:numId w:val="20"/>
      </w:numPr>
    </w:pPr>
  </w:style>
  <w:style w:type="paragraph" w:customStyle="1" w:styleId="Point4letter">
    <w:name w:val="Point 4 (letter)"/>
    <w:basedOn w:val="Normal"/>
    <w:pPr>
      <w:numPr>
        <w:ilvl w:val="8"/>
        <w:numId w:val="20"/>
      </w:numPr>
    </w:pPr>
  </w:style>
  <w:style w:type="paragraph" w:customStyle="1" w:styleId="Bullet0">
    <w:name w:val="Bullet 0"/>
    <w:basedOn w:val="Normal"/>
    <w:pPr>
      <w:numPr>
        <w:numId w:val="21"/>
      </w:numPr>
    </w:pPr>
  </w:style>
  <w:style w:type="paragraph" w:customStyle="1" w:styleId="Bullet1">
    <w:name w:val="Bullet 1"/>
    <w:basedOn w:val="Normal"/>
    <w:pPr>
      <w:numPr>
        <w:numId w:val="22"/>
      </w:numPr>
    </w:pPr>
  </w:style>
  <w:style w:type="paragraph" w:customStyle="1" w:styleId="Bullet2">
    <w:name w:val="Bullet 2"/>
    <w:basedOn w:val="Normal"/>
    <w:pPr>
      <w:numPr>
        <w:numId w:val="23"/>
      </w:numPr>
    </w:pPr>
  </w:style>
  <w:style w:type="paragraph" w:customStyle="1" w:styleId="Bullet3">
    <w:name w:val="Bullet 3"/>
    <w:basedOn w:val="Normal"/>
    <w:pPr>
      <w:numPr>
        <w:numId w:val="24"/>
      </w:numPr>
    </w:pPr>
  </w:style>
  <w:style w:type="paragraph" w:customStyle="1" w:styleId="Bullet4">
    <w:name w:val="Bullet 4"/>
    <w:basedOn w:val="Normal"/>
    <w:pPr>
      <w:numPr>
        <w:numId w:val="25"/>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26"/>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IntrtEEE"/>
    <w:pPr>
      <w:spacing w:before="360" w:after="360"/>
      <w:jc w:val="center"/>
    </w:pPr>
    <w:rPr>
      <w:b/>
    </w:rPr>
  </w:style>
  <w:style w:type="paragraph" w:customStyle="1" w:styleId="Typedudocument">
    <w:name w:val="Type du document"/>
    <w:basedOn w:val="Normal"/>
    <w:next w:val="Titreobjet"/>
    <w:pPr>
      <w:spacing w:before="360" w:after="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rsid w:val="00E664ED"/>
    <w:pPr>
      <w:spacing w:before="360" w:after="24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Titreobjet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itreobjetPagedecouverture">
    <w:name w:val="Titre objet (Page de couverture)"/>
    <w:basedOn w:val="Titreobjet"/>
    <w:next w:val="IntrtEEEPagedecouverture"/>
  </w:style>
  <w:style w:type="paragraph" w:customStyle="1" w:styleId="TypedudocumentPagedecouverture">
    <w:name w:val="Type du document (Page de couverture)"/>
    <w:basedOn w:val="Typedudocument"/>
    <w:next w:val="Titreobje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rsid w:val="00E664ED"/>
    <w:pPr>
      <w:spacing w:after="0"/>
    </w:pPr>
  </w:style>
  <w:style w:type="paragraph" w:customStyle="1" w:styleId="Accompagnant">
    <w:name w:val="Accompagnant"/>
    <w:basedOn w:val="Normal"/>
    <w:next w:val="Typeacteprincipal"/>
    <w:pPr>
      <w:spacing w:before="0" w:after="240"/>
      <w:jc w:val="center"/>
    </w:pPr>
    <w:rPr>
      <w:b/>
      <w:i/>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Normal"/>
    <w:rsid w:val="00E664ED"/>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Rfrencecroise"/>
    <w:rsid w:val="00E664ED"/>
    <w:pPr>
      <w:spacing w:before="36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73">
      <w:bodyDiv w:val="1"/>
      <w:marLeft w:val="0"/>
      <w:marRight w:val="0"/>
      <w:marTop w:val="0"/>
      <w:marBottom w:val="0"/>
      <w:divBdr>
        <w:top w:val="none" w:sz="0" w:space="0" w:color="auto"/>
        <w:left w:val="none" w:sz="0" w:space="0" w:color="auto"/>
        <w:bottom w:val="none" w:sz="0" w:space="0" w:color="auto"/>
        <w:right w:val="none" w:sz="0" w:space="0" w:color="auto"/>
      </w:divBdr>
    </w:div>
    <w:div w:id="167098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ur-lex.europa.eu/eli/reg/2025/3/oj" TargetMode="External"/><Relationship Id="rId2" Type="http://schemas.openxmlformats.org/officeDocument/2006/relationships/hyperlink" Target="http://data.europa.eu/eli/reg/2019/2144/oj"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530B792-1305-4B66-BD7C-FF932E64E21A}"/>
      </w:docPartPr>
      <w:docPartBody>
        <w:p w:rsidR="0029678B" w:rsidRDefault="0029678B">
          <w:r w:rsidRPr="00AF78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8B"/>
    <w:rsid w:val="0029678B"/>
    <w:rsid w:val="00C1476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678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E5689-8E60-43D0-A3C5-B5B6E2076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COM.dotm</Template>
  <TotalTime>0</TotalTime>
  <Pages>3</Pages>
  <Words>897</Words>
  <Characters>5061</Characters>
  <Application>Microsoft Office Word</Application>
  <DocSecurity>0</DocSecurity>
  <Lines>96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Links>
    <vt:vector size="18" baseType="variant">
      <vt:variant>
        <vt:i4>6750314</vt:i4>
      </vt:variant>
      <vt:variant>
        <vt:i4>0</vt:i4>
      </vt:variant>
      <vt:variant>
        <vt:i4>0</vt:i4>
      </vt:variant>
      <vt:variant>
        <vt:i4>5</vt:i4>
      </vt:variant>
      <vt:variant>
        <vt:lpwstr>http://data.europa.eu/eli/reg/2019/2144/oj</vt:lpwstr>
      </vt:variant>
      <vt:variant>
        <vt:lpwstr/>
      </vt:variant>
      <vt:variant>
        <vt:i4>262164</vt:i4>
      </vt:variant>
      <vt:variant>
        <vt:i4>3</vt:i4>
      </vt:variant>
      <vt:variant>
        <vt:i4>0</vt:i4>
      </vt:variant>
      <vt:variant>
        <vt:i4>5</vt:i4>
      </vt:variant>
      <vt:variant>
        <vt:lpwstr>https://webgate.ec.europa.eu/fpfis/wikis/spaces/dap/pages/343284601/Recitals</vt:lpwstr>
      </vt:variant>
      <vt:variant>
        <vt:lpwstr/>
      </vt:variant>
      <vt:variant>
        <vt:i4>1572865</vt:i4>
      </vt:variant>
      <vt:variant>
        <vt:i4>0</vt:i4>
      </vt:variant>
      <vt:variant>
        <vt:i4>0</vt:i4>
      </vt:variant>
      <vt:variant>
        <vt:i4>5</vt:i4>
      </vt:variant>
      <vt:variant>
        <vt:lpwstr>https://webgate.ec.europa.eu/fpfis/wikis/spaces/dap/pages/343284579/Recitals+general+guidance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2025-11-19T09:51:00Z</dcterms:created>
  <dcterms:modified xsi:type="dcterms:W3CDTF">2025-11-24T12:42:00Z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edited using">
    <vt:lpwstr>LW 9.2, Build 20250828</vt:lpwstr>
  </property>
  <property fmtid="{D5CDD505-2E9C-101B-9397-08002B2CF9AE}" pid="3" name="MSIP_Label_6bd9ddd1-4d20-43f6-abfa-fc3c07406f94_Enabled">
    <vt:lpwstr>true</vt:lpwstr>
  </property>
  <property fmtid="{D5CDD505-2E9C-101B-9397-08002B2CF9AE}" pid="4" name="MSIP_Label_6bd9ddd1-4d20-43f6-abfa-fc3c07406f94_SetDate">
    <vt:lpwstr>2025-11-19T09:15:47Z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d893422f-9763-4ad8-96bc-5ed4623f42d2</vt:lpwstr>
  </property>
  <property fmtid="{D5CDD505-2E9C-101B-9397-08002B2CF9AE}" pid="9" name="MSIP_Label_6bd9ddd1-4d20-43f6-abfa-fc3c07406f94_ContentBits">
    <vt:lpwstr>0</vt:lpwstr>
  </property>
  <property fmtid="{D5CDD505-2E9C-101B-9397-08002B2CF9AE}" pid="10" name="MSIP_Label_6bd9ddd1-4d20-43f6-abfa-fc3c07406f94_Tag">
    <vt:lpwstr>10, 3, 0, 1</vt:lpwstr>
  </property>
  <property fmtid="{D5CDD505-2E9C-101B-9397-08002B2CF9AE}" pid="11" name="Category">
    <vt:lpwstr>COM/AA</vt:lpwstr>
  </property>
  <property fmtid="{D5CDD505-2E9C-101B-9397-08002B2CF9AE}" pid="12" name="Level of sensitivity">
    <vt:lpwstr>Standard treatment</vt:lpwstr>
  </property>
  <property fmtid="{D5CDD505-2E9C-101B-9397-08002B2CF9AE}" pid="13" name="Part">
    <vt:lpwstr>1</vt:lpwstr>
  </property>
  <property fmtid="{D5CDD505-2E9C-101B-9397-08002B2CF9AE}" pid="14" name="Total parts">
    <vt:lpwstr>1</vt:lpwstr>
  </property>
  <property fmtid="{D5CDD505-2E9C-101B-9397-08002B2CF9AE}" pid="15" name="LWTemplateID">
    <vt:lpwstr>SJ-004</vt:lpwstr>
  </property>
  <property fmtid="{D5CDD505-2E9C-101B-9397-08002B2CF9AE}" pid="16" name="DQCStatus">
    <vt:lpwstr>Green (DQC version 03)</vt:lpwstr>
  </property>
</Properties>
</file>