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Greenlit Control Tower Review</w:t>
      </w:r>
    </w:p>
    <w:p>
      <w:r>
        <w:t>Observed 28 September 2026  |  Signed in as administrator  |  User-facing test jobs</w:t>
      </w:r>
    </w:p>
    <w:p>
      <w:r>
        <w:t>This review compares the live screens and synthetic test jobs with ZHT Operations Demo V12_135. The clearest immediate fixes are the Controller visibility gate, the contradictory collection timeline, and export fields that the application requires but does not offer in its edit form.</w:t>
      </w:r>
    </w:p>
    <w:p>
      <w:pPr>
        <w:pStyle w:val="Heading1"/>
      </w:pPr>
      <w:r>
        <w:t>Executive priorities</w:t>
      </w:r>
    </w:p>
    <w:p>
      <w:pPr>
        <w:pStyle w:val="ListBullet"/>
      </w:pPr>
      <w:r>
        <w:t>P1  Apply V12_135 Controller visibility: show an import container only after handover; require its permit reference when Permit Required. Portnet release and discharge gate Plan, not handover.</w:t>
      </w:r>
    </w:p>
    <w:p>
      <w:pPr>
        <w:pStyle w:val="ListBullet"/>
      </w:pPr>
      <w:r>
        <w:t>P1  Make collection eligibility consistent across job detail, Controller Board, statuses and movement planning. Permit can remain outstanding while collection is eligible after Portnet release and discharge.</w:t>
      </w:r>
    </w:p>
    <w:p>
      <w:pPr>
        <w:pStyle w:val="ListBullet"/>
      </w:pPr>
      <w:r>
        <w:t>P2  Confirm dispatch sequencing, per container delivery timing, multi stop work and export port cut off with realistic test jobs.</w:t>
      </w:r>
    </w:p>
    <w:p>
      <w:pPr>
        <w:pStyle w:val="ListBullet"/>
      </w:pPr>
      <w:r>
        <w:t>P2  Add operational billing readiness beyond demurrage and detention if quotations, POD and transport charges are intended to be managed here.</w:t>
      </w:r>
    </w:p>
    <w:p>
      <w:pPr>
        <w:pStyle w:val="Heading1"/>
      </w:pPr>
      <w:r>
        <w:t>Confirmed observations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936"/>
            <w:vAlign w:val="center"/>
            <w:tcBorders>
              <w:top w:val="single" w:color="D9D9D9" w:sz="4"/>
              <w:left w:val="single" w:color="D9D9D9" w:sz="4"/>
              <w:bottom w:val="single" w:color="D9D9D9" w:sz="4"/>
              <w:right w:val="single" w:color="D9D9D9" w:sz="4"/>
            </w:tcBorders>
            <w:shd w:fill="DDEAF3"/>
          </w:tcPr>
          <w:p>
            <w:pPr>
              <w:spacing w:after="40"/>
            </w:pPr>
            <w:r>
              <w:rPr>
                <w:b/>
                <w:sz w:val="16"/>
              </w:rPr>
              <w:t>Priority</w:t>
            </w:r>
          </w:p>
        </w:tc>
        <w:tc>
          <w:tcPr>
            <w:tcW w:type="dxa" w:w="4824"/>
            <w:vAlign w:val="center"/>
            <w:tcBorders>
              <w:top w:val="single" w:color="D9D9D9" w:sz="4"/>
              <w:left w:val="single" w:color="D9D9D9" w:sz="4"/>
              <w:bottom w:val="single" w:color="D9D9D9" w:sz="4"/>
              <w:right w:val="single" w:color="D9D9D9" w:sz="4"/>
            </w:tcBorders>
            <w:shd w:fill="DDEAF3"/>
          </w:tcPr>
          <w:p>
            <w:pPr>
              <w:spacing w:after="40"/>
            </w:pPr>
            <w:r>
              <w:rPr>
                <w:b/>
                <w:sz w:val="16"/>
              </w:rPr>
              <w:t>Observed screen</w:t>
            </w:r>
          </w:p>
        </w:tc>
        <w:tc>
          <w:tcPr>
            <w:tcW w:type="dxa" w:w="4104"/>
            <w:vAlign w:val="center"/>
            <w:tcBorders>
              <w:top w:val="single" w:color="D9D9D9" w:sz="4"/>
              <w:left w:val="single" w:color="D9D9D9" w:sz="4"/>
              <w:bottom w:val="single" w:color="D9D9D9" w:sz="4"/>
              <w:right w:val="single" w:color="D9D9D9" w:sz="4"/>
            </w:tcBorders>
            <w:shd w:fill="DDEAF3"/>
          </w:tcPr>
          <w:p>
            <w:pPr>
              <w:spacing w:after="40"/>
            </w:pPr>
            <w:r>
              <w:rPr>
                <w:b/>
                <w:sz w:val="16"/>
              </w:rPr>
              <w:t>Why it matters / requested change</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P1</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QA-001 appears on the Controller Board before handover (0/2 handed over). After Portnet release and discharge, one unhanded box appears Ready for collection with Plan and Delivered, though its permit is missing.</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V12_135 shows import containers on the Controller board only after explicit handover; permit reference per box is a handover gate when required. Plan then needs release and discharge.</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P1</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QA-001 has release done and one box discharged, yet the job timeline says “Collect from terminal blocked” while the Board says a truck can be sent. Its permit panel says permit is not the collection gate.</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Use one collection gate across views. Explain the permit separately from collection.</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P2</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The sample shipment has empty yard and terminal blank. Document readiness lists empty yard and permit; shipment accordion says “none” although it holds customer, bill, vessel and address.</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Make section counts represent actual populated or missing fields. Surface missing operational data with clear owner and timing.</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P2</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Billing Ready states it covers D&amp;D exposure and does not hold transport rates.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If this is intended to support full billing, track quoted transport rate, extra trips, waiting, washing/repair, POD and invoice status by job.</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P2</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Customer Master contains profiles, delivery companies/addresses, active state and change history. Import form can select one address per job or ask per container.</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This is useful coverage. Test propagation of address, timing and special instructions into controller planning and historical jobs.</w:t>
            </w:r>
          </w:p>
        </w:tc>
      </w:tr>
    </w:tbl>
    <w:p>
      <w:pPr>
        <w:pStyle w:val="Heading1"/>
      </w:pPr>
      <w:r>
        <w:t>Workflow coverage and test cases</w:t>
      </w:r>
    </w:p>
    <w:p>
      <w:r>
        <w:t>The following controls are visible. The acceptance steps describe further cases; their actual results are recorded separately.</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469"/>
            <w:vAlign w:val="center"/>
            <w:tcBorders>
              <w:top w:val="single" w:color="D9D9D9" w:sz="4"/>
              <w:left w:val="single" w:color="D9D9D9" w:sz="4"/>
              <w:bottom w:val="single" w:color="D9D9D9" w:sz="4"/>
              <w:right w:val="single" w:color="D9D9D9" w:sz="4"/>
            </w:tcBorders>
            <w:shd w:fill="DDEAF3"/>
          </w:tcPr>
          <w:p>
            <w:pPr>
              <w:spacing w:after="40"/>
            </w:pPr>
            <w:r>
              <w:rPr>
                <w:b/>
                <w:sz w:val="16"/>
              </w:rPr>
              <w:t>Area</w:t>
            </w:r>
          </w:p>
        </w:tc>
        <w:tc>
          <w:tcPr>
            <w:tcW w:type="dxa" w:w="3960"/>
            <w:vAlign w:val="center"/>
            <w:tcBorders>
              <w:top w:val="single" w:color="D9D9D9" w:sz="4"/>
              <w:left w:val="single" w:color="D9D9D9" w:sz="4"/>
              <w:bottom w:val="single" w:color="D9D9D9" w:sz="4"/>
              <w:right w:val="single" w:color="D9D9D9" w:sz="4"/>
            </w:tcBorders>
            <w:shd w:fill="DDEAF3"/>
          </w:tcPr>
          <w:p>
            <w:pPr>
              <w:spacing w:after="40"/>
            </w:pPr>
            <w:r>
              <w:rPr>
                <w:b/>
                <w:sz w:val="16"/>
              </w:rPr>
              <w:t>Visible coverage</w:t>
            </w:r>
          </w:p>
        </w:tc>
        <w:tc>
          <w:tcPr>
            <w:tcW w:type="dxa" w:w="4435"/>
            <w:vAlign w:val="center"/>
            <w:tcBorders>
              <w:top w:val="single" w:color="D9D9D9" w:sz="4"/>
              <w:left w:val="single" w:color="D9D9D9" w:sz="4"/>
              <w:bottom w:val="single" w:color="D9D9D9" w:sz="4"/>
              <w:right w:val="single" w:color="D9D9D9" w:sz="4"/>
            </w:tcBorders>
            <w:shd w:fill="DDEAF3"/>
          </w:tcPr>
          <w:p>
            <w:pPr>
              <w:spacing w:after="40"/>
            </w:pPr>
            <w:r>
              <w:rPr>
                <w:b/>
                <w:sz w:val="16"/>
              </w:rPr>
              <w:t>Acceptance test to run</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Import intake</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Document upload, customer/address, vessel ETA with time, carrier, MBL/HBL, permit toggle, multiple containers, tri axle, empty yard and combined/separate free time.</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Upload a real NOA with multiple containers; check extraction confidence, size and numbers, correction flow, one job number, ETA updates, LFD and history.</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Permits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Shipment permit area and add permit action; missing permit appears in Action Required.</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Upload multiple permits; map to selected containers; validate vessel/voyage and expiry after ETA; preserve collection eligibility when permit is outstanding.</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Delivery</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Address selection at job or container level; delivery stops shown on job detail.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Set two stops for one box, different dates for two boxes, and delivery earlier than ETA; verify validation, controller view and changes.</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Export</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Booking, clearance reference, shipper, empty yard/date, CMS, quantity by size; container numbers and seals deferred.</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Create mixed sizes, then fill container number, seal, tare, VGM, slot and port/yard routing after collection; test cut off and CMS gate.</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Dispatch</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Controller Board, movement planning, fleet plan, Drivers &amp; Vehicles and Chassis Master are present.</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Test Portnet release gate before driver/chassis/pregate; night before first 2–3 jobs, 8 am remainder, next job before finish, live changes and empty return closure.</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Audit and reporting</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Job Activity Log, date changes, customer history, monthly/quarterly/yearly reports.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Edit shipment and container fields; confirm one consolidated job history with actor, timestamp, old/new values and matching dashboard/report totals.</w:t>
            </w:r>
          </w:p>
        </w:tc>
      </w:tr>
    </w:tbl>
    <w:p>
      <w:pPr>
        <w:pStyle w:val="Heading1"/>
      </w:pPr>
      <w:r>
        <w:t>Recommended implementation order</w:t>
      </w:r>
    </w:p>
    <w:p>
      <w:r>
        <w:t>1  Define status gates in one shared rules table: Portnet release, discharge, collection, delivery, empty return and closure. Specify precisely where a permit is required.</w:t>
      </w:r>
    </w:p>
    <w:p>
      <w:r>
        <w:t>2  Repair the QA-001 contradictory labels and use the same eligibility result in the job timeline, Action Required, Controller Board and Plan action.</w:t>
      </w:r>
    </w:p>
    <w:p>
      <w:r>
        <w:t>3  Continue the unrun acceptance cases with synthetic documents and role accounts. Record observed result, expected result and screenshot for each failure.</w:t>
      </w:r>
    </w:p>
    <w:p>
      <w:r>
        <w:t>4  Build the full operational data handover and billing path only after the movement and status rules pass.</w:t>
      </w:r>
    </w:p>
    <w:p>
      <w:pPr>
        <w:pStyle w:val="Heading1"/>
      </w:pPr>
      <w:r>
        <w:t>Review limits</w:t>
      </w:r>
    </w:p>
    <w:p>
      <w:r>
        <w:t>Testing used synthetic QA-001 and QA-002, plus supplied historical documents in DKSH-002 and JAS-001, in the signed in site on 28 September 2026. No transport movement was dispatched. Full permit allocation, pregate, role-specific sign-in, completed empty returns and live driver updates were not run. The complete result log is in the companion test pack.</w:t>
      </w:r>
    </w:p>
    <w:p>
      <w:r>
        <w:br w:type="page"/>
      </w:r>
    </w:p>
    <w:p>
      <w:pPr>
        <w:pStyle w:val="Heading1"/>
      </w:pPr>
      <w:r>
        <w:t>Executed test findings against V12 135</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008"/>
            <w:vAlign w:val="center"/>
            <w:tcBorders>
              <w:top w:val="single" w:color="D9D9D9" w:sz="4"/>
              <w:left w:val="single" w:color="D9D9D9" w:sz="4"/>
              <w:bottom w:val="single" w:color="D9D9D9" w:sz="4"/>
              <w:right w:val="single" w:color="D9D9D9" w:sz="4"/>
            </w:tcBorders>
            <w:shd w:fill="DDEAF3"/>
          </w:tcPr>
          <w:p>
            <w:pPr>
              <w:spacing w:after="40"/>
            </w:pPr>
            <w:r>
              <w:rPr>
                <w:b/>
                <w:sz w:val="16"/>
              </w:rPr>
              <w:t>Result</w:t>
            </w:r>
          </w:p>
        </w:tc>
        <w:tc>
          <w:tcPr>
            <w:tcW w:type="dxa" w:w="4824"/>
            <w:vAlign w:val="center"/>
            <w:tcBorders>
              <w:top w:val="single" w:color="D9D9D9" w:sz="4"/>
              <w:left w:val="single" w:color="D9D9D9" w:sz="4"/>
              <w:bottom w:val="single" w:color="D9D9D9" w:sz="4"/>
              <w:right w:val="single" w:color="D9D9D9" w:sz="4"/>
            </w:tcBorders>
            <w:shd w:fill="DDEAF3"/>
          </w:tcPr>
          <w:p>
            <w:pPr>
              <w:spacing w:after="40"/>
            </w:pPr>
            <w:r>
              <w:rPr>
                <w:b/>
                <w:sz w:val="16"/>
              </w:rPr>
              <w:t>Evidence</w:t>
            </w:r>
          </w:p>
        </w:tc>
        <w:tc>
          <w:tcPr>
            <w:tcW w:type="dxa" w:w="4032"/>
            <w:vAlign w:val="center"/>
            <w:tcBorders>
              <w:top w:val="single" w:color="D9D9D9" w:sz="4"/>
              <w:left w:val="single" w:color="D9D9D9" w:sz="4"/>
              <w:bottom w:val="single" w:color="D9D9D9" w:sz="4"/>
              <w:right w:val="single" w:color="D9D9D9" w:sz="4"/>
            </w:tcBorders>
            <w:shd w:fill="DDEAF3"/>
          </w:tcPr>
          <w:p>
            <w:pPr>
              <w:spacing w:after="40"/>
            </w:pPr>
            <w:r>
              <w:rPr>
                <w:b/>
                <w:sz w:val="16"/>
              </w:rPr>
              <w:t>Recommended fix</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Pass</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QA-001 saved as one import job with two containers. Nine combined free days from 05/10/2026 produced LFD 13/10/2026. Required permits remained missing and handover stayed 0/2.</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Retain this behavior and verify ETA changes recalculate LFD.</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Fail</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QA-001 containers appeared on the Controller Board at 0/2 handover; a discharged unhanded box had Plan and Delivered actions.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Filter Controller visibility by handover state as in V12_135.</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Fail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QA-002 saved 2 × 20GP plus 1 × 40HQ as three blank-number records. Its timeline then demanded “truckInDate, truckOutDate”; Fill it in showed no corresponding fields.</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Expose meaningful Truck In and Truck Out controls where needed or remove those gates. Replace raw key labels with operator wording.</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Partial</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CMS switched from pending to done on QA-002. Trip Save and recalculate, and shipment Edit Save and recalculate, produced no visible confirmation, error or persisted movement/change in the attempted cases.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Investigate actual validation and show an explicit blocking reason or save result.</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Partial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QA-001 log showed actor and creation/release/discharge changes, but displayed raw keys such as dischargedAt and an ISO timestamp.</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Present local date/time and clear field labels; test shipment/container edits when save works.</w:t>
            </w:r>
          </w:p>
        </w:tc>
      </w:tr>
    </w:tbl>
    <w:p>
      <w:r>
        <w:br w:type="page"/>
      </w:r>
    </w:p>
    <w:p>
      <w:pPr>
        <w:pStyle w:val="Heading1"/>
      </w:pPr>
      <w:r>
        <w:t>Screen consistency audit</w:t>
      </w:r>
    </w:p>
    <w:p>
      <w:r>
        <w:t>Greenlit must use the same operational concepts, field names, values and gates on job creation, saved job detail, edit drawers, Controller Board, Action Required and reports. Import-only and export-only actions should render only for the matching job type. This is a cross-screen consistency rule, not a request for identical visual layouts.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vAlign w:val="center"/>
            <w:tcBorders>
              <w:top w:val="single" w:color="D9D9D9" w:sz="4"/>
              <w:left w:val="single" w:color="D9D9D9" w:sz="4"/>
              <w:bottom w:val="single" w:color="D9D9D9" w:sz="4"/>
              <w:right w:val="single" w:color="D9D9D9" w:sz="4"/>
            </w:tcBorders>
            <w:shd w:fill="DDEAF3"/>
          </w:tcPr>
          <w:p>
            <w:pPr>
              <w:spacing w:after="40"/>
            </w:pPr>
            <w:r>
              <w:rPr>
                <w:b/>
                <w:sz w:val="16"/>
              </w:rPr>
              <w:t>Screen</w:t>
            </w:r>
          </w:p>
        </w:tc>
        <w:tc>
          <w:tcPr>
            <w:tcW w:type="dxa" w:w="4032"/>
            <w:vAlign w:val="center"/>
            <w:tcBorders>
              <w:top w:val="single" w:color="D9D9D9" w:sz="4"/>
              <w:left w:val="single" w:color="D9D9D9" w:sz="4"/>
              <w:bottom w:val="single" w:color="D9D9D9" w:sz="4"/>
              <w:right w:val="single" w:color="D9D9D9" w:sz="4"/>
            </w:tcBorders>
            <w:shd w:fill="DDEAF3"/>
          </w:tcPr>
          <w:p>
            <w:pPr>
              <w:spacing w:after="40"/>
            </w:pPr>
            <w:r>
              <w:rPr>
                <w:b/>
                <w:sz w:val="16"/>
              </w:rPr>
              <w:t>Observed mismatch or unnecessary control</w:t>
            </w:r>
          </w:p>
        </w:tc>
        <w:tc>
          <w:tcPr>
            <w:tcW w:type="dxa" w:w="3888"/>
            <w:vAlign w:val="center"/>
            <w:tcBorders>
              <w:top w:val="single" w:color="D9D9D9" w:sz="4"/>
              <w:left w:val="single" w:color="D9D9D9" w:sz="4"/>
              <w:bottom w:val="single" w:color="D9D9D9" w:sz="4"/>
              <w:right w:val="single" w:color="D9D9D9" w:sz="4"/>
            </w:tcBorders>
            <w:shd w:fill="DDEAF3"/>
          </w:tcPr>
          <w:p>
            <w:pPr>
              <w:spacing w:after="40"/>
            </w:pPr>
            <w:r>
              <w:rPr>
                <w:b/>
                <w:sz w:val="16"/>
              </w:rPr>
              <w:t>Required correction</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Import job detail QA-001</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The green “Record CMS completed” action appears on an import. CMS is an export empty-collection step.</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Remove CMS actions and state from import job detail and import workflows.</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Export job detail QA-002</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“Confirm free time and rate” and a generic “Permits, documents, free time and closure” section appear on the export container/job. The export timeline also shows Transhipment available / Not available by default.</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Show import D&amp;D and empty-return controls only on imports. Show transhipment controls only when that route applies to the export.</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Import creation and saved detail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Creation has Customer &amp; delivery, Shipment, Containers and Permit sections. Saved detail uses a timeline and mixed accordions; “Shipment none” appears despite stored shipment facts. “Booking” repeats the import MBL.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Keep the same field grouping and terminology through creation, view and edit. Render meaningful counts and label MBL/OBL as such.</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Import permit controls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Creation exposes Permit Required in Shipment and “This job needs a permit” again on the Permit section.</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Use one underlying requirement state and synchronized controls; test that changes in either place persist identically.</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Export creation and saved detail</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Creation captures booking, clearance reference, shipper, empty yard/date, CMS and size quantities. Saved timeline requires raw “truckInDate, truckOutDate”; its Fill it in drawer has neither field. Export address selected at creation appeared blank in that drawer.</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Every required post-creation field must have a clear input and label. Preserve and display creation values in view/edit screens.</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Import and export edit drawers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The import Edit Shipment drawer omits ETA, MBL/HBL and carrier shown during creation; Edit Container omits weight and per-container delivery timing. The export Edit job information drawer omits clearance reference, shipper, CMS and collection date.</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Make fields editable at their owning shipment/container level or clearly link to the actual edit location. Display stored values consistently.</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Controller Board and import job</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Unhanded QA-001 boxes appear on the Board. One has Plan and Delivered actions even while handover remains 0/2 and permit is missing. The job timeline says collection blocked after release/discharge.</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Use V12_135 handover visibility and a shared collection/planning eligibility rule across all screens.</w:t>
            </w:r>
          </w:p>
        </w:tc>
      </w:tr>
    </w:tbl>
    <w:p>
      <w:pPr>
        <w:pStyle w:val="Heading1"/>
      </w:pPr>
      <w:r>
        <w:t>Document backed test runs on 28 September 2026</w:t>
      </w:r>
    </w:p>
    <w:p>
      <w:r>
        <w:t>The supplied arrival notice and matching permit produced DKSH-002. A supplied three-container export booking produced JAS-001. These are historical document scenarios; no transport movement was dispatched. The JAS delivery address was selected from an existing saved location for test completion and was not specified by the booking.</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vAlign w:val="center"/>
            <w:tcBorders>
              <w:top w:val="single" w:color="D9D9D9" w:sz="4"/>
              <w:left w:val="single" w:color="D9D9D9" w:sz="4"/>
              <w:bottom w:val="single" w:color="D9D9D9" w:sz="4"/>
              <w:right w:val="single" w:color="D9D9D9" w:sz="4"/>
            </w:tcBorders>
            <w:shd w:fill="DDEAF3"/>
          </w:tcPr>
          <w:p>
            <w:pPr>
              <w:spacing w:after="40"/>
            </w:pPr>
            <w:r>
              <w:rPr>
                <w:b/>
                <w:sz w:val="16"/>
              </w:rPr>
              <w:t>Job and source</w:t>
            </w:r>
          </w:p>
        </w:tc>
        <w:tc>
          <w:tcPr>
            <w:tcW w:type="dxa" w:w="4536"/>
            <w:vAlign w:val="center"/>
            <w:tcBorders>
              <w:top w:val="single" w:color="D9D9D9" w:sz="4"/>
              <w:left w:val="single" w:color="D9D9D9" w:sz="4"/>
              <w:bottom w:val="single" w:color="D9D9D9" w:sz="4"/>
              <w:right w:val="single" w:color="D9D9D9" w:sz="4"/>
            </w:tcBorders>
            <w:shd w:fill="DDEAF3"/>
          </w:tcPr>
          <w:p>
            <w:pPr>
              <w:spacing w:after="40"/>
            </w:pPr>
            <w:r>
              <w:rPr>
                <w:b/>
                <w:sz w:val="16"/>
              </w:rPr>
              <w:t>Observed result</w:t>
            </w:r>
          </w:p>
        </w:tc>
        <w:tc>
          <w:tcPr>
            <w:tcW w:type="dxa" w:w="3240"/>
            <w:vAlign w:val="center"/>
            <w:tcBorders>
              <w:top w:val="single" w:color="D9D9D9" w:sz="4"/>
              <w:left w:val="single" w:color="D9D9D9" w:sz="4"/>
              <w:bottom w:val="single" w:color="D9D9D9" w:sz="4"/>
              <w:right w:val="single" w:color="D9D9D9" w:sz="4"/>
            </w:tcBorders>
            <w:shd w:fill="DDEAF3"/>
          </w:tcPr>
          <w:p>
            <w:pPr>
              <w:spacing w:after="40"/>
            </w:pPr>
            <w:r>
              <w:rPr>
                <w:b/>
                <w:sz w:val="16"/>
              </w:rPr>
              <w:t>Correction</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DKSH-002; PIL arrival notice and matching permit</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Arrival notice filled vessel, voyage, ETA, carrier, MBL, HBL and TRLU5682148. The 40HQ size and 6,177.310 kg weight remained blank and were entered manually. The permit parser read IG6I356324B, expiry 28/09/2026 and KOTA NEKAD 0279S, then said the match checked out.</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Preserve extracted values with a field-by-field review; evaluate container size and weight extraction.</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DKSH-002 after creation</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Job detail says Permit Required but no permit recorded; TRLU5682148 has missing Permit and handover 0/1. Source document says none, despite uploading both documents in creation. Manual Record permit returned an invalid empty date error after the date had appeared in the field.</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Persist source files and matching permit to the job and container; make date entry and validation reliable. A filename alone is not a document attachment.</w:t>
            </w:r>
          </w:p>
        </w:tc>
      </w:tr>
      <w:tr>
        <w:trPr>
          <w:cantSplit/>
        </w:trPr>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JAS-001; Maersk booking 275427509</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Parser filled TONSBERG/631W, booking, shipper and Chuan Li empty yard. It left quantity as 1 × 20GP although the booking specifies 3 × 40 dry; manually corrected to 3 × 40GP before save. Parsing took several minutes.</w:t>
            </w:r>
          </w:p>
        </w:tc>
        <w:tc>
          <w:tcPr>
            <w:tcW w:type="dxa" w:w="3331"/>
            <w:vAlign w:val="center"/>
            <w:tcBorders>
              <w:top w:val="single" w:color="D9D9D9" w:sz="4"/>
              <w:left w:val="single" w:color="D9D9D9" w:sz="4"/>
              <w:bottom w:val="single" w:color="D9D9D9" w:sz="4"/>
              <w:right w:val="single" w:color="D9D9D9" w:sz="4"/>
            </w:tcBorders>
            <w:shd w:fill="FFFFFF"/>
          </w:tcPr>
          <w:p>
            <w:pPr>
              <w:spacing w:after="40"/>
            </w:pPr>
            <w:r>
              <w:rPr>
                <w:b w:val="0"/>
                <w:sz w:val="16"/>
              </w:rPr>
              <w:t>Extract and visibly verify equipment count and size; show progress and timeout guidance accurately.</w:t>
            </w:r>
          </w:p>
        </w:tc>
      </w:tr>
      <w:tr>
        <w:trPr>
          <w:cantSplit/>
        </w:trPr>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JAS-001 after creation</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Three blank-number 40GP containers saved, but Source document says none. Booking information requires raw exportClearanceReference, etaSingapore, truckInDate, truckOutDate, even though the creation screen does not offer ETA or truck dates.</w:t>
            </w:r>
          </w:p>
        </w:tc>
        <w:tc>
          <w:tcPr>
            <w:tcW w:type="dxa" w:w="3331"/>
            <w:vAlign w:val="center"/>
            <w:tcBorders>
              <w:top w:val="single" w:color="D9D9D9" w:sz="4"/>
              <w:left w:val="single" w:color="D9D9D9" w:sz="4"/>
              <w:bottom w:val="single" w:color="D9D9D9" w:sz="4"/>
              <w:right w:val="single" w:color="D9D9D9" w:sz="4"/>
            </w:tcBorders>
            <w:shd w:fill="F7F9FB"/>
          </w:tcPr>
          <w:p>
            <w:pPr>
              <w:spacing w:after="40"/>
            </w:pPr>
            <w:r>
              <w:rPr>
                <w:b w:val="0"/>
                <w:sz w:val="16"/>
              </w:rPr>
              <w:t>Retain the booking PDF and use consistent field names and inputs in creation, view and edit. Clarify which fields are genuinely required for this route.</w:t>
            </w:r>
          </w:p>
        </w:tc>
      </w:tr>
    </w:tbl>
    <w:p>
      <w:r>
        <w:t>Additional supplied PDFs were inspected and mapped into three import notice/permit pairs and three export bookings. Only the DKSH pair and JAS booking were uploaded in this run. The other documents, batch intake, scanned booking, multi-permit allocation and full dispatch chain remain untested; they must not be read as passed or failed.</w:t>
      </w:r>
    </w:p>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Aptos" w:hAnsi="Aptos"/>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