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Operations and Controller Handover and Planning Requirements</w:t>
      </w:r>
    </w:p>
    <w:p>
      <w:r>
        <w:t>Change request for Project Greenlit  |  28 September 2026</w:t>
      </w:r>
    </w:p>
    <w:p>
      <w:r>
        <w:t>This request covers the import and export rules agreed for Project Greenlit. Handover to Controller, Operations document readiness and collection planning are separate decisions. A pending operational action must show at the correct stage rather than hide a job from Controller. Keep job creation, saved job, Operations and Controller screens consistent.</w:t>
      </w:r>
    </w:p>
    <w:p>
      <w:pPr>
        <w:pStyle w:val="Heading1"/>
      </w:pPr>
      <w:r>
        <w:t>Information needed to create an import job</w:t>
      </w:r>
    </w:p>
    <w:tbl>
      <w:tblPr>
        <w:tblW w:type="auto" w:w="0"/>
        <w:jc w:val="center"/>
        <w:tblLayout w:type="fixed"/>
        <w:tblLook w:firstColumn="1" w:firstRow="1" w:lastColumn="0" w:lastRow="0" w:noHBand="0" w:noVBand="1" w:val="04A0"/>
      </w:tblPr>
      <w:tblGrid>
        <w:gridCol w:w="5040"/>
        <w:gridCol w:w="5040"/>
      </w:tblGrid>
      <w:tr>
        <w:trPr>
          <w:cantSplit/>
          <w:tblHeader w:val="true"/>
        </w:trPr>
        <w:tc>
          <w:tcPr>
            <w:tcW w:type="dxa" w:w="2304"/>
            <w:vAlign w:val="center"/>
            <w:shd w:fill="DDEAF3"/>
            <w:tcBorders>
              <w:top w:val="single" w:color="D9D9D9" w:sz="4"/>
              <w:left w:val="single" w:color="D9D9D9" w:sz="4"/>
              <w:bottom w:val="single" w:color="D9D9D9" w:sz="4"/>
              <w:right w:val="single" w:color="D9D9D9" w:sz="4"/>
            </w:tcBorders>
            <w:tcMar>
              <w:top w:w="75" w:type="dxa"/>
              <w:left w:w="75" w:type="dxa"/>
              <w:bottom w:w="75" w:type="dxa"/>
              <w:right w:w="75" w:type="dxa"/>
            </w:tcMar>
          </w:tcPr>
          <w:p>
            <w:pPr>
              <w:spacing w:after="0"/>
            </w:pPr>
            <w:r>
              <w:rPr>
                <w:b/>
                <w:sz w:val="17"/>
              </w:rPr>
              <w:t>Field</w:t>
            </w:r>
          </w:p>
        </w:tc>
        <w:tc>
          <w:tcPr>
            <w:tcW w:type="dxa" w:w="7776"/>
            <w:vAlign w:val="center"/>
            <w:shd w:fill="DDEAF3"/>
            <w:tcBorders>
              <w:top w:val="single" w:color="D9D9D9" w:sz="4"/>
              <w:left w:val="single" w:color="D9D9D9" w:sz="4"/>
              <w:bottom w:val="single" w:color="D9D9D9" w:sz="4"/>
              <w:right w:val="single" w:color="D9D9D9" w:sz="4"/>
            </w:tcBorders>
            <w:tcMar>
              <w:top w:w="75" w:type="dxa"/>
              <w:left w:w="75" w:type="dxa"/>
              <w:bottom w:w="75" w:type="dxa"/>
              <w:right w:w="75" w:type="dxa"/>
            </w:tcMar>
          </w:tcPr>
          <w:p>
            <w:pPr>
              <w:spacing w:after="0"/>
            </w:pPr>
            <w:r>
              <w:rPr>
                <w:b/>
                <w:sz w:val="17"/>
              </w:rPr>
              <w:t>Requirement and behavior</w:t>
            </w:r>
          </w:p>
        </w:tc>
      </w:tr>
      <w:tr>
        <w:trPr>
          <w:cantSplit/>
        </w:trPr>
        <w:tc>
          <w:tcPr>
            <w:tcW w:type="dxa" w:w="5040"/>
            <w:vAlign w:val="center"/>
            <w:shd w:fill="FFFFFF"/>
            <w:tcBorders>
              <w:top w:val="single" w:color="D9D9D9" w:sz="4"/>
              <w:left w:val="single" w:color="D9D9D9" w:sz="4"/>
              <w:bottom w:val="single" w:color="D9D9D9" w:sz="4"/>
              <w:right w:val="single" w:color="D9D9D9" w:sz="4"/>
            </w:tcBorders>
            <w:tcMar>
              <w:top w:w="75" w:type="dxa"/>
              <w:left w:w="75" w:type="dxa"/>
              <w:bottom w:w="75" w:type="dxa"/>
              <w:right w:w="75" w:type="dxa"/>
            </w:tcMar>
          </w:tcPr>
          <w:p>
            <w:pPr>
              <w:spacing w:after="0"/>
            </w:pPr>
            <w:r>
              <w:rPr>
                <w:b w:val="0"/>
                <w:sz w:val="17"/>
              </w:rPr>
              <w:t>Customer</w:t>
            </w:r>
          </w:p>
        </w:tc>
        <w:tc>
          <w:tcPr>
            <w:tcW w:type="dxa" w:w="5040"/>
            <w:vAlign w:val="center"/>
            <w:shd w:fill="FFFFFF"/>
            <w:tcBorders>
              <w:top w:val="single" w:color="D9D9D9" w:sz="4"/>
              <w:left w:val="single" w:color="D9D9D9" w:sz="4"/>
              <w:bottom w:val="single" w:color="D9D9D9" w:sz="4"/>
              <w:right w:val="single" w:color="D9D9D9" w:sz="4"/>
            </w:tcBorders>
            <w:tcMar>
              <w:top w:w="75" w:type="dxa"/>
              <w:left w:w="75" w:type="dxa"/>
              <w:bottom w:w="75" w:type="dxa"/>
              <w:right w:w="75" w:type="dxa"/>
            </w:tcMar>
          </w:tcPr>
          <w:p>
            <w:pPr>
              <w:spacing w:after="0"/>
            </w:pPr>
            <w:r>
              <w:rPr>
                <w:b w:val="0"/>
                <w:sz w:val="17"/>
              </w:rPr>
              <w:t>Required. Choose a Customer Master record so operations and billing use the same customer.</w:t>
            </w:r>
          </w:p>
        </w:tc>
      </w:tr>
      <w:tr>
        <w:trPr>
          <w:cantSplit/>
        </w:trPr>
        <w:tc>
          <w:tcPr>
            <w:tcW w:type="dxa" w:w="5040"/>
            <w:vAlign w:val="center"/>
            <w:shd w:fill="F5F7F9"/>
            <w:tcBorders>
              <w:top w:val="single" w:color="D9D9D9" w:sz="4"/>
              <w:left w:val="single" w:color="D9D9D9" w:sz="4"/>
              <w:bottom w:val="single" w:color="D9D9D9" w:sz="4"/>
              <w:right w:val="single" w:color="D9D9D9" w:sz="4"/>
            </w:tcBorders>
            <w:tcMar>
              <w:top w:w="75" w:type="dxa"/>
              <w:left w:w="75" w:type="dxa"/>
              <w:bottom w:w="75" w:type="dxa"/>
              <w:right w:w="75" w:type="dxa"/>
            </w:tcMar>
          </w:tcPr>
          <w:p>
            <w:pPr>
              <w:spacing w:after="0"/>
            </w:pPr>
            <w:r>
              <w:rPr>
                <w:b w:val="0"/>
                <w:sz w:val="17"/>
              </w:rPr>
              <w:t>Delivery company and address</w:t>
            </w:r>
          </w:p>
        </w:tc>
        <w:tc>
          <w:tcPr>
            <w:tcW w:type="dxa" w:w="5040"/>
            <w:vAlign w:val="center"/>
            <w:shd w:fill="F5F7F9"/>
            <w:tcBorders>
              <w:top w:val="single" w:color="D9D9D9" w:sz="4"/>
              <w:left w:val="single" w:color="D9D9D9" w:sz="4"/>
              <w:bottom w:val="single" w:color="D9D9D9" w:sz="4"/>
              <w:right w:val="single" w:color="D9D9D9" w:sz="4"/>
            </w:tcBorders>
            <w:tcMar>
              <w:top w:w="75" w:type="dxa"/>
              <w:left w:w="75" w:type="dxa"/>
              <w:bottom w:w="75" w:type="dxa"/>
              <w:right w:w="75" w:type="dxa"/>
            </w:tcMar>
          </w:tcPr>
          <w:p>
            <w:pPr>
              <w:spacing w:after="0"/>
            </w:pPr>
            <w:r>
              <w:rPr>
                <w:b w:val="0"/>
                <w:sz w:val="17"/>
              </w:rPr>
              <w:t>Required. Apply one saved address to the whole job, or select an address for each container when the boxes have different destinations. Show the chosen company and address beside each container before saving.</w:t>
            </w:r>
          </w:p>
        </w:tc>
      </w:tr>
      <w:tr>
        <w:trPr>
          <w:cantSplit/>
        </w:trPr>
        <w:tc>
          <w:tcPr>
            <w:tcW w:type="dxa" w:w="5040"/>
            <w:vAlign w:val="center"/>
            <w:shd w:fill="FFFFFF"/>
            <w:tcBorders>
              <w:top w:val="single" w:color="D9D9D9" w:sz="4"/>
              <w:left w:val="single" w:color="D9D9D9" w:sz="4"/>
              <w:bottom w:val="single" w:color="D9D9D9" w:sz="4"/>
              <w:right w:val="single" w:color="D9D9D9" w:sz="4"/>
            </w:tcBorders>
            <w:tcMar>
              <w:top w:w="75" w:type="dxa"/>
              <w:left w:w="75" w:type="dxa"/>
              <w:bottom w:w="75" w:type="dxa"/>
              <w:right w:w="75" w:type="dxa"/>
            </w:tcMar>
          </w:tcPr>
          <w:p>
            <w:pPr>
              <w:spacing w:after="0"/>
            </w:pPr>
            <w:r>
              <w:rPr>
                <w:b w:val="0"/>
                <w:sz w:val="17"/>
              </w:rPr>
              <w:t>Just for this job</w:t>
            </w:r>
          </w:p>
        </w:tc>
        <w:tc>
          <w:tcPr>
            <w:tcW w:type="dxa" w:w="5040"/>
            <w:vAlign w:val="center"/>
            <w:shd w:fill="FFFFFF"/>
            <w:tcBorders>
              <w:top w:val="single" w:color="D9D9D9" w:sz="4"/>
              <w:left w:val="single" w:color="D9D9D9" w:sz="4"/>
              <w:bottom w:val="single" w:color="D9D9D9" w:sz="4"/>
              <w:right w:val="single" w:color="D9D9D9" w:sz="4"/>
            </w:tcBorders>
            <w:tcMar>
              <w:top w:w="75" w:type="dxa"/>
              <w:left w:w="75" w:type="dxa"/>
              <w:bottom w:w="75" w:type="dxa"/>
              <w:right w:w="75" w:type="dxa"/>
            </w:tcMar>
          </w:tcPr>
          <w:p>
            <w:pPr>
              <w:spacing w:after="0"/>
            </w:pPr>
            <w:r>
              <w:rPr>
                <w:b w:val="0"/>
                <w:sz w:val="17"/>
              </w:rPr>
              <w:t>Optional delivery instructions for this job only. Show to Operations and Controller; do not overwrite the Customer Master address instructions.</w:t>
            </w:r>
          </w:p>
        </w:tc>
      </w:tr>
      <w:tr>
        <w:trPr>
          <w:cantSplit/>
        </w:trPr>
        <w:tc>
          <w:tcPr>
            <w:tcW w:type="dxa" w:w="5040"/>
            <w:vAlign w:val="center"/>
            <w:shd w:fill="F5F7F9"/>
            <w:tcBorders>
              <w:top w:val="single" w:color="D9D9D9" w:sz="4"/>
              <w:left w:val="single" w:color="D9D9D9" w:sz="4"/>
              <w:bottom w:val="single" w:color="D9D9D9" w:sz="4"/>
              <w:right w:val="single" w:color="D9D9D9" w:sz="4"/>
            </w:tcBorders>
            <w:tcMar>
              <w:top w:w="75" w:type="dxa"/>
              <w:left w:w="75" w:type="dxa"/>
              <w:bottom w:w="75" w:type="dxa"/>
              <w:right w:w="75" w:type="dxa"/>
            </w:tcMar>
          </w:tcPr>
          <w:p>
            <w:pPr>
              <w:spacing w:after="0"/>
            </w:pPr>
            <w:r>
              <w:rPr>
                <w:b w:val="0"/>
                <w:sz w:val="17"/>
              </w:rPr>
              <w:t>Vessel and voyage</w:t>
            </w:r>
          </w:p>
        </w:tc>
        <w:tc>
          <w:tcPr>
            <w:tcW w:type="dxa" w:w="5040"/>
            <w:vAlign w:val="center"/>
            <w:shd w:fill="F5F7F9"/>
            <w:tcBorders>
              <w:top w:val="single" w:color="D9D9D9" w:sz="4"/>
              <w:left w:val="single" w:color="D9D9D9" w:sz="4"/>
              <w:bottom w:val="single" w:color="D9D9D9" w:sz="4"/>
              <w:right w:val="single" w:color="D9D9D9" w:sz="4"/>
            </w:tcBorders>
            <w:tcMar>
              <w:top w:w="75" w:type="dxa"/>
              <w:left w:w="75" w:type="dxa"/>
              <w:bottom w:w="75" w:type="dxa"/>
              <w:right w:w="75" w:type="dxa"/>
            </w:tcMar>
          </w:tcPr>
          <w:p>
            <w:pPr>
              <w:spacing w:after="0"/>
            </w:pPr>
            <w:r>
              <w:rPr>
                <w:b w:val="0"/>
                <w:sz w:val="17"/>
              </w:rPr>
              <w:t>Both required and marked *. A vessel without a voyage is incomplete.</w:t>
            </w:r>
          </w:p>
        </w:tc>
      </w:tr>
      <w:tr>
        <w:trPr>
          <w:cantSplit/>
        </w:trPr>
        <w:tc>
          <w:tcPr>
            <w:tcW w:type="dxa" w:w="5040"/>
            <w:vAlign w:val="center"/>
            <w:shd w:fill="FFFFFF"/>
            <w:tcBorders>
              <w:top w:val="single" w:color="D9D9D9" w:sz="4"/>
              <w:left w:val="single" w:color="D9D9D9" w:sz="4"/>
              <w:bottom w:val="single" w:color="D9D9D9" w:sz="4"/>
              <w:right w:val="single" w:color="D9D9D9" w:sz="4"/>
            </w:tcBorders>
            <w:tcMar>
              <w:top w:w="75" w:type="dxa"/>
              <w:left w:w="75" w:type="dxa"/>
              <w:bottom w:w="75" w:type="dxa"/>
              <w:right w:w="75" w:type="dxa"/>
            </w:tcMar>
          </w:tcPr>
          <w:p>
            <w:pPr>
              <w:spacing w:after="0"/>
            </w:pPr>
            <w:r>
              <w:rPr>
                <w:b w:val="0"/>
                <w:sz w:val="17"/>
              </w:rPr>
              <w:t>ETA Singapore</w:t>
            </w:r>
          </w:p>
        </w:tc>
        <w:tc>
          <w:tcPr>
            <w:tcW w:type="dxa" w:w="5040"/>
            <w:vAlign w:val="center"/>
            <w:shd w:fill="FFFFFF"/>
            <w:tcBorders>
              <w:top w:val="single" w:color="D9D9D9" w:sz="4"/>
              <w:left w:val="single" w:color="D9D9D9" w:sz="4"/>
              <w:bottom w:val="single" w:color="D9D9D9" w:sz="4"/>
              <w:right w:val="single" w:color="D9D9D9" w:sz="4"/>
            </w:tcBorders>
            <w:tcMar>
              <w:top w:w="75" w:type="dxa"/>
              <w:left w:w="75" w:type="dxa"/>
              <w:bottom w:w="75" w:type="dxa"/>
              <w:right w:w="75" w:type="dxa"/>
            </w:tcMar>
          </w:tcPr>
          <w:p>
            <w:pPr>
              <w:spacing w:after="0"/>
            </w:pPr>
            <w:r>
              <w:rPr>
                <w:b w:val="0"/>
                <w:sz w:val="17"/>
              </w:rPr>
              <w:t>Date required and marked *. Time optional. Use DD/MM/YYYY and the agreed AM/PM selector when a time is known.</w:t>
            </w:r>
          </w:p>
        </w:tc>
      </w:tr>
      <w:tr>
        <w:trPr>
          <w:cantSplit/>
        </w:trPr>
        <w:tc>
          <w:tcPr>
            <w:tcW w:type="dxa" w:w="5040"/>
            <w:vAlign w:val="center"/>
            <w:shd w:fill="F5F7F9"/>
            <w:tcBorders>
              <w:top w:val="single" w:color="D9D9D9" w:sz="4"/>
              <w:left w:val="single" w:color="D9D9D9" w:sz="4"/>
              <w:bottom w:val="single" w:color="D9D9D9" w:sz="4"/>
              <w:right w:val="single" w:color="D9D9D9" w:sz="4"/>
            </w:tcBorders>
            <w:tcMar>
              <w:top w:w="75" w:type="dxa"/>
              <w:left w:w="75" w:type="dxa"/>
              <w:bottom w:w="75" w:type="dxa"/>
              <w:right w:w="75" w:type="dxa"/>
            </w:tcMar>
          </w:tcPr>
          <w:p>
            <w:pPr>
              <w:spacing w:after="0"/>
            </w:pPr>
            <w:r>
              <w:rPr>
                <w:b w:val="0"/>
                <w:sz w:val="17"/>
              </w:rPr>
              <w:t>Master carrier and MBL/OBL</w:t>
            </w:r>
          </w:p>
        </w:tc>
        <w:tc>
          <w:tcPr>
            <w:tcW w:type="dxa" w:w="5040"/>
            <w:vAlign w:val="center"/>
            <w:shd w:fill="F5F7F9"/>
            <w:tcBorders>
              <w:top w:val="single" w:color="D9D9D9" w:sz="4"/>
              <w:left w:val="single" w:color="D9D9D9" w:sz="4"/>
              <w:bottom w:val="single" w:color="D9D9D9" w:sz="4"/>
              <w:right w:val="single" w:color="D9D9D9" w:sz="4"/>
            </w:tcBorders>
            <w:tcMar>
              <w:top w:w="75" w:type="dxa"/>
              <w:left w:w="75" w:type="dxa"/>
              <w:bottom w:w="75" w:type="dxa"/>
              <w:right w:w="75" w:type="dxa"/>
            </w:tcMar>
          </w:tcPr>
          <w:p>
            <w:pPr>
              <w:spacing w:after="0"/>
            </w:pPr>
            <w:r>
              <w:rPr>
                <w:b w:val="0"/>
                <w:sz w:val="17"/>
              </w:rPr>
              <w:t>Both required and marked *. House bill of lading is optional, including when it differs by container.</w:t>
            </w:r>
          </w:p>
        </w:tc>
      </w:tr>
      <w:tr>
        <w:trPr>
          <w:cantSplit/>
        </w:trPr>
        <w:tc>
          <w:tcPr>
            <w:tcW w:type="dxa" w:w="5040"/>
            <w:vAlign w:val="center"/>
            <w:shd w:fill="FFFFFF"/>
            <w:tcBorders>
              <w:top w:val="single" w:color="D9D9D9" w:sz="4"/>
              <w:left w:val="single" w:color="D9D9D9" w:sz="4"/>
              <w:bottom w:val="single" w:color="D9D9D9" w:sz="4"/>
              <w:right w:val="single" w:color="D9D9D9" w:sz="4"/>
            </w:tcBorders>
            <w:tcMar>
              <w:top w:w="75" w:type="dxa"/>
              <w:left w:w="75" w:type="dxa"/>
              <w:bottom w:w="75" w:type="dxa"/>
              <w:right w:w="75" w:type="dxa"/>
            </w:tcMar>
          </w:tcPr>
          <w:p>
            <w:pPr>
              <w:spacing w:after="0"/>
            </w:pPr>
            <w:r>
              <w:rPr>
                <w:b w:val="0"/>
                <w:sz w:val="17"/>
              </w:rPr>
              <w:t>Permit applicability</w:t>
            </w:r>
          </w:p>
        </w:tc>
        <w:tc>
          <w:tcPr>
            <w:tcW w:type="dxa" w:w="5040"/>
            <w:vAlign w:val="center"/>
            <w:shd w:fill="FFFFFF"/>
            <w:tcBorders>
              <w:top w:val="single" w:color="D9D9D9" w:sz="4"/>
              <w:left w:val="single" w:color="D9D9D9" w:sz="4"/>
              <w:bottom w:val="single" w:color="D9D9D9" w:sz="4"/>
              <w:right w:val="single" w:color="D9D9D9" w:sz="4"/>
            </w:tcBorders>
            <w:tcMar>
              <w:top w:w="75" w:type="dxa"/>
              <w:left w:w="75" w:type="dxa"/>
              <w:bottom w:w="75" w:type="dxa"/>
              <w:right w:w="75" w:type="dxa"/>
            </w:tcMar>
          </w:tcPr>
          <w:p>
            <w:pPr>
              <w:spacing w:after="0"/>
            </w:pPr>
            <w:r>
              <w:rPr>
                <w:b w:val="0"/>
                <w:sz w:val="17"/>
              </w:rPr>
              <w:t>Required choice, marked *. Default from Customer Master. HOCK defaults to Not required because it does not provide us a permit number; other customers default to Required. Operations may change the job setting with an audit entry.</w:t>
            </w:r>
          </w:p>
        </w:tc>
      </w:tr>
      <w:tr>
        <w:trPr>
          <w:cantSplit/>
        </w:trPr>
        <w:tc>
          <w:tcPr>
            <w:tcW w:type="dxa" w:w="5040"/>
            <w:vAlign w:val="center"/>
            <w:shd w:fill="F5F7F9"/>
            <w:tcBorders>
              <w:top w:val="single" w:color="D9D9D9" w:sz="4"/>
              <w:left w:val="single" w:color="D9D9D9" w:sz="4"/>
              <w:bottom w:val="single" w:color="D9D9D9" w:sz="4"/>
              <w:right w:val="single" w:color="D9D9D9" w:sz="4"/>
            </w:tcBorders>
            <w:tcMar>
              <w:top w:w="75" w:type="dxa"/>
              <w:left w:w="75" w:type="dxa"/>
              <w:bottom w:w="75" w:type="dxa"/>
              <w:right w:w="75" w:type="dxa"/>
            </w:tcMar>
          </w:tcPr>
          <w:p>
            <w:pPr>
              <w:spacing w:after="0"/>
            </w:pPr>
            <w:r>
              <w:rPr>
                <w:b w:val="0"/>
                <w:sz w:val="17"/>
              </w:rPr>
              <w:t>Container number and size</w:t>
            </w:r>
          </w:p>
        </w:tc>
        <w:tc>
          <w:tcPr>
            <w:tcW w:type="dxa" w:w="5040"/>
            <w:vAlign w:val="center"/>
            <w:shd w:fill="F5F7F9"/>
            <w:tcBorders>
              <w:top w:val="single" w:color="D9D9D9" w:sz="4"/>
              <w:left w:val="single" w:color="D9D9D9" w:sz="4"/>
              <w:bottom w:val="single" w:color="D9D9D9" w:sz="4"/>
              <w:right w:val="single" w:color="D9D9D9" w:sz="4"/>
            </w:tcBorders>
            <w:tcMar>
              <w:top w:w="75" w:type="dxa"/>
              <w:left w:w="75" w:type="dxa"/>
              <w:bottom w:w="75" w:type="dxa"/>
              <w:right w:w="75" w:type="dxa"/>
            </w:tcMar>
          </w:tcPr>
          <w:p>
            <w:pPr>
              <w:spacing w:after="0"/>
            </w:pPr>
            <w:r>
              <w:rPr>
                <w:b w:val="0"/>
                <w:sz w:val="17"/>
              </w:rPr>
              <w:t>Required for each import container. One shipment retains one job number with multiple container rows. Review numbers extracted from an arrival notice before saving.</w:t>
            </w:r>
          </w:p>
        </w:tc>
      </w:tr>
    </w:tbl>
    <w:p>
      <w:r>
        <w:t>Permit entry: When Required, provide an upload and permit number entry, and allow more than one permit. The job may be created while a later permit is being obtained, but a container requiring a permit cannot be handed over until its permit number is assigned. Not required jobs have no permit-number gate. The requirement choice itself must always be completed at creation.</w:t>
      </w:r>
    </w:p>
    <w:p>
      <w:pPr>
        <w:pStyle w:val="Heading1"/>
      </w:pPr>
      <w:r>
        <w:t>Permit assignment</w:t>
      </w:r>
    </w:p>
    <w:p>
      <w:pPr>
        <w:pStyle w:val="ListBullet"/>
      </w:pPr>
      <w:r>
        <w:t>Store each uploaded permit file once at shipment level. After the first upload, keep an “Add another permit” control available on both creation and saved job screens.</w:t>
      </w:r>
    </w:p>
    <w:p>
      <w:pPr>
        <w:pStyle w:val="ListBullet"/>
      </w:pPr>
      <w:r>
        <w:t>For every permit, show its number, expiry and declared vessel/voyage. Let Operations tick the container or containers it covers, or apply it to all containers when appropriate. Show the mapped number beside each container and allow correction with a log entry.</w:t>
      </w:r>
    </w:p>
    <w:p>
      <w:pPr>
        <w:pStyle w:val="ListBullet"/>
      </w:pPr>
      <w:r>
        <w:t>Flag a mismatched vessel/voyage or expiry that is not later than ETA as “Requires attention” with a plain explanation. A missing required number blocks that container’s handover. This is distinct from its Portnet release and discharge state.</w:t>
      </w:r>
    </w:p>
    <w:p>
      <w:pPr>
        <w:pStyle w:val="Heading1"/>
      </w:pPr>
      <w:r>
        <w:t>Information that may remain outstanding at handover</w:t>
      </w:r>
    </w:p>
    <w:tbl>
      <w:tblPr>
        <w:tblW w:type="auto" w:w="0"/>
        <w:jc w:val="center"/>
        <w:tblLayout w:type="fixed"/>
        <w:tblLook w:firstColumn="1" w:firstRow="1" w:lastColumn="0" w:lastRow="0" w:noHBand="0" w:noVBand="1" w:val="04A0"/>
      </w:tblPr>
      <w:tblGrid>
        <w:gridCol w:w="5040"/>
        <w:gridCol w:w="5040"/>
      </w:tblGrid>
      <w:tr>
        <w:trPr>
          <w:cantSplit/>
          <w:tblHeader w:val="true"/>
        </w:trPr>
        <w:tc>
          <w:tcPr>
            <w:tcW w:type="dxa" w:w="2448"/>
            <w:vAlign w:val="center"/>
            <w:shd w:fill="DDEAF3"/>
            <w:tcBorders>
              <w:top w:val="single" w:color="D9D9D9" w:sz="4"/>
              <w:left w:val="single" w:color="D9D9D9" w:sz="4"/>
              <w:bottom w:val="single" w:color="D9D9D9" w:sz="4"/>
              <w:right w:val="single" w:color="D9D9D9" w:sz="4"/>
            </w:tcBorders>
            <w:tcMar>
              <w:top w:w="75" w:type="dxa"/>
              <w:left w:w="75" w:type="dxa"/>
              <w:bottom w:w="75" w:type="dxa"/>
              <w:right w:w="75" w:type="dxa"/>
            </w:tcMar>
          </w:tcPr>
          <w:p>
            <w:pPr>
              <w:spacing w:after="0"/>
            </w:pPr>
            <w:r>
              <w:rPr>
                <w:b/>
                <w:sz w:val="17"/>
              </w:rPr>
              <w:t>Field</w:t>
            </w:r>
          </w:p>
        </w:tc>
        <w:tc>
          <w:tcPr>
            <w:tcW w:type="dxa" w:w="7632"/>
            <w:vAlign w:val="center"/>
            <w:shd w:fill="DDEAF3"/>
            <w:tcBorders>
              <w:top w:val="single" w:color="D9D9D9" w:sz="4"/>
              <w:left w:val="single" w:color="D9D9D9" w:sz="4"/>
              <w:bottom w:val="single" w:color="D9D9D9" w:sz="4"/>
              <w:right w:val="single" w:color="D9D9D9" w:sz="4"/>
            </w:tcBorders>
            <w:tcMar>
              <w:top w:w="75" w:type="dxa"/>
              <w:left w:w="75" w:type="dxa"/>
              <w:bottom w:w="75" w:type="dxa"/>
              <w:right w:w="75" w:type="dxa"/>
            </w:tcMar>
          </w:tcPr>
          <w:p>
            <w:pPr>
              <w:spacing w:after="0"/>
            </w:pPr>
            <w:r>
              <w:rPr>
                <w:b/>
                <w:sz w:val="17"/>
              </w:rPr>
              <w:t>Display and later completion</w:t>
            </w:r>
          </w:p>
        </w:tc>
      </w:tr>
      <w:tr>
        <w:trPr>
          <w:cantSplit/>
        </w:trPr>
        <w:tc>
          <w:tcPr>
            <w:tcW w:type="dxa" w:w="5040"/>
            <w:vAlign w:val="center"/>
            <w:shd w:fill="FFFFFF"/>
            <w:tcBorders>
              <w:top w:val="single" w:color="D9D9D9" w:sz="4"/>
              <w:left w:val="single" w:color="D9D9D9" w:sz="4"/>
              <w:bottom w:val="single" w:color="D9D9D9" w:sz="4"/>
              <w:right w:val="single" w:color="D9D9D9" w:sz="4"/>
            </w:tcBorders>
            <w:tcMar>
              <w:top w:w="75" w:type="dxa"/>
              <w:left w:w="75" w:type="dxa"/>
              <w:bottom w:w="75" w:type="dxa"/>
              <w:right w:w="75" w:type="dxa"/>
            </w:tcMar>
          </w:tcPr>
          <w:p>
            <w:pPr>
              <w:spacing w:after="0"/>
            </w:pPr>
            <w:r>
              <w:rPr>
                <w:b w:val="0"/>
                <w:sz w:val="17"/>
              </w:rPr>
              <w:t>Weight and tri-axle</w:t>
            </w:r>
          </w:p>
        </w:tc>
        <w:tc>
          <w:tcPr>
            <w:tcW w:type="dxa" w:w="5040"/>
            <w:vAlign w:val="center"/>
            <w:shd w:fill="FFFFFF"/>
            <w:tcBorders>
              <w:top w:val="single" w:color="D9D9D9" w:sz="4"/>
              <w:left w:val="single" w:color="D9D9D9" w:sz="4"/>
              <w:bottom w:val="single" w:color="D9D9D9" w:sz="4"/>
              <w:right w:val="single" w:color="D9D9D9" w:sz="4"/>
            </w:tcBorders>
            <w:tcMar>
              <w:top w:w="75" w:type="dxa"/>
              <w:left w:w="75" w:type="dxa"/>
              <w:bottom w:w="75" w:type="dxa"/>
              <w:right w:w="75" w:type="dxa"/>
            </w:tcMar>
          </w:tcPr>
          <w:p>
            <w:pPr>
              <w:spacing w:after="0"/>
            </w:pPr>
            <w:r>
              <w:rPr>
                <w:b w:val="0"/>
                <w:sz w:val="17"/>
              </w:rPr>
              <w:t>May be entered or updated later. Show “Not recorded” rather than blocking handover.</w:t>
            </w:r>
          </w:p>
        </w:tc>
      </w:tr>
      <w:tr>
        <w:trPr>
          <w:cantSplit/>
        </w:trPr>
        <w:tc>
          <w:tcPr>
            <w:tcW w:type="dxa" w:w="5040"/>
            <w:vAlign w:val="center"/>
            <w:shd w:fill="F5F7F9"/>
            <w:tcBorders>
              <w:top w:val="single" w:color="D9D9D9" w:sz="4"/>
              <w:left w:val="single" w:color="D9D9D9" w:sz="4"/>
              <w:bottom w:val="single" w:color="D9D9D9" w:sz="4"/>
              <w:right w:val="single" w:color="D9D9D9" w:sz="4"/>
            </w:tcBorders>
            <w:tcMar>
              <w:top w:w="75" w:type="dxa"/>
              <w:left w:w="75" w:type="dxa"/>
              <w:bottom w:w="75" w:type="dxa"/>
              <w:right w:w="75" w:type="dxa"/>
            </w:tcMar>
          </w:tcPr>
          <w:p>
            <w:pPr>
              <w:spacing w:after="0"/>
            </w:pPr>
            <w:r>
              <w:rPr>
                <w:b w:val="0"/>
                <w:sz w:val="17"/>
              </w:rPr>
              <w:t>Empty return yard</w:t>
            </w:r>
          </w:p>
        </w:tc>
        <w:tc>
          <w:tcPr>
            <w:tcW w:type="dxa" w:w="5040"/>
            <w:vAlign w:val="center"/>
            <w:shd w:fill="F5F7F9"/>
            <w:tcBorders>
              <w:top w:val="single" w:color="D9D9D9" w:sz="4"/>
              <w:left w:val="single" w:color="D9D9D9" w:sz="4"/>
              <w:bottom w:val="single" w:color="D9D9D9" w:sz="4"/>
              <w:right w:val="single" w:color="D9D9D9" w:sz="4"/>
            </w:tcBorders>
            <w:tcMar>
              <w:top w:w="75" w:type="dxa"/>
              <w:left w:w="75" w:type="dxa"/>
              <w:bottom w:w="75" w:type="dxa"/>
              <w:right w:w="75" w:type="dxa"/>
            </w:tcMar>
          </w:tcPr>
          <w:p>
            <w:pPr>
              <w:spacing w:after="0"/>
            </w:pPr>
            <w:r>
              <w:rPr>
                <w:b w:val="0"/>
                <w:sz w:val="17"/>
              </w:rPr>
              <w:t>May be supplied later. Show as outstanding to the Controller, but allow handover.</w:t>
            </w:r>
          </w:p>
        </w:tc>
      </w:tr>
      <w:tr>
        <w:trPr>
          <w:cantSplit/>
        </w:trPr>
        <w:tc>
          <w:tcPr>
            <w:tcW w:type="dxa" w:w="5040"/>
            <w:vAlign w:val="center"/>
            <w:shd w:fill="FFFFFF"/>
            <w:tcBorders>
              <w:top w:val="single" w:color="D9D9D9" w:sz="4"/>
              <w:left w:val="single" w:color="D9D9D9" w:sz="4"/>
              <w:bottom w:val="single" w:color="D9D9D9" w:sz="4"/>
              <w:right w:val="single" w:color="D9D9D9" w:sz="4"/>
            </w:tcBorders>
            <w:tcMar>
              <w:top w:w="75" w:type="dxa"/>
              <w:left w:w="75" w:type="dxa"/>
              <w:bottom w:w="75" w:type="dxa"/>
              <w:right w:w="75" w:type="dxa"/>
            </w:tcMar>
          </w:tcPr>
          <w:p>
            <w:pPr>
              <w:spacing w:after="0"/>
            </w:pPr>
            <w:r>
              <w:rPr>
                <w:b w:val="0"/>
                <w:sz w:val="17"/>
              </w:rPr>
              <w:t>D+D days</w:t>
            </w:r>
          </w:p>
        </w:tc>
        <w:tc>
          <w:tcPr>
            <w:tcW w:type="dxa" w:w="5040"/>
            <w:vAlign w:val="center"/>
            <w:shd w:fill="FFFFFF"/>
            <w:tcBorders>
              <w:top w:val="single" w:color="D9D9D9" w:sz="4"/>
              <w:left w:val="single" w:color="D9D9D9" w:sz="4"/>
              <w:bottom w:val="single" w:color="D9D9D9" w:sz="4"/>
              <w:right w:val="single" w:color="D9D9D9" w:sz="4"/>
            </w:tcBorders>
            <w:tcMar>
              <w:top w:w="75" w:type="dxa"/>
              <w:left w:w="75" w:type="dxa"/>
              <w:bottom w:w="75" w:type="dxa"/>
              <w:right w:w="75" w:type="dxa"/>
            </w:tcMar>
          </w:tcPr>
          <w:p>
            <w:pPr>
              <w:spacing w:after="0"/>
            </w:pPr>
            <w:r>
              <w:rPr>
                <w:b w:val="0"/>
                <w:sz w:val="17"/>
              </w:rPr>
              <w:t>Use the plain label “Combined D+D” instead of “One combined allowance”, or separate “Demurrage” and “Detention” days. These may be completed later and do not block handover.</w:t>
            </w:r>
          </w:p>
        </w:tc>
      </w:tr>
      <w:tr>
        <w:trPr>
          <w:cantSplit/>
        </w:trPr>
        <w:tc>
          <w:tcPr>
            <w:tcW w:type="dxa" w:w="5040"/>
            <w:vAlign w:val="center"/>
            <w:shd w:fill="F5F7F9"/>
            <w:tcBorders>
              <w:top w:val="single" w:color="D9D9D9" w:sz="4"/>
              <w:left w:val="single" w:color="D9D9D9" w:sz="4"/>
              <w:bottom w:val="single" w:color="D9D9D9" w:sz="4"/>
              <w:right w:val="single" w:color="D9D9D9" w:sz="4"/>
            </w:tcBorders>
            <w:tcMar>
              <w:top w:w="75" w:type="dxa"/>
              <w:left w:w="75" w:type="dxa"/>
              <w:bottom w:w="75" w:type="dxa"/>
              <w:right w:w="75" w:type="dxa"/>
            </w:tcMar>
          </w:tcPr>
          <w:p>
            <w:pPr>
              <w:spacing w:after="0"/>
            </w:pPr>
            <w:r>
              <w:rPr>
                <w:b w:val="0"/>
                <w:sz w:val="17"/>
              </w:rPr>
              <w:t>Last free day and override</w:t>
            </w:r>
          </w:p>
        </w:tc>
        <w:tc>
          <w:tcPr>
            <w:tcW w:type="dxa" w:w="5040"/>
            <w:vAlign w:val="center"/>
            <w:shd w:fill="F5F7F9"/>
            <w:tcBorders>
              <w:top w:val="single" w:color="D9D9D9" w:sz="4"/>
              <w:left w:val="single" w:color="D9D9D9" w:sz="4"/>
              <w:bottom w:val="single" w:color="D9D9D9" w:sz="4"/>
              <w:right w:val="single" w:color="D9D9D9" w:sz="4"/>
            </w:tcBorders>
            <w:tcMar>
              <w:top w:w="75" w:type="dxa"/>
              <w:left w:w="75" w:type="dxa"/>
              <w:bottom w:w="75" w:type="dxa"/>
              <w:right w:w="75" w:type="dxa"/>
            </w:tcMar>
          </w:tcPr>
          <w:p>
            <w:pPr>
              <w:spacing w:after="0"/>
            </w:pPr>
            <w:r>
              <w:rPr>
                <w:b w:val="0"/>
                <w:sz w:val="17"/>
              </w:rPr>
              <w:t>Show the calculated LFD date as DD/MM/YYYY beside the day count. Add a Controller override for the counter or LFD, with the entered value, reason, actor and time visible in the log.</w:t>
            </w:r>
          </w:p>
        </w:tc>
      </w:tr>
    </w:tbl>
    <w:p>
      <w:pPr>
        <w:pStyle w:val="Heading1"/>
      </w:pPr>
      <w:r>
        <w:t>Release discharge and handover actions</w:t>
      </w:r>
    </w:p>
    <w:p>
      <w:pPr>
        <w:pStyle w:val="ListBullet"/>
      </w:pPr>
      <w:r>
        <w:t>Portnet release is an action on the import job, available to Operations as well as Controller. Operations often receives the release email and must be able to record it immediately during creation or later, including after handover. If the evidence names only particular containers, the action must let the user select those containers rather than assume the whole job is released. Show clearly whether all or only some boxes are released.</w:t>
      </w:r>
    </w:p>
    <w:p>
      <w:pPr>
        <w:pStyle w:val="ListBullet"/>
      </w:pPr>
      <w:r>
        <w:t>Discharge is a per-container action available to Operations and Controller. Record each box separately, including the actor and event time. Release and discharge determine collection eligibility and planning, not the permit requirement.</w:t>
      </w:r>
    </w:p>
    <w:p>
      <w:pPr>
        <w:pStyle w:val="ListBullet"/>
      </w:pPr>
      <w:r>
        <w:t>Show an explicit “Hand over to Controller” button on the Operations import job once the required shipment, delivery and container fields are complete and every permit-required container has a mapped permit number. The button records who handed over the job and when. Show a short, exact missing-field list if it cannot proceed.</w:t>
      </w:r>
    </w:p>
    <w:p>
      <w:pPr>
        <w:pStyle w:val="ListBullet"/>
      </w:pPr>
      <w:r>
        <w:t>Handover may occur before Portnet release or discharge; the Controller can see a handed-over job as pending collection. Plan, driver/chassis assignment and pregate remain blocked until release for the selected container and its discharge are recorded. A missing yard, weight, tri-axle or D+D value remains visible to Operations as outstanding without preventing handover.</w:t>
      </w:r>
    </w:p>
    <w:p>
      <w:pPr>
        <w:pStyle w:val="ListBullet"/>
      </w:pPr>
      <w:r>
        <w:t>If the job contains several containers and only some meet the permit requirement, show which boxes can be handed over. Do not silently hand over a box with a missing required permit. Keep job and per-container handover status clear.</w:t>
      </w:r>
    </w:p>
    <w:p>
      <w:pPr>
        <w:pStyle w:val="Heading1"/>
      </w:pPr>
      <w:r>
        <w:t>Separate job milestones and work queues</w:t>
      </w:r>
    </w:p>
    <w:tbl>
      <w:tblPr>
        <w:tblW w:type="auto" w:w="0"/>
        <w:jc w:val="center"/>
        <w:tblLayout w:type="fixed"/>
        <w:tblLook w:firstColumn="1" w:firstRow="1" w:lastColumn="0" w:lastRow="0" w:noHBand="0" w:noVBand="1" w:val="04A0"/>
      </w:tblPr>
      <w:tblGrid>
        <w:gridCol w:w="5040"/>
        <w:gridCol w:w="5040"/>
      </w:tblGrid>
      <w:tr>
        <w:trPr>
          <w:cantSplit/>
          <w:tblHeader w:val="true"/>
        </w:trPr>
        <w:tc>
          <w:tcPr>
            <w:tcW w:type="dxa" w:w="2952"/>
            <w:vAlign w:val="center"/>
            <w:shd w:fill="DDEAF3"/>
            <w:tcBorders>
              <w:top w:val="single" w:color="D9D9D9" w:sz="4"/>
              <w:left w:val="single" w:color="D9D9D9" w:sz="4"/>
              <w:bottom w:val="single" w:color="D9D9D9" w:sz="4"/>
              <w:right w:val="single" w:color="D9D9D9" w:sz="4"/>
            </w:tcBorders>
            <w:tcMar>
              <w:top w:w="75" w:type="dxa"/>
              <w:left w:w="75" w:type="dxa"/>
              <w:bottom w:w="75" w:type="dxa"/>
              <w:right w:w="75" w:type="dxa"/>
            </w:tcMar>
          </w:tcPr>
          <w:p>
            <w:pPr>
              <w:spacing w:after="0"/>
            </w:pPr>
            <w:r>
              <w:rPr>
                <w:b/>
                <w:sz w:val="17"/>
              </w:rPr>
              <w:t>State</w:t>
            </w:r>
          </w:p>
        </w:tc>
        <w:tc>
          <w:tcPr>
            <w:tcW w:type="dxa" w:w="7128"/>
            <w:vAlign w:val="center"/>
            <w:shd w:fill="DDEAF3"/>
            <w:tcBorders>
              <w:top w:val="single" w:color="D9D9D9" w:sz="4"/>
              <w:left w:val="single" w:color="D9D9D9" w:sz="4"/>
              <w:bottom w:val="single" w:color="D9D9D9" w:sz="4"/>
              <w:right w:val="single" w:color="D9D9D9" w:sz="4"/>
            </w:tcBorders>
            <w:tcMar>
              <w:top w:w="75" w:type="dxa"/>
              <w:left w:w="75" w:type="dxa"/>
              <w:bottom w:w="75" w:type="dxa"/>
              <w:right w:w="75" w:type="dxa"/>
            </w:tcMar>
          </w:tcPr>
          <w:p>
            <w:pPr>
              <w:spacing w:after="0"/>
            </w:pPr>
            <w:r>
              <w:rPr>
                <w:b/>
                <w:sz w:val="17"/>
              </w:rPr>
              <w:t>Who sees and updates it</w:t>
            </w:r>
          </w:p>
        </w:tc>
      </w:tr>
      <w:tr>
        <w:trPr>
          <w:cantSplit/>
        </w:trPr>
        <w:tc>
          <w:tcPr>
            <w:tcW w:type="dxa" w:w="5040"/>
            <w:vAlign w:val="center"/>
            <w:shd w:fill="FFFFFF"/>
            <w:tcBorders>
              <w:top w:val="single" w:color="D9D9D9" w:sz="4"/>
              <w:left w:val="single" w:color="D9D9D9" w:sz="4"/>
              <w:bottom w:val="single" w:color="D9D9D9" w:sz="4"/>
              <w:right w:val="single" w:color="D9D9D9" w:sz="4"/>
            </w:tcBorders>
            <w:tcMar>
              <w:top w:w="75" w:type="dxa"/>
              <w:left w:w="75" w:type="dxa"/>
              <w:bottom w:w="75" w:type="dxa"/>
              <w:right w:w="75" w:type="dxa"/>
            </w:tcMar>
          </w:tcPr>
          <w:p>
            <w:pPr>
              <w:spacing w:after="0"/>
            </w:pPr>
            <w:r>
              <w:rPr>
                <w:b w:val="0"/>
                <w:sz w:val="17"/>
              </w:rPr>
              <w:t>Created, not handed over</w:t>
            </w:r>
          </w:p>
        </w:tc>
        <w:tc>
          <w:tcPr>
            <w:tcW w:type="dxa" w:w="5040"/>
            <w:vAlign w:val="center"/>
            <w:shd w:fill="FFFFFF"/>
            <w:tcBorders>
              <w:top w:val="single" w:color="D9D9D9" w:sz="4"/>
              <w:left w:val="single" w:color="D9D9D9" w:sz="4"/>
              <w:bottom w:val="single" w:color="D9D9D9" w:sz="4"/>
              <w:right w:val="single" w:color="D9D9D9" w:sz="4"/>
            </w:tcBorders>
            <w:tcMar>
              <w:top w:w="75" w:type="dxa"/>
              <w:left w:w="75" w:type="dxa"/>
              <w:bottom w:w="75" w:type="dxa"/>
              <w:right w:w="75" w:type="dxa"/>
            </w:tcMar>
          </w:tcPr>
          <w:p>
            <w:pPr>
              <w:spacing w:after="0"/>
            </w:pPr>
            <w:r>
              <w:rPr>
                <w:b w:val="0"/>
                <w:sz w:val="17"/>
              </w:rPr>
              <w:t>Operations prepares the core job. It does not appear as handed over on the Controller Board.</w:t>
            </w:r>
          </w:p>
        </w:tc>
      </w:tr>
      <w:tr>
        <w:trPr>
          <w:cantSplit/>
        </w:trPr>
        <w:tc>
          <w:tcPr>
            <w:tcW w:type="dxa" w:w="5040"/>
            <w:vAlign w:val="center"/>
            <w:shd w:fill="F5F7F9"/>
            <w:tcBorders>
              <w:top w:val="single" w:color="D9D9D9" w:sz="4"/>
              <w:left w:val="single" w:color="D9D9D9" w:sz="4"/>
              <w:bottom w:val="single" w:color="D9D9D9" w:sz="4"/>
              <w:right w:val="single" w:color="D9D9D9" w:sz="4"/>
            </w:tcBorders>
            <w:tcMar>
              <w:top w:w="75" w:type="dxa"/>
              <w:left w:w="75" w:type="dxa"/>
              <w:bottom w:w="75" w:type="dxa"/>
              <w:right w:w="75" w:type="dxa"/>
            </w:tcMar>
          </w:tcPr>
          <w:p>
            <w:pPr>
              <w:spacing w:after="0"/>
            </w:pPr>
            <w:r>
              <w:rPr>
                <w:b w:val="0"/>
                <w:sz w:val="17"/>
              </w:rPr>
              <w:t>Handed over, documents outstanding</w:t>
            </w:r>
          </w:p>
        </w:tc>
        <w:tc>
          <w:tcPr>
            <w:tcW w:type="dxa" w:w="5040"/>
            <w:vAlign w:val="center"/>
            <w:shd w:fill="F5F7F9"/>
            <w:tcBorders>
              <w:top w:val="single" w:color="D9D9D9" w:sz="4"/>
              <w:left w:val="single" w:color="D9D9D9" w:sz="4"/>
              <w:bottom w:val="single" w:color="D9D9D9" w:sz="4"/>
              <w:right w:val="single" w:color="D9D9D9" w:sz="4"/>
            </w:tcBorders>
            <w:tcMar>
              <w:top w:w="75" w:type="dxa"/>
              <w:left w:w="75" w:type="dxa"/>
              <w:bottom w:w="75" w:type="dxa"/>
              <w:right w:w="75" w:type="dxa"/>
            </w:tcMar>
          </w:tcPr>
          <w:p>
            <w:pPr>
              <w:spacing w:after="0"/>
            </w:pPr>
            <w:r>
              <w:rPr>
                <w:b w:val="0"/>
                <w:sz w:val="17"/>
              </w:rPr>
              <w:t>Controller sees and works the job. Operations retains it in its documents-outstanding queue and can keep entering the empty return yard, D+D and other supporting details. The handover timestamp remains unchanged.</w:t>
            </w:r>
          </w:p>
        </w:tc>
      </w:tr>
      <w:tr>
        <w:trPr>
          <w:cantSplit/>
        </w:trPr>
        <w:tc>
          <w:tcPr>
            <w:tcW w:type="dxa" w:w="5040"/>
            <w:vAlign w:val="center"/>
            <w:shd w:fill="FFFFFF"/>
            <w:tcBorders>
              <w:top w:val="single" w:color="D9D9D9" w:sz="4"/>
              <w:left w:val="single" w:color="D9D9D9" w:sz="4"/>
              <w:bottom w:val="single" w:color="D9D9D9" w:sz="4"/>
              <w:right w:val="single" w:color="D9D9D9" w:sz="4"/>
            </w:tcBorders>
            <w:tcMar>
              <w:top w:w="75" w:type="dxa"/>
              <w:left w:w="75" w:type="dxa"/>
              <w:bottom w:w="75" w:type="dxa"/>
              <w:right w:w="75" w:type="dxa"/>
            </w:tcMar>
          </w:tcPr>
          <w:p>
            <w:pPr>
              <w:spacing w:after="0"/>
            </w:pPr>
            <w:r>
              <w:rPr>
                <w:b w:val="0"/>
                <w:sz w:val="17"/>
              </w:rPr>
              <w:t>Operational documents ready</w:t>
            </w:r>
          </w:p>
        </w:tc>
        <w:tc>
          <w:tcPr>
            <w:tcW w:type="dxa" w:w="5040"/>
            <w:vAlign w:val="center"/>
            <w:shd w:fill="FFFFFF"/>
            <w:tcBorders>
              <w:top w:val="single" w:color="D9D9D9" w:sz="4"/>
              <w:left w:val="single" w:color="D9D9D9" w:sz="4"/>
              <w:bottom w:val="single" w:color="D9D9D9" w:sz="4"/>
              <w:right w:val="single" w:color="D9D9D9" w:sz="4"/>
            </w:tcBorders>
            <w:tcMar>
              <w:top w:w="75" w:type="dxa"/>
              <w:left w:w="75" w:type="dxa"/>
              <w:bottom w:w="75" w:type="dxa"/>
              <w:right w:w="75" w:type="dxa"/>
            </w:tcMar>
          </w:tcPr>
          <w:p>
            <w:pPr>
              <w:spacing w:after="0"/>
            </w:pPr>
            <w:r>
              <w:rPr>
                <w:b w:val="0"/>
                <w:sz w:val="17"/>
              </w:rPr>
              <w:t>When Operations has completed its document work, it presses an explicit “Mark operational documents ready” action. The job leaves the Operations documents-outstanding queue but remains on the Controller Board until the transport workflow is completed.</w:t>
            </w:r>
          </w:p>
        </w:tc>
      </w:tr>
      <w:tr>
        <w:trPr>
          <w:cantSplit/>
        </w:trPr>
        <w:tc>
          <w:tcPr>
            <w:tcW w:type="dxa" w:w="5040"/>
            <w:vAlign w:val="center"/>
            <w:shd w:fill="F5F7F9"/>
            <w:tcBorders>
              <w:top w:val="single" w:color="D9D9D9" w:sz="4"/>
              <w:left w:val="single" w:color="D9D9D9" w:sz="4"/>
              <w:bottom w:val="single" w:color="D9D9D9" w:sz="4"/>
              <w:right w:val="single" w:color="D9D9D9" w:sz="4"/>
            </w:tcBorders>
            <w:tcMar>
              <w:top w:w="75" w:type="dxa"/>
              <w:left w:w="75" w:type="dxa"/>
              <w:bottom w:w="75" w:type="dxa"/>
              <w:right w:w="75" w:type="dxa"/>
            </w:tcMar>
          </w:tcPr>
          <w:p>
            <w:pPr>
              <w:spacing w:after="0"/>
            </w:pPr>
            <w:r>
              <w:rPr>
                <w:b w:val="0"/>
                <w:sz w:val="17"/>
              </w:rPr>
              <w:t>Release and discharge</w:t>
            </w:r>
          </w:p>
        </w:tc>
        <w:tc>
          <w:tcPr>
            <w:tcW w:type="dxa" w:w="5040"/>
            <w:vAlign w:val="center"/>
            <w:shd w:fill="F5F7F9"/>
            <w:tcBorders>
              <w:top w:val="single" w:color="D9D9D9" w:sz="4"/>
              <w:left w:val="single" w:color="D9D9D9" w:sz="4"/>
              <w:bottom w:val="single" w:color="D9D9D9" w:sz="4"/>
              <w:right w:val="single" w:color="D9D9D9" w:sz="4"/>
            </w:tcBorders>
            <w:tcMar>
              <w:top w:w="75" w:type="dxa"/>
              <w:left w:w="75" w:type="dxa"/>
              <w:bottom w:w="75" w:type="dxa"/>
              <w:right w:w="75" w:type="dxa"/>
            </w:tcMar>
          </w:tcPr>
          <w:p>
            <w:pPr>
              <w:spacing w:after="0"/>
            </w:pPr>
            <w:r>
              <w:rPr>
                <w:b w:val="0"/>
                <w:sz w:val="17"/>
              </w:rPr>
              <w:t>Independent operational event states. Both roles can record release from the evidence they receive; discharge remains per container. These states control collection and Plan and do not silently change handover or document-ready status.</w:t>
            </w:r>
          </w:p>
        </w:tc>
      </w:tr>
    </w:tbl>
    <w:p>
      <w:r>
        <w:t>Show the handover state, document readiness, Portnet release and discharge as separate labels on both views. “Operational documents ready” is not job closure or delivery completion. If a completed document is later corrected, retain its history and show the current readiness truth.</w:t>
      </w:r>
    </w:p>
    <w:p>
      <w:pPr>
        <w:pStyle w:val="Heading1"/>
      </w:pPr>
      <w:r>
        <w:t>Acceptance scenarios</w:t>
      </w:r>
    </w:p>
    <w:tbl>
      <w:tblPr>
        <w:tblW w:type="auto" w:w="0"/>
        <w:jc w:val="center"/>
        <w:tblLayout w:type="fixed"/>
        <w:tblLook w:firstColumn="1" w:firstRow="1" w:lastColumn="0" w:lastRow="0" w:noHBand="0" w:noVBand="1" w:val="04A0"/>
      </w:tblPr>
      <w:tblGrid>
        <w:gridCol w:w="5040"/>
        <w:gridCol w:w="5040"/>
      </w:tblGrid>
      <w:tr>
        <w:trPr>
          <w:cantSplit/>
          <w:tblHeader w:val="true"/>
        </w:trPr>
        <w:tc>
          <w:tcPr>
            <w:tcW w:type="dxa" w:w="2592"/>
            <w:vAlign w:val="center"/>
            <w:shd w:fill="DDEAF3"/>
            <w:tcBorders>
              <w:top w:val="single" w:color="D9D9D9" w:sz="4"/>
              <w:left w:val="single" w:color="D9D9D9" w:sz="4"/>
              <w:bottom w:val="single" w:color="D9D9D9" w:sz="4"/>
              <w:right w:val="single" w:color="D9D9D9" w:sz="4"/>
            </w:tcBorders>
            <w:tcMar>
              <w:top w:w="75" w:type="dxa"/>
              <w:left w:w="75" w:type="dxa"/>
              <w:bottom w:w="75" w:type="dxa"/>
              <w:right w:w="75" w:type="dxa"/>
            </w:tcMar>
          </w:tcPr>
          <w:p>
            <w:pPr>
              <w:spacing w:after="0"/>
            </w:pPr>
            <w:r>
              <w:rPr>
                <w:b/>
                <w:sz w:val="17"/>
              </w:rPr>
              <w:t>Scenario</w:t>
            </w:r>
          </w:p>
        </w:tc>
        <w:tc>
          <w:tcPr>
            <w:tcW w:type="dxa" w:w="7488"/>
            <w:vAlign w:val="center"/>
            <w:shd w:fill="DDEAF3"/>
            <w:tcBorders>
              <w:top w:val="single" w:color="D9D9D9" w:sz="4"/>
              <w:left w:val="single" w:color="D9D9D9" w:sz="4"/>
              <w:bottom w:val="single" w:color="D9D9D9" w:sz="4"/>
              <w:right w:val="single" w:color="D9D9D9" w:sz="4"/>
            </w:tcBorders>
            <w:tcMar>
              <w:top w:w="75" w:type="dxa"/>
              <w:left w:w="75" w:type="dxa"/>
              <w:bottom w:w="75" w:type="dxa"/>
              <w:right w:w="75" w:type="dxa"/>
            </w:tcMar>
          </w:tcPr>
          <w:p>
            <w:pPr>
              <w:spacing w:after="0"/>
            </w:pPr>
            <w:r>
              <w:rPr>
                <w:b/>
                <w:sz w:val="17"/>
              </w:rPr>
              <w:t>Expected result</w:t>
            </w:r>
          </w:p>
        </w:tc>
      </w:tr>
      <w:tr>
        <w:trPr>
          <w:cantSplit/>
        </w:trPr>
        <w:tc>
          <w:tcPr>
            <w:tcW w:type="dxa" w:w="5040"/>
            <w:vAlign w:val="center"/>
            <w:shd w:fill="FFFFFF"/>
            <w:tcBorders>
              <w:top w:val="single" w:color="D9D9D9" w:sz="4"/>
              <w:left w:val="single" w:color="D9D9D9" w:sz="4"/>
              <w:bottom w:val="single" w:color="D9D9D9" w:sz="4"/>
              <w:right w:val="single" w:color="D9D9D9" w:sz="4"/>
            </w:tcBorders>
            <w:tcMar>
              <w:top w:w="75" w:type="dxa"/>
              <w:left w:w="75" w:type="dxa"/>
              <w:bottom w:w="75" w:type="dxa"/>
              <w:right w:w="75" w:type="dxa"/>
            </w:tcMar>
          </w:tcPr>
          <w:p>
            <w:pPr>
              <w:spacing w:after="0"/>
            </w:pPr>
            <w:r>
              <w:rPr>
                <w:b w:val="0"/>
                <w:sz w:val="17"/>
              </w:rPr>
              <w:t>Two containers, one address</w:t>
            </w:r>
          </w:p>
        </w:tc>
        <w:tc>
          <w:tcPr>
            <w:tcW w:type="dxa" w:w="5040"/>
            <w:vAlign w:val="center"/>
            <w:shd w:fill="FFFFFF"/>
            <w:tcBorders>
              <w:top w:val="single" w:color="D9D9D9" w:sz="4"/>
              <w:left w:val="single" w:color="D9D9D9" w:sz="4"/>
              <w:bottom w:val="single" w:color="D9D9D9" w:sz="4"/>
              <w:right w:val="single" w:color="D9D9D9" w:sz="4"/>
            </w:tcBorders>
            <w:tcMar>
              <w:top w:w="75" w:type="dxa"/>
              <w:left w:w="75" w:type="dxa"/>
              <w:bottom w:w="75" w:type="dxa"/>
              <w:right w:w="75" w:type="dxa"/>
            </w:tcMar>
          </w:tcPr>
          <w:p>
            <w:pPr>
              <w:spacing w:after="0"/>
            </w:pPr>
            <w:r>
              <w:rPr>
                <w:b w:val="0"/>
                <w:sz w:val="17"/>
              </w:rPr>
              <w:t>One selected delivery company/address applies to both; job creates under one number; Operations can hand over when required fields and permit mapping are complete.</w:t>
            </w:r>
          </w:p>
        </w:tc>
      </w:tr>
      <w:tr>
        <w:trPr>
          <w:cantSplit/>
        </w:trPr>
        <w:tc>
          <w:tcPr>
            <w:tcW w:type="dxa" w:w="5040"/>
            <w:vAlign w:val="center"/>
            <w:shd w:fill="F5F7F9"/>
            <w:tcBorders>
              <w:top w:val="single" w:color="D9D9D9" w:sz="4"/>
              <w:left w:val="single" w:color="D9D9D9" w:sz="4"/>
              <w:bottom w:val="single" w:color="D9D9D9" w:sz="4"/>
              <w:right w:val="single" w:color="D9D9D9" w:sz="4"/>
            </w:tcBorders>
            <w:tcMar>
              <w:top w:w="75" w:type="dxa"/>
              <w:left w:w="75" w:type="dxa"/>
              <w:bottom w:w="75" w:type="dxa"/>
              <w:right w:w="75" w:type="dxa"/>
            </w:tcMar>
          </w:tcPr>
          <w:p>
            <w:pPr>
              <w:spacing w:after="0"/>
            </w:pPr>
            <w:r>
              <w:rPr>
                <w:b w:val="0"/>
                <w:sz w:val="17"/>
              </w:rPr>
              <w:t>Two containers, different addresses</w:t>
            </w:r>
          </w:p>
        </w:tc>
        <w:tc>
          <w:tcPr>
            <w:tcW w:type="dxa" w:w="5040"/>
            <w:vAlign w:val="center"/>
            <w:shd w:fill="F5F7F9"/>
            <w:tcBorders>
              <w:top w:val="single" w:color="D9D9D9" w:sz="4"/>
              <w:left w:val="single" w:color="D9D9D9" w:sz="4"/>
              <w:bottom w:val="single" w:color="D9D9D9" w:sz="4"/>
              <w:right w:val="single" w:color="D9D9D9" w:sz="4"/>
            </w:tcBorders>
            <w:tcMar>
              <w:top w:w="75" w:type="dxa"/>
              <w:left w:w="75" w:type="dxa"/>
              <w:bottom w:w="75" w:type="dxa"/>
              <w:right w:w="75" w:type="dxa"/>
            </w:tcMar>
          </w:tcPr>
          <w:p>
            <w:pPr>
              <w:spacing w:after="0"/>
            </w:pPr>
            <w:r>
              <w:rPr>
                <w:b w:val="0"/>
                <w:sz w:val="17"/>
              </w:rPr>
              <w:t>Each container shows its own company/address on creation, job detail and Controller view. Editing one address does not change the other.</w:t>
            </w:r>
          </w:p>
        </w:tc>
      </w:tr>
      <w:tr>
        <w:trPr>
          <w:cantSplit/>
        </w:trPr>
        <w:tc>
          <w:tcPr>
            <w:tcW w:type="dxa" w:w="5040"/>
            <w:vAlign w:val="center"/>
            <w:shd w:fill="FFFFFF"/>
            <w:tcBorders>
              <w:top w:val="single" w:color="D9D9D9" w:sz="4"/>
              <w:left w:val="single" w:color="D9D9D9" w:sz="4"/>
              <w:bottom w:val="single" w:color="D9D9D9" w:sz="4"/>
              <w:right w:val="single" w:color="D9D9D9" w:sz="4"/>
            </w:tcBorders>
            <w:tcMar>
              <w:top w:w="75" w:type="dxa"/>
              <w:left w:w="75" w:type="dxa"/>
              <w:bottom w:w="75" w:type="dxa"/>
              <w:right w:w="75" w:type="dxa"/>
            </w:tcMar>
          </w:tcPr>
          <w:p>
            <w:pPr>
              <w:spacing w:after="0"/>
            </w:pPr>
            <w:r>
              <w:rPr>
                <w:b w:val="0"/>
                <w:sz w:val="17"/>
              </w:rPr>
              <w:t>HOCK without permit</w:t>
            </w:r>
          </w:p>
        </w:tc>
        <w:tc>
          <w:tcPr>
            <w:tcW w:type="dxa" w:w="5040"/>
            <w:vAlign w:val="center"/>
            <w:shd w:fill="FFFFFF"/>
            <w:tcBorders>
              <w:top w:val="single" w:color="D9D9D9" w:sz="4"/>
              <w:left w:val="single" w:color="D9D9D9" w:sz="4"/>
              <w:bottom w:val="single" w:color="D9D9D9" w:sz="4"/>
              <w:right w:val="single" w:color="D9D9D9" w:sz="4"/>
            </w:tcBorders>
            <w:tcMar>
              <w:top w:w="75" w:type="dxa"/>
              <w:left w:w="75" w:type="dxa"/>
              <w:bottom w:w="75" w:type="dxa"/>
              <w:right w:w="75" w:type="dxa"/>
            </w:tcMar>
          </w:tcPr>
          <w:p>
            <w:pPr>
              <w:spacing w:after="0"/>
            </w:pPr>
            <w:r>
              <w:rPr>
                <w:b w:val="0"/>
                <w:sz w:val="17"/>
              </w:rPr>
              <w:t>Permit applicability defaults to Not required; no permit number is requested for handover. Release/discharge still control collection and Plan.</w:t>
            </w:r>
          </w:p>
        </w:tc>
      </w:tr>
      <w:tr>
        <w:trPr>
          <w:cantSplit/>
        </w:trPr>
        <w:tc>
          <w:tcPr>
            <w:tcW w:type="dxa" w:w="5040"/>
            <w:vAlign w:val="center"/>
            <w:shd w:fill="F5F7F9"/>
            <w:tcBorders>
              <w:top w:val="single" w:color="D9D9D9" w:sz="4"/>
              <w:left w:val="single" w:color="D9D9D9" w:sz="4"/>
              <w:bottom w:val="single" w:color="D9D9D9" w:sz="4"/>
              <w:right w:val="single" w:color="D9D9D9" w:sz="4"/>
            </w:tcBorders>
            <w:tcMar>
              <w:top w:w="75" w:type="dxa"/>
              <w:left w:w="75" w:type="dxa"/>
              <w:bottom w:w="75" w:type="dxa"/>
              <w:right w:w="75" w:type="dxa"/>
            </w:tcMar>
          </w:tcPr>
          <w:p>
            <w:pPr>
              <w:spacing w:after="0"/>
            </w:pPr>
            <w:r>
              <w:rPr>
                <w:b w:val="0"/>
                <w:sz w:val="17"/>
              </w:rPr>
              <w:t>Required permit across two boxes</w:t>
            </w:r>
          </w:p>
        </w:tc>
        <w:tc>
          <w:tcPr>
            <w:tcW w:type="dxa" w:w="5040"/>
            <w:vAlign w:val="center"/>
            <w:shd w:fill="F5F7F9"/>
            <w:tcBorders>
              <w:top w:val="single" w:color="D9D9D9" w:sz="4"/>
              <w:left w:val="single" w:color="D9D9D9" w:sz="4"/>
              <w:bottom w:val="single" w:color="D9D9D9" w:sz="4"/>
              <w:right w:val="single" w:color="D9D9D9" w:sz="4"/>
            </w:tcBorders>
            <w:tcMar>
              <w:top w:w="75" w:type="dxa"/>
              <w:left w:w="75" w:type="dxa"/>
              <w:bottom w:w="75" w:type="dxa"/>
              <w:right w:w="75" w:type="dxa"/>
            </w:tcMar>
          </w:tcPr>
          <w:p>
            <w:pPr>
              <w:spacing w:after="0"/>
            </w:pPr>
            <w:r>
              <w:rPr>
                <w:b w:val="0"/>
                <w:sz w:val="17"/>
              </w:rPr>
              <w:t>Upload one permit, map it to box A, then add another and map it to B. Missing permit on B blocks B handover, with the exact reason displayed. Both files remain on the saved job.</w:t>
            </w:r>
          </w:p>
        </w:tc>
      </w:tr>
      <w:tr>
        <w:trPr>
          <w:cantSplit/>
        </w:trPr>
        <w:tc>
          <w:tcPr>
            <w:tcW w:type="dxa" w:w="5040"/>
            <w:vAlign w:val="center"/>
            <w:shd w:fill="FFFFFF"/>
            <w:tcBorders>
              <w:top w:val="single" w:color="D9D9D9" w:sz="4"/>
              <w:left w:val="single" w:color="D9D9D9" w:sz="4"/>
              <w:bottom w:val="single" w:color="D9D9D9" w:sz="4"/>
              <w:right w:val="single" w:color="D9D9D9" w:sz="4"/>
            </w:tcBorders>
            <w:tcMar>
              <w:top w:w="75" w:type="dxa"/>
              <w:left w:w="75" w:type="dxa"/>
              <w:bottom w:w="75" w:type="dxa"/>
              <w:right w:w="75" w:type="dxa"/>
            </w:tcMar>
          </w:tcPr>
          <w:p>
            <w:pPr>
              <w:spacing w:after="0"/>
            </w:pPr>
            <w:r>
              <w:rPr>
                <w:b w:val="0"/>
                <w:sz w:val="17"/>
              </w:rPr>
              <w:t>Release email during creation</w:t>
            </w:r>
          </w:p>
        </w:tc>
        <w:tc>
          <w:tcPr>
            <w:tcW w:type="dxa" w:w="5040"/>
            <w:vAlign w:val="center"/>
            <w:shd w:fill="FFFFFF"/>
            <w:tcBorders>
              <w:top w:val="single" w:color="D9D9D9" w:sz="4"/>
              <w:left w:val="single" w:color="D9D9D9" w:sz="4"/>
              <w:bottom w:val="single" w:color="D9D9D9" w:sz="4"/>
              <w:right w:val="single" w:color="D9D9D9" w:sz="4"/>
            </w:tcBorders>
            <w:tcMar>
              <w:top w:w="75" w:type="dxa"/>
              <w:left w:w="75" w:type="dxa"/>
              <w:bottom w:w="75" w:type="dxa"/>
              <w:right w:w="75" w:type="dxa"/>
            </w:tcMar>
          </w:tcPr>
          <w:p>
            <w:pPr>
              <w:spacing w:after="0"/>
            </w:pPr>
            <w:r>
              <w:rPr>
                <w:b w:val="0"/>
                <w:sz w:val="17"/>
              </w:rPr>
              <w:t>If the email covers the whole job, mark all boxes released and save. If it covers only box A, select A; B remains pending. Operations and Controller see the same auditable event after refresh.</w:t>
            </w:r>
          </w:p>
        </w:tc>
      </w:tr>
      <w:tr>
        <w:trPr>
          <w:cantSplit/>
        </w:trPr>
        <w:tc>
          <w:tcPr>
            <w:tcW w:type="dxa" w:w="5040"/>
            <w:vAlign w:val="center"/>
            <w:shd w:fill="F5F7F9"/>
            <w:tcBorders>
              <w:top w:val="single" w:color="D9D9D9" w:sz="4"/>
              <w:left w:val="single" w:color="D9D9D9" w:sz="4"/>
              <w:bottom w:val="single" w:color="D9D9D9" w:sz="4"/>
              <w:right w:val="single" w:color="D9D9D9" w:sz="4"/>
            </w:tcBorders>
            <w:tcMar>
              <w:top w:w="75" w:type="dxa"/>
              <w:left w:w="75" w:type="dxa"/>
              <w:bottom w:w="75" w:type="dxa"/>
              <w:right w:w="75" w:type="dxa"/>
            </w:tcMar>
          </w:tcPr>
          <w:p>
            <w:pPr>
              <w:spacing w:after="0"/>
            </w:pPr>
            <w:r>
              <w:rPr>
                <w:b w:val="0"/>
                <w:sz w:val="17"/>
              </w:rPr>
              <w:t>Optional information missing</w:t>
            </w:r>
          </w:p>
        </w:tc>
        <w:tc>
          <w:tcPr>
            <w:tcW w:type="dxa" w:w="5040"/>
            <w:vAlign w:val="center"/>
            <w:shd w:fill="F5F7F9"/>
            <w:tcBorders>
              <w:top w:val="single" w:color="D9D9D9" w:sz="4"/>
              <w:left w:val="single" w:color="D9D9D9" w:sz="4"/>
              <w:bottom w:val="single" w:color="D9D9D9" w:sz="4"/>
              <w:right w:val="single" w:color="D9D9D9" w:sz="4"/>
            </w:tcBorders>
            <w:tcMar>
              <w:top w:w="75" w:type="dxa"/>
              <w:left w:w="75" w:type="dxa"/>
              <w:bottom w:w="75" w:type="dxa"/>
              <w:right w:w="75" w:type="dxa"/>
            </w:tcMar>
          </w:tcPr>
          <w:p>
            <w:pPr>
              <w:spacing w:after="0"/>
            </w:pPr>
            <w:r>
              <w:rPr>
                <w:b w:val="0"/>
                <w:sz w:val="17"/>
              </w:rPr>
              <w:t>Leave yard, weight, tri-axle and D+D blank. Handover succeeds when core fields and applicable permits are complete. Controller sees those outstanding items and the LFD date when days are later entered.</w:t>
            </w:r>
          </w:p>
        </w:tc>
      </w:tr>
      <w:tr>
        <w:trPr>
          <w:cantSplit/>
        </w:trPr>
        <w:tc>
          <w:tcPr>
            <w:tcW w:type="dxa" w:w="5040"/>
            <w:vAlign w:val="center"/>
            <w:shd w:fill="FFFFFF"/>
            <w:tcBorders>
              <w:top w:val="single" w:color="D9D9D9" w:sz="4"/>
              <w:left w:val="single" w:color="D9D9D9" w:sz="4"/>
              <w:bottom w:val="single" w:color="D9D9D9" w:sz="4"/>
              <w:right w:val="single" w:color="D9D9D9" w:sz="4"/>
            </w:tcBorders>
            <w:tcMar>
              <w:top w:w="75" w:type="dxa"/>
              <w:left w:w="75" w:type="dxa"/>
              <w:bottom w:w="75" w:type="dxa"/>
              <w:right w:w="75" w:type="dxa"/>
            </w:tcMar>
          </w:tcPr>
          <w:p>
            <w:pPr>
              <w:spacing w:after="0"/>
            </w:pPr>
            <w:r>
              <w:rPr>
                <w:b w:val="0"/>
                <w:sz w:val="17"/>
              </w:rPr>
              <w:t>Documents after handover</w:t>
            </w:r>
          </w:p>
        </w:tc>
        <w:tc>
          <w:tcPr>
            <w:tcW w:type="dxa" w:w="5040"/>
            <w:vAlign w:val="center"/>
            <w:shd w:fill="FFFFFF"/>
            <w:tcBorders>
              <w:top w:val="single" w:color="D9D9D9" w:sz="4"/>
              <w:left w:val="single" w:color="D9D9D9" w:sz="4"/>
              <w:bottom w:val="single" w:color="D9D9D9" w:sz="4"/>
              <w:right w:val="single" w:color="D9D9D9" w:sz="4"/>
            </w:tcBorders>
            <w:tcMar>
              <w:top w:w="75" w:type="dxa"/>
              <w:left w:w="75" w:type="dxa"/>
              <w:bottom w:w="75" w:type="dxa"/>
              <w:right w:w="75" w:type="dxa"/>
            </w:tcMar>
          </w:tcPr>
          <w:p>
            <w:pPr>
              <w:spacing w:after="0"/>
            </w:pPr>
            <w:r>
              <w:rPr>
                <w:b w:val="0"/>
                <w:sz w:val="17"/>
              </w:rPr>
              <w:t>Hand over with nonblocking items outstanding. Operations still sees the job in its documents queue, completes them, then marks Operational documents ready. The job leaves that queue and remains with Controller; no collection or trip status changes merely from this action.</w:t>
            </w:r>
          </w:p>
        </w:tc>
      </w:tr>
    </w:tbl>
    <w:p>
      <w:r>
        <w:t>Use one source of truth for required fields, handover state, release, discharge and planning eligibility. Apply the same labels and values throughout the application and record changes in the consolidated job log.</w:t>
      </w:r>
    </w:p>
    <w:p>
      <w:pPr>
        <w:pStyle w:val="Heading1"/>
      </w:pPr>
      <w:r>
        <w:t>Export job handover and CMS planning</w:t>
      </w:r>
    </w:p>
    <w:p>
      <w:r>
        <w:t>An export job may be passed to Controller when Operations records the customer details, delivery address, container size and weight, and whether heavy duty, tri-axle and 32.5-tonne transport apply. Show an explicit handover action and identify any missing core item precisely. CMS pending is not a handover blocker. The job must remain visible on the Controller Board even if CMS can only be completed on the day of empty collection from the yard.</w:t>
      </w:r>
    </w:p>
    <w:p>
      <w:r>
        <w:t>CMS pending is a planning blocker for the applicable empty-container collection. Controller may view and prepare the job but cannot assign a driver to go to the yard, or dispatch that empty collection, until CMS is completed. Show “CMS pending” beside the affected collection. Once completed, clear that blocker and allow assignment if other applicable requirements are met; do not imply the collection itself is completed.</w:t>
      </w:r>
    </w:p>
    <w:tbl>
      <w:tblPr>
        <w:tblW w:type="auto" w:w="0"/>
        <w:jc w:val="center"/>
        <w:tblLayout w:type="fixed"/>
        <w:tblLook w:firstColumn="1" w:firstRow="1" w:lastColumn="0" w:lastRow="0" w:noHBand="0" w:noVBand="1" w:val="04A0"/>
      </w:tblPr>
      <w:tblGrid>
        <w:gridCol w:w="5040"/>
        <w:gridCol w:w="5040"/>
      </w:tblGrid>
      <w:tr>
        <w:trPr>
          <w:cantSplit/>
          <w:tblHeader w:val="true"/>
        </w:trPr>
        <w:tc>
          <w:tcPr>
            <w:tcW w:type="dxa" w:w="2952"/>
            <w:vAlign w:val="center"/>
            <w:shd w:fill="DDEAF3"/>
            <w:tcBorders>
              <w:top w:val="single" w:color="D9D9D9" w:sz="4"/>
              <w:left w:val="single" w:color="D9D9D9" w:sz="4"/>
              <w:bottom w:val="single" w:color="D9D9D9" w:sz="4"/>
              <w:right w:val="single" w:color="D9D9D9" w:sz="4"/>
            </w:tcBorders>
            <w:tcMar>
              <w:top w:w="75" w:type="dxa"/>
              <w:left w:w="75" w:type="dxa"/>
              <w:bottom w:w="75" w:type="dxa"/>
              <w:right w:w="75" w:type="dxa"/>
            </w:tcMar>
          </w:tcPr>
          <w:p>
            <w:pPr>
              <w:spacing w:after="0"/>
            </w:pPr>
            <w:r>
              <w:rPr>
                <w:b/>
                <w:sz w:val="17"/>
              </w:rPr>
              <w:t>Export state</w:t>
            </w:r>
          </w:p>
        </w:tc>
        <w:tc>
          <w:tcPr>
            <w:tcW w:type="dxa" w:w="7128"/>
            <w:vAlign w:val="center"/>
            <w:shd w:fill="DDEAF3"/>
            <w:tcBorders>
              <w:top w:val="single" w:color="D9D9D9" w:sz="4"/>
              <w:left w:val="single" w:color="D9D9D9" w:sz="4"/>
              <w:bottom w:val="single" w:color="D9D9D9" w:sz="4"/>
              <w:right w:val="single" w:color="D9D9D9" w:sz="4"/>
            </w:tcBorders>
            <w:tcMar>
              <w:top w:w="75" w:type="dxa"/>
              <w:left w:w="75" w:type="dxa"/>
              <w:bottom w:w="75" w:type="dxa"/>
              <w:right w:w="75" w:type="dxa"/>
            </w:tcMar>
          </w:tcPr>
          <w:p>
            <w:pPr>
              <w:spacing w:after="0"/>
            </w:pPr>
            <w:r>
              <w:rPr>
                <w:b/>
                <w:sz w:val="17"/>
              </w:rPr>
              <w:t>Required behavior</w:t>
            </w:r>
          </w:p>
        </w:tc>
      </w:tr>
      <w:tr>
        <w:trPr>
          <w:cantSplit/>
        </w:trPr>
        <w:tc>
          <w:tcPr>
            <w:tcW w:type="dxa" w:w="5040"/>
            <w:vAlign w:val="center"/>
            <w:shd w:fill="FFFFFF"/>
            <w:tcBorders>
              <w:top w:val="single" w:color="D9D9D9" w:sz="4"/>
              <w:left w:val="single" w:color="D9D9D9" w:sz="4"/>
              <w:bottom w:val="single" w:color="D9D9D9" w:sz="4"/>
              <w:right w:val="single" w:color="D9D9D9" w:sz="4"/>
            </w:tcBorders>
            <w:tcMar>
              <w:top w:w="75" w:type="dxa"/>
              <w:left w:w="75" w:type="dxa"/>
              <w:bottom w:w="75" w:type="dxa"/>
              <w:right w:w="75" w:type="dxa"/>
            </w:tcMar>
          </w:tcPr>
          <w:p>
            <w:pPr>
              <w:spacing w:after="0"/>
            </w:pPr>
            <w:r>
              <w:rPr>
                <w:b w:val="0"/>
                <w:sz w:val="17"/>
              </w:rPr>
              <w:t>Core details ready, CMS pending</w:t>
            </w:r>
          </w:p>
        </w:tc>
        <w:tc>
          <w:tcPr>
            <w:tcW w:type="dxa" w:w="5040"/>
            <w:vAlign w:val="center"/>
            <w:shd w:fill="FFFFFF"/>
            <w:tcBorders>
              <w:top w:val="single" w:color="D9D9D9" w:sz="4"/>
              <w:left w:val="single" w:color="D9D9D9" w:sz="4"/>
              <w:bottom w:val="single" w:color="D9D9D9" w:sz="4"/>
              <w:right w:val="single" w:color="D9D9D9" w:sz="4"/>
            </w:tcBorders>
            <w:tcMar>
              <w:top w:w="75" w:type="dxa"/>
              <w:left w:w="75" w:type="dxa"/>
              <w:bottom w:w="75" w:type="dxa"/>
              <w:right w:w="75" w:type="dxa"/>
            </w:tcMar>
          </w:tcPr>
          <w:p>
            <w:pPr>
              <w:spacing w:after="0"/>
            </w:pPr>
            <w:r>
              <w:rPr>
                <w:b w:val="0"/>
                <w:sz w:val="17"/>
              </w:rPr>
              <w:t>Operations can hand over. Controller sees the job with CMS pending; driver assignment for empty collection stays blocked.</w:t>
            </w:r>
          </w:p>
        </w:tc>
      </w:tr>
      <w:tr>
        <w:trPr>
          <w:cantSplit/>
        </w:trPr>
        <w:tc>
          <w:tcPr>
            <w:tcW w:type="dxa" w:w="5040"/>
            <w:vAlign w:val="center"/>
            <w:shd w:fill="F5F7F9"/>
            <w:tcBorders>
              <w:top w:val="single" w:color="D9D9D9" w:sz="4"/>
              <w:left w:val="single" w:color="D9D9D9" w:sz="4"/>
              <w:bottom w:val="single" w:color="D9D9D9" w:sz="4"/>
              <w:right w:val="single" w:color="D9D9D9" w:sz="4"/>
            </w:tcBorders>
            <w:tcMar>
              <w:top w:w="75" w:type="dxa"/>
              <w:left w:w="75" w:type="dxa"/>
              <w:bottom w:w="75" w:type="dxa"/>
              <w:right w:w="75" w:type="dxa"/>
            </w:tcMar>
          </w:tcPr>
          <w:p>
            <w:pPr>
              <w:spacing w:after="0"/>
            </w:pPr>
            <w:r>
              <w:rPr>
                <w:b w:val="0"/>
                <w:sz w:val="17"/>
              </w:rPr>
              <w:t>Handed over, CMS pending</w:t>
            </w:r>
          </w:p>
        </w:tc>
        <w:tc>
          <w:tcPr>
            <w:tcW w:type="dxa" w:w="5040"/>
            <w:vAlign w:val="center"/>
            <w:shd w:fill="F5F7F9"/>
            <w:tcBorders>
              <w:top w:val="single" w:color="D9D9D9" w:sz="4"/>
              <w:left w:val="single" w:color="D9D9D9" w:sz="4"/>
              <w:bottom w:val="single" w:color="D9D9D9" w:sz="4"/>
              <w:right w:val="single" w:color="D9D9D9" w:sz="4"/>
            </w:tcBorders>
            <w:tcMar>
              <w:top w:w="75" w:type="dxa"/>
              <w:left w:w="75" w:type="dxa"/>
              <w:bottom w:w="75" w:type="dxa"/>
              <w:right w:w="75" w:type="dxa"/>
            </w:tcMar>
          </w:tcPr>
          <w:p>
            <w:pPr>
              <w:spacing w:after="0"/>
            </w:pPr>
            <w:r>
              <w:rPr>
                <w:b w:val="0"/>
                <w:sz w:val="17"/>
              </w:rPr>
              <w:t>The job remains on Controller Board. Operations and Controller see the same CMS state and planning reason.</w:t>
            </w:r>
          </w:p>
        </w:tc>
      </w:tr>
      <w:tr>
        <w:trPr>
          <w:cantSplit/>
        </w:trPr>
        <w:tc>
          <w:tcPr>
            <w:tcW w:type="dxa" w:w="5040"/>
            <w:vAlign w:val="center"/>
            <w:shd w:fill="FFFFFF"/>
            <w:tcBorders>
              <w:top w:val="single" w:color="D9D9D9" w:sz="4"/>
              <w:left w:val="single" w:color="D9D9D9" w:sz="4"/>
              <w:bottom w:val="single" w:color="D9D9D9" w:sz="4"/>
              <w:right w:val="single" w:color="D9D9D9" w:sz="4"/>
            </w:tcBorders>
            <w:tcMar>
              <w:top w:w="75" w:type="dxa"/>
              <w:left w:w="75" w:type="dxa"/>
              <w:bottom w:w="75" w:type="dxa"/>
              <w:right w:w="75" w:type="dxa"/>
            </w:tcMar>
          </w:tcPr>
          <w:p>
            <w:pPr>
              <w:spacing w:after="0"/>
            </w:pPr>
            <w:r>
              <w:rPr>
                <w:b w:val="0"/>
                <w:sz w:val="17"/>
              </w:rPr>
              <w:t>Handed over, CMS completed</w:t>
            </w:r>
          </w:p>
        </w:tc>
        <w:tc>
          <w:tcPr>
            <w:tcW w:type="dxa" w:w="5040"/>
            <w:vAlign w:val="center"/>
            <w:shd w:fill="FFFFFF"/>
            <w:tcBorders>
              <w:top w:val="single" w:color="D9D9D9" w:sz="4"/>
              <w:left w:val="single" w:color="D9D9D9" w:sz="4"/>
              <w:bottom w:val="single" w:color="D9D9D9" w:sz="4"/>
              <w:right w:val="single" w:color="D9D9D9" w:sz="4"/>
            </w:tcBorders>
            <w:tcMar>
              <w:top w:w="75" w:type="dxa"/>
              <w:left w:w="75" w:type="dxa"/>
              <w:bottom w:w="75" w:type="dxa"/>
              <w:right w:w="75" w:type="dxa"/>
            </w:tcMar>
          </w:tcPr>
          <w:p>
            <w:pPr>
              <w:spacing w:after="0"/>
            </w:pPr>
            <w:r>
              <w:rPr>
                <w:b w:val="0"/>
                <w:sz w:val="17"/>
              </w:rPr>
              <w:t>The relevant CMS blocker clears. Controller can assign a driver when other planning conditions are satisfied.</w:t>
            </w:r>
          </w:p>
        </w:tc>
      </w:tr>
    </w:tbl>
    <w:p>
      <w:r>
        <w:t>Apply CMS status to the relevant empty collection if a job has multiple containers or collection events. Do not let completion for one silently clear another. Record who completed or corrected CMS and when in the consolidated job log. Keep export creation, job detail, Operations view and Controller Board aligned.</w:t>
      </w:r>
    </w:p>
    <w:p>
      <w:r>
        <w:t>Acceptance check: With core fields ready and CMS pending, handover succeeds but driver assignment does not. With CMS completed but a core field missing, handover shows that missing field. Completing CMS for one empty collection never clears the blocker for another.</w:t>
      </w:r>
    </w:p>
    <w:sectPr w:rsidR="00FC693F" w:rsidRPr="0006063C" w:rsidSect="00034616">
      <w:pgSz w:w="12240" w:h="15840"/>
      <w:pgMar w:top="965" w:right="1080" w:bottom="965"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Aptos" w:hAnsi="Aptos"/>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ptos" w:hAnsi="Aptos"/>
      <w:b/>
      <w:bCs/>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Bdr>
        <w:bottom w:val="nil"/>
      </w:pBdr>
    </w:pPr>
    <w:rPr>
      <w:rFonts w:asciiTheme="majorHAnsi" w:eastAsiaTheme="majorEastAsia" w:hAnsiTheme="majorHAnsi" w:cstheme="majorBidi" w:ascii="Aptos" w:hAnsi="Aptos"/>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