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w:drawing>
          <wp:anchor distT="0" distB="0" distL="114300" distR="114300" simplePos="0" relativeHeight="251663360" behindDoc="0" locked="0" layoutInCell="1" allowOverlap="1">
            <wp:simplePos x="0" y="0"/>
            <wp:positionH relativeFrom="margin">
              <wp:posOffset>5911850</wp:posOffset>
            </wp:positionH>
            <wp:positionV relativeFrom="margin">
              <wp:posOffset>17780</wp:posOffset>
            </wp:positionV>
            <wp:extent cx="1389380" cy="605790"/>
            <wp:effectExtent l="0" t="0" r="1270" b="3810"/>
            <wp:wrapSquare wrapText="bothSides"/>
            <wp:docPr id="1001"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r>
        <w:rPr>
          <w:rFonts w:ascii="Arial" w:hAnsi="Arial" w:cs="Arial"/>
        </w:rPr>
        <mc:AlternateContent>
          <mc:Choice Requires="wps">
            <w:drawing>
              <wp:anchor distT="0" distB="0" distL="114300" distR="114300" simplePos="0" relativeHeight="251660288"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1035928053"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60288;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TAR8ftkA&#10;AAAIAQAADwAAAAAAAAABACAAAAA4AAAAZHJzL2Rvd25yZXYueG1sUEsBAhQAFAAAAAgAh07iQB4s&#10;VR/PAQAAogMAAA4AAAAAAAAAAQAgAAAAPgEAAGRycy9lMm9Eb2MueG1sUEsFBgAAAAAGAAYAWQEA&#10;AH8FA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2336"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1302513212"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62336;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FgAAAGRycy9QSwECFAAUAAAACACHTuJAX5FeptQAAAAIAQAA&#10;DwAAAAAAAAABACAAAAA4AAAAZHJzL2Rvd25yZXYueG1sUEsBAhQAFAAAAAgAh07iQProqP7OAQAA&#10;ogMAAA4AAAAAAAAAAQAgAAAAOQEAAGRycy9lMm9Eb2MueG1sUEsFBgAAAAAGAAYAWQEAAHkFAAAA&#10;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1312"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384963420"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55168;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zItPBNYA&#10;AAAIAQAADwAAAAAAAAABACAAAAA4AAAAZHJzL2Rvd25yZXYueG1sUEsBAhQAFAAAAAgAh07iQPBE&#10;M0zSAQAApQMAAA4AAAAAAAAAAQAgAAAAOwEAAGRycy9lMm9Eb2MueG1sUEsFBgAAAAAGAAYAWQEA&#10;AH8FA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Apeninos, 930 / cj. 123 – Vila Mariana – São Paulo/SP – CEP: 04104-020</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28"/>
          <w:szCs w:val="28"/>
          <w:lang w:eastAsia="zh-CN"/>
        </w:rPr>
        <w:t>Resultado – NIPT BÁSICO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05"/>
        <w:gridCol w:w="2835"/>
        <w:gridCol w:w="1550"/>
        <w:gridCol w:w="2703"/>
      </w:tblGrid>
      <w:tr>
        <w:tc>
          <w:tcPr>
            <w:tcW w:w="2405" w:type="dxa"/>
            <w:tcBorders>
              <w:top w:val="single" w:color="238CAD" w:sz="4" w:space="0"/>
              <w:left w:val="single" w:color="238CAD" w:sz="4" w:space="0"/>
              <w:bottom w:val="single" w:color="238CAD" w:sz="4" w:space="0"/>
              <w:right w:val="single" w:color="238CAD" w:sz="4" w:space="0"/>
            </w:tcBorders>
            <w:shd w:val="clear" w:color="auto" w:fill="238CAD"/>
          </w:tcPr>
          <w:p>
            <w:pPr>
              <w:spacing w:before="9"/>
              <w:jc w:val="center"/>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Informações</w:t>
            </w:r>
          </w:p>
        </w:tc>
        <w:tc>
          <w:tcPr>
            <w:tcW w:w="2835" w:type="dxa"/>
            <w:tcBorders>
              <w:top w:val="single" w:color="FFFFFF" w:themeColor="background1" w:sz="4" w:space="0"/>
              <w:left w:val="single" w:color="238CAD"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before="9"/>
        <w:jc w:val="center"/>
        <w:rPr>
          <w:rFonts w:ascii="Times New Roman" w:hAnsi="Times New Roman" w:eastAsia="宋体" w:cs="Times New Roman"/>
          <w:sz w:val="24"/>
          <w:szCs w:val="24"/>
          <w:lang w:eastAsia="zh-CN"/>
        </w:rPr>
      </w:pPr>
    </w:p>
    <w:p>
      <w:pPr>
        <w:spacing w:before="9"/>
        <w:rPr>
          <w:rFonts w:ascii="Times New Roman" w:hAnsi="Times New Roman" w:cs="Times New Roman"/>
          <w:sz w:val="6"/>
          <w:szCs w:val="6"/>
          <w:lang w:eastAsia="ko-KR"/>
        </w:rPr>
      </w:pPr>
    </w:p>
    <w:tbl>
      <w:tblPr>
        <w:tblStyle w:val="8"/>
        <w:tblW w:w="406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2051"/>
        <w:gridCol w:w="2902"/>
        <w:gridCol w:w="3885"/>
        <w:gridCol w:w="1013"/>
      </w:tblGrid>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Gestante</w:t>
            </w:r>
          </w:p>
        </w:tc>
      </w:tr>
      <w:tr>
        <w:trPr>
          <w:trHeight w:val="1030" w:hRule="atLeast"/>
        </w:trPr>
        <w:tc>
          <w:tcPr>
            <w:tcW w:w="5000" w:type="pct"/>
            <w:gridSpan w:val="4"/>
            <w:tcBorders>
              <w:top w:val="single" w:color="808080" w:sz="4" w:space="0"/>
            </w:tcBorders>
            <w:vAlign w:val="center"/>
          </w:tcPr>
          <w:p>
            <w:pPr>
              <w:spacing w:before="9" w:line="276" w:lineRule="auto"/>
              <w:jc w:val="both"/>
              <w:rPr>
                <w:rFonts w:ascii="Times New Roman" w:hAnsi="Times New Roman" w:cs="Times New Roman"/>
                <w:sz w:val="20"/>
                <w:szCs w:val="20"/>
                <w:lang w:val="pt-PT" w:eastAsia="zh-CN"/>
              </w:rPr>
            </w:pPr>
            <w:r>
              <w:rPr>
                <w:rFonts w:ascii="Times New Roman" w:hAnsi="Times New Roman" w:cs="Times New Roman"/>
                <w:b/>
                <w:bCs/>
                <w:sz w:val="20"/>
                <w:szCs w:val="20"/>
                <w:lang w:eastAsia="ko-KR"/>
              </w:rPr>
              <w:t>Nome:</w:t>
            </w:r>
            <w:r>
              <w:rPr>
                <w:rFonts w:ascii="Times New Roman" w:hAnsi="Times New Roman" w:cs="Times New Roman"/>
                <w:sz w:val="20"/>
                <w:szCs w:val="20"/>
                <w:lang w:eastAsia="ko-KR"/>
              </w:rPr>
              <w:t xml:space="preserve"> {{ Name }}</w:t>
            </w:r>
          </w:p>
          <w:p>
            <w:pPr>
              <w:spacing w:before="9" w:line="276" w:lineRule="auto"/>
              <w:jc w:val="both"/>
              <w:rPr>
                <w:rFonts w:ascii="Times New Roman" w:hAnsi="Times New Roman" w:cs="Times New Roman"/>
                <w:b/>
                <w:bCs/>
                <w:sz w:val="20"/>
                <w:szCs w:val="20"/>
                <w:lang w:eastAsia="zh-CN"/>
              </w:rPr>
            </w:pPr>
            <w:r>
              <w:rPr>
                <w:rFonts w:ascii="Times New Roman" w:hAnsi="Times New Roman" w:cs="Times New Roman"/>
                <w:b/>
                <w:bCs/>
                <w:sz w:val="20"/>
                <w:szCs w:val="20"/>
                <w:lang w:val="pt-PT" w:eastAsia="zh-CN"/>
              </w:rPr>
              <w:t xml:space="preserve">CPF: </w:t>
            </w:r>
            <w:r>
              <w:rPr>
                <w:rFonts w:ascii="Times New Roman" w:hAnsi="Times New Roman" w:cs="Times New Roman"/>
                <w:sz w:val="20"/>
                <w:szCs w:val="20"/>
                <w:lang w:eastAsia="ko-KR"/>
              </w:rPr>
              <w:t xml:space="preserve">{{ </w:t>
            </w:r>
            <w:r>
              <w:rPr>
                <w:rFonts w:hint="eastAsia" w:ascii="Times New Roman" w:hAnsi="Times New Roman" w:cs="Times New Roman"/>
                <w:sz w:val="20"/>
                <w:szCs w:val="20"/>
                <w:lang w:eastAsia="ko-KR"/>
              </w:rPr>
              <w:t>Patient_ID</w:t>
            </w:r>
            <w:r>
              <w:rPr>
                <w:rFonts w:ascii="Times New Roman" w:hAnsi="Times New Roman" w:cs="Times New Roman"/>
                <w:sz w:val="20"/>
                <w:szCs w:val="20"/>
                <w:lang w:eastAsia="ko-KR"/>
              </w:rPr>
              <w:t xml:space="preserve"> }}</w:t>
            </w:r>
          </w:p>
          <w:p>
            <w:pPr>
              <w:spacing w:before="9" w:line="276" w:lineRule="auto"/>
              <w:jc w:val="both"/>
              <w:rPr>
                <w:rFonts w:ascii="Times New Roman" w:hAnsi="Times New Roman" w:eastAsia="宋体" w:cs="Times New Roman"/>
                <w:sz w:val="20"/>
                <w:szCs w:val="20"/>
                <w:lang w:eastAsia="zh-CN"/>
              </w:rPr>
            </w:pPr>
            <w:r>
              <w:rPr>
                <w:rFonts w:ascii="Times New Roman" w:hAnsi="Times New Roman" w:cs="Times New Roman"/>
                <w:b/>
                <w:bCs/>
                <w:sz w:val="20"/>
                <w:szCs w:val="20"/>
                <w:lang w:eastAsia="ko-KR"/>
              </w:rPr>
              <w:t>Data de nascimento:</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p>
            <w:pPr>
              <w:spacing w:before="9" w:line="276" w:lineRule="auto"/>
              <w:jc w:val="both"/>
              <w:rPr>
                <w:rFonts w:ascii="Times New Roman" w:hAnsi="Times New Roman" w:eastAsia="宋体" w:cs="Times New Roman"/>
                <w:sz w:val="20"/>
                <w:szCs w:val="20"/>
                <w:lang w:eastAsia="zh-CN"/>
              </w:rPr>
            </w:pPr>
            <w:r>
              <w:rPr>
                <w:rFonts w:ascii="Times New Roman" w:hAnsi="Times New Roman" w:eastAsia="宋体" w:cs="Times New Roman"/>
                <w:b/>
                <w:bCs/>
                <w:sz w:val="20"/>
                <w:szCs w:val="20"/>
                <w:lang w:eastAsia="zh-CN"/>
              </w:rPr>
              <w:t>Semanas gestacionais: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r>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Informações da Amostra</w:t>
            </w:r>
          </w:p>
        </w:tc>
      </w:tr>
      <w:tr>
        <w:trPr>
          <w:trHeight w:val="340" w:hRule="atLeast"/>
        </w:trPr>
        <w:tc>
          <w:tcPr>
            <w:tcW w:w="1041" w:type="pct"/>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Data da Coleta:</w:t>
            </w:r>
          </w:p>
        </w:tc>
        <w:tc>
          <w:tcPr>
            <w:tcW w:w="1473" w:type="pct"/>
            <w:tcBorders>
              <w:top w:val="single" w:color="808080" w:sz="4" w:space="0"/>
              <w:bottom w:val="nil"/>
              <w:right w:val="single" w:color="808080" w:sz="4" w:space="0"/>
            </w:tcBorders>
            <w:vAlign w:val="center"/>
          </w:tcPr>
          <w:p>
            <w:pPr>
              <w:spacing w:before="9" w:line="276" w:lineRule="auto"/>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1972" w:type="pct"/>
            <w:tcBorders>
              <w:top w:val="single" w:color="808080" w:sz="4" w:space="0"/>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Tipo de amostra: Plasma</w:t>
            </w:r>
          </w:p>
        </w:tc>
        <w:tc>
          <w:tcPr>
            <w:tcW w:w="514" w:type="pct"/>
            <w:tcBorders>
              <w:top w:val="single" w:color="808080" w:sz="4" w:space="0"/>
            </w:tcBorders>
            <w:vAlign w:val="center"/>
          </w:tcPr>
          <w:p>
            <w:pPr>
              <w:spacing w:before="9" w:line="276" w:lineRule="auto"/>
              <w:ind w:hanging="240"/>
              <w:jc w:val="both"/>
              <w:rPr>
                <w:rFonts w:ascii="Times New Roman" w:hAnsi="Times New Roman" w:cs="Times New Roman"/>
                <w:sz w:val="20"/>
                <w:szCs w:val="20"/>
                <w:lang w:eastAsia="ko-KR"/>
              </w:rPr>
            </w:pPr>
          </w:p>
        </w:tc>
      </w:tr>
      <w:tr>
        <w:trPr>
          <w:trHeight w:val="60" w:hRule="atLeast"/>
        </w:trPr>
        <w:tc>
          <w:tcPr>
            <w:tcW w:w="1041" w:type="pct"/>
            <w:tcBorders>
              <w:top w:val="nil"/>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Data do recebimento:</w:t>
            </w:r>
          </w:p>
        </w:tc>
        <w:tc>
          <w:tcPr>
            <w:tcW w:w="1473" w:type="pct"/>
            <w:tcBorders>
              <w:top w:val="nil"/>
              <w:bottom w:val="single" w:color="808080" w:sz="4" w:space="0"/>
              <w:right w:val="single" w:color="808080" w:sz="4" w:space="0"/>
            </w:tcBorders>
            <w:vAlign w:val="center"/>
          </w:tcPr>
          <w:p>
            <w:pPr>
              <w:spacing w:before="9" w:line="276" w:lineRule="auto"/>
              <w:ind w:left="-108" w:leftChars="-49"/>
              <w:jc w:val="both"/>
              <w:rPr>
                <w:rFonts w:ascii="Times New Roman" w:hAnsi="Times New Roman" w:cs="Times New Roman"/>
                <w:sz w:val="20"/>
                <w:szCs w:val="20"/>
                <w:lang w:eastAsia="ko-KR"/>
              </w:rPr>
            </w:pPr>
            <w:r>
              <w:rPr>
                <w:rFonts w:ascii="Times New Roman" w:hAnsi="Times New Roman" w:cs="Times New Roman"/>
                <w:sz w:val="20"/>
                <w:szCs w:val="20"/>
                <w:lang w:eastAsia="ko-KR"/>
              </w:rPr>
              <w:t>{{ Acceptance_Date }}</w:t>
            </w:r>
          </w:p>
        </w:tc>
        <w:tc>
          <w:tcPr>
            <w:tcW w:w="1972" w:type="pct"/>
            <w:tcBorders>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Qualidade da amostra: Aprovada</w:t>
            </w:r>
          </w:p>
        </w:tc>
        <w:tc>
          <w:tcPr>
            <w:tcW w:w="514" w:type="pct"/>
            <w:vAlign w:val="center"/>
          </w:tcPr>
          <w:p>
            <w:pPr>
              <w:spacing w:before="9" w:line="276" w:lineRule="auto"/>
              <w:jc w:val="both"/>
              <w:rPr>
                <w:rFonts w:ascii="Times New Roman" w:hAnsi="Times New Roman" w:cs="Times New Roman"/>
                <w:sz w:val="20"/>
                <w:szCs w:val="20"/>
                <w:lang w:eastAsia="zh-CN"/>
              </w:rPr>
            </w:pPr>
          </w:p>
        </w:tc>
      </w:tr>
    </w:tbl>
    <w:p/>
    <w:tbl>
      <w:tblPr>
        <w:tblStyle w:val="8"/>
        <w:tblpPr w:leftFromText="141" w:rightFromText="141" w:vertAnchor="text" w:horzAnchor="page" w:tblpX="1201" w:tblpY="-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05"/>
        <w:gridCol w:w="4820"/>
      </w:tblGrid>
      <w:tr>
        <w:tc>
          <w:tcPr>
            <w:tcW w:w="2405" w:type="dxa"/>
            <w:tcBorders>
              <w:top w:val="single" w:color="238CAD" w:sz="4" w:space="0"/>
              <w:left w:val="single" w:color="238CAD" w:sz="4" w:space="0"/>
              <w:bottom w:val="single" w:color="238CAD" w:sz="4" w:space="0"/>
              <w:right w:val="single" w:color="238CAD" w:sz="4" w:space="0"/>
            </w:tcBorders>
            <w:shd w:val="clear" w:color="auto" w:fill="238CAD"/>
          </w:tcPr>
          <w:p>
            <w:pPr>
              <w:spacing w:before="9"/>
              <w:jc w:val="center"/>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Resultados</w:t>
            </w:r>
          </w:p>
        </w:tc>
        <w:tc>
          <w:tcPr>
            <w:tcW w:w="4820" w:type="dxa"/>
            <w:tcBorders>
              <w:top w:val="single" w:color="FFFFFF" w:themeColor="background1" w:sz="4" w:space="0"/>
              <w:left w:val="single" w:color="238CAD" w:sz="4" w:space="0"/>
              <w:bottom w:val="single" w:color="FFFFFF" w:themeColor="background1" w:sz="4" w:space="0"/>
              <w:right w:val="single" w:color="33CCCC" w:sz="4" w:space="0"/>
            </w:tcBorders>
          </w:tcPr>
          <w:p>
            <w:pPr>
              <w:spacing w:before="9"/>
              <w:jc w:val="center"/>
              <w:rPr>
                <w:rFonts w:ascii="Times New Roman" w:hAnsi="Times New Roman" w:eastAsia="宋体" w:cs="Times New Roman"/>
                <w:sz w:val="24"/>
                <w:szCs w:val="24"/>
                <w:lang w:eastAsia="zh-CN"/>
              </w:rPr>
            </w:pPr>
          </w:p>
        </w:tc>
      </w:tr>
    </w:tbl>
    <w:p/>
    <w:p>
      <w:pPr>
        <w:spacing w:before="9"/>
        <w:rPr>
          <w:rFonts w:ascii="Times New Roman" w:hAnsi="Times New Roman" w:cs="Times New Roman"/>
          <w:sz w:val="6"/>
          <w:szCs w:val="6"/>
          <w:lang w:eastAsia="ko-KR"/>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052"/>
        <w:gridCol w:w="3032"/>
        <w:gridCol w:w="2457"/>
        <w:gridCol w:w="2240"/>
      </w:tblGrid>
      <w:tr>
        <w:trPr>
          <w:trHeight w:val="340" w:hRule="atLeast"/>
        </w:trPr>
        <w:tc>
          <w:tcPr>
            <w:tcW w:w="1049"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Tipo de Aneuploidia</w:t>
            </w:r>
          </w:p>
        </w:tc>
        <w:tc>
          <w:tcPr>
            <w:tcW w:w="1550"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Índice de Risco de Aneuploidia</w:t>
            </w:r>
          </w:p>
        </w:tc>
        <w:tc>
          <w:tcPr>
            <w:tcW w:w="1256"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Referência</w:t>
            </w:r>
          </w:p>
        </w:tc>
        <w:tc>
          <w:tcPr>
            <w:tcW w:w="114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Resultado</w:t>
            </w:r>
          </w:p>
        </w:tc>
      </w:tr>
      <w:tr>
        <w:trPr>
          <w:trHeight w:val="340" w:hRule="atLeast"/>
        </w:trPr>
        <w:tc>
          <w:tcPr>
            <w:tcW w:w="104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Trissomia 21</w:t>
            </w:r>
          </w:p>
        </w:tc>
        <w:tc>
          <w:tcPr>
            <w:tcW w:w="1550"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N/A</w:t>
            </w:r>
          </w:p>
        </w:tc>
        <w:tc>
          <w:tcPr>
            <w:tcW w:w="12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Sem resultado</w:t>
            </w:r>
          </w:p>
        </w:tc>
      </w:tr>
      <w:tr>
        <w:trPr>
          <w:trHeight w:val="340" w:hRule="atLeast"/>
        </w:trPr>
        <w:tc>
          <w:tcPr>
            <w:tcW w:w="104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Trissomia 18</w:t>
            </w:r>
          </w:p>
        </w:tc>
        <w:tc>
          <w:tcPr>
            <w:tcW w:w="1550"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N/A</w:t>
            </w:r>
          </w:p>
        </w:tc>
        <w:tc>
          <w:tcPr>
            <w:tcW w:w="12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Sem resultado</w:t>
            </w:r>
          </w:p>
        </w:tc>
      </w:tr>
      <w:tr>
        <w:trPr>
          <w:trHeight w:val="340" w:hRule="atLeast"/>
        </w:trPr>
        <w:tc>
          <w:tcPr>
            <w:tcW w:w="1049"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w:t>
            </w:r>
            <w:r>
              <w:rPr>
                <w:rFonts w:ascii="Times New Roman" w:hAnsi="Times New Roman" w:cs="Times New Roman"/>
                <w:sz w:val="20"/>
                <w:szCs w:val="20"/>
                <w:lang w:eastAsia="ko-KR"/>
              </w:rPr>
              <w:t>somia</w:t>
            </w:r>
            <w:r>
              <w:rPr>
                <w:rFonts w:hint="eastAsia" w:ascii="Times New Roman" w:hAnsi="Times New Roman" w:cs="Times New Roman"/>
                <w:sz w:val="20"/>
                <w:szCs w:val="20"/>
                <w:lang w:eastAsia="ko-KR"/>
              </w:rPr>
              <w:t xml:space="preserve"> 13</w:t>
            </w:r>
          </w:p>
        </w:tc>
        <w:tc>
          <w:tcPr>
            <w:tcW w:w="1550"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N/A</w:t>
            </w:r>
          </w:p>
        </w:tc>
        <w:tc>
          <w:tcPr>
            <w:tcW w:w="12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Sem resultado</w:t>
            </w:r>
          </w:p>
        </w:tc>
      </w:tr>
    </w:tbl>
    <w:p>
      <w:pPr>
        <w:ind w:left="993" w:right="1135" w:rightChars="516" w:firstLine="20" w:firstLineChars="50"/>
        <w:jc w:val="both"/>
        <w:rPr>
          <w:rFonts w:ascii="Times New Roman" w:hAnsi="Times New Roman" w:eastAsia="Times New Roman" w:cs="Times New Roman"/>
          <w:color w:val="58595B"/>
          <w:sz w:val="4"/>
          <w:szCs w:val="6"/>
        </w:rPr>
      </w:pPr>
    </w:p>
    <w:p>
      <w:pPr>
        <w:ind w:left="891" w:leftChars="405" w:right="1135" w:rightChars="516"/>
        <w:jc w:val="both"/>
        <w:rPr>
          <w:rFonts w:ascii="Times New Roman" w:hAnsi="Times New Roman" w:eastAsia="Times New Roman" w:cs="Times New Roman"/>
          <w:color w:val="58595B"/>
          <w:sz w:val="16"/>
          <w:szCs w:val="18"/>
        </w:rPr>
      </w:pPr>
      <w:r>
        <w:rPr>
          <w:rFonts w:ascii="Times New Roman" w:hAnsi="Times New Roman" w:eastAsia="Times New Roman" w:cs="Times New Roman"/>
          <w:color w:val="58595B"/>
          <w:sz w:val="16"/>
          <w:szCs w:val="18"/>
        </w:rPr>
        <w:t>Nota: Se o índice de risco for superior a 3 ou inferior a -3, significa Alto Risco de Aneuploidia. Se estiver entre -3 e 3, significa Baixo Risco de Aneuploidia.</w:t>
      </w:r>
    </w:p>
    <w:p>
      <w:pPr>
        <w:ind w:left="891" w:leftChars="405" w:right="1135" w:rightChars="516"/>
        <w:jc w:val="both"/>
        <w:rPr>
          <w:rFonts w:ascii="Times New Roman" w:hAnsi="Times New Roman" w:eastAsia="Times New Roman" w:cs="Times New Roman"/>
          <w:color w:val="58595B"/>
          <w:sz w:val="18"/>
          <w:szCs w:val="20"/>
        </w:rPr>
      </w:pPr>
    </w:p>
    <w:tbl>
      <w:tblPr>
        <w:tblStyle w:val="8"/>
        <w:tblW w:w="4068"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51"/>
        <w:gridCol w:w="1646"/>
        <w:gridCol w:w="3070"/>
        <w:gridCol w:w="1399"/>
      </w:tblGrid>
      <w:tr>
        <w:trPr>
          <w:trHeight w:val="340" w:hRule="atLeast"/>
          <w:jc w:val="center"/>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Aneuploidias Referentes aos Cromossomos Sexuais</w:t>
            </w:r>
          </w:p>
        </w:tc>
      </w:tr>
      <w:tr>
        <w:trPr>
          <w:trHeight w:val="340" w:hRule="atLeast"/>
          <w:jc w:val="center"/>
        </w:trPr>
        <w:tc>
          <w:tcPr>
            <w:tcW w:w="190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83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c>
          <w:tcPr>
            <w:tcW w:w="1556"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709"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Turner (XO)</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Sem resultado</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Klinefelter (</w:t>
            </w:r>
            <w:r>
              <w:rPr>
                <w:rFonts w:hint="eastAsia" w:ascii="Times New Roman" w:hAnsi="Times New Roman" w:cs="Times New Roman"/>
                <w:sz w:val="20"/>
                <w:szCs w:val="20"/>
                <w:lang w:eastAsia="ko-KR"/>
              </w:rPr>
              <w:t>X</w:t>
            </w:r>
            <w:r>
              <w:rPr>
                <w:rFonts w:ascii="Times New Roman" w:hAnsi="Times New Roman" w:cs="Times New Roman"/>
                <w:sz w:val="20"/>
                <w:szCs w:val="20"/>
                <w:lang w:eastAsia="ko-KR"/>
              </w:rPr>
              <w:t>XY)</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Sem resultado</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do Triplo X</w:t>
            </w:r>
            <w:r>
              <w:rPr>
                <w:rFonts w:hint="eastAsia" w:ascii="Times New Roman" w:hAnsi="Times New Roman" w:cs="Times New Roman"/>
                <w:sz w:val="20"/>
                <w:szCs w:val="20"/>
                <w:lang w:eastAsia="ko-KR"/>
              </w:rPr>
              <w:t xml:space="preserve"> (XXX) </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Sem resultado</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Jacobs</w:t>
            </w:r>
            <w:r>
              <w:rPr>
                <w:rFonts w:hint="eastAsia" w:ascii="Times New Roman" w:hAnsi="Times New Roman" w:cs="Times New Roman"/>
                <w:sz w:val="20"/>
                <w:szCs w:val="20"/>
                <w:lang w:eastAsia="ko-KR"/>
              </w:rPr>
              <w:t xml:space="preserve"> (XYY)</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Sem resultado</w:t>
            </w:r>
          </w:p>
        </w:tc>
      </w:tr>
    </w:tbl>
    <w:p>
      <w:pPr>
        <w:pStyle w:val="13"/>
        <w:spacing w:line="300" w:lineRule="auto"/>
        <w:ind w:left="0" w:right="1135" w:rightChars="516" w:firstLine="160" w:firstLineChars="500"/>
        <w:jc w:val="both"/>
        <w:rPr>
          <w:rFonts w:ascii="Times New Roman" w:hAnsi="Times New Roman" w:cs="Times New Roman"/>
          <w:color w:val="323031"/>
          <w:spacing w:val="-4"/>
          <w:sz w:val="4"/>
          <w:szCs w:val="4"/>
        </w:rPr>
      </w:pPr>
    </w:p>
    <w:p>
      <w:pPr>
        <w:pStyle w:val="13"/>
        <w:spacing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Descrição do teste</w:t>
      </w:r>
    </w:p>
    <w:p>
      <w:pPr>
        <w:spacing w:before="3" w:line="300" w:lineRule="auto"/>
        <w:ind w:left="992" w:right="1135" w:rightChars="516"/>
        <w:jc w:val="both"/>
        <w:rPr>
          <w:rFonts w:ascii="Times New Roman" w:hAnsi="Times New Roman" w:cs="Times New Roman"/>
          <w:color w:val="58595B"/>
          <w:sz w:val="18"/>
          <w:szCs w:val="18"/>
          <w:lang w:eastAsia="ko-KR"/>
        </w:rPr>
      </w:pPr>
      <w:r>
        <w:rPr>
          <w:rFonts w:ascii="Times New Roman" w:hAnsi="Times New Roman" w:eastAsia="Calibri" w:cs="Times New Roman"/>
          <w:color w:val="58595B"/>
          <w:sz w:val="18"/>
          <w:szCs w:val="18"/>
        </w:rPr>
        <w:t>Este teste é um método de triagem para detector determinadas anomalias cromossômicas específicas em um feto em desenvolvimento. Este teste fornecerá uma avaliação do risco fetal de aneuploidias cromossômicas usando um método não invasivo.</w:t>
      </w:r>
    </w:p>
    <w:p>
      <w:pPr>
        <w:spacing w:before="3" w:line="300" w:lineRule="auto"/>
        <w:ind w:left="993" w:right="1135" w:rightChars="516"/>
        <w:jc w:val="both"/>
        <w:rPr>
          <w:rFonts w:ascii="Times New Roman" w:hAnsi="Times New Roman" w:cs="Times New Roman"/>
          <w:sz w:val="20"/>
          <w:szCs w:val="20"/>
          <w:lang w:eastAsia="ko-KR"/>
        </w:rPr>
      </w:pPr>
    </w:p>
    <w:p>
      <w:pPr>
        <w:pStyle w:val="13"/>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Responsabilidades</w:t>
      </w:r>
    </w:p>
    <w:p>
      <w:pPr>
        <w:pStyle w:val="14"/>
        <w:numPr>
          <w:ilvl w:val="0"/>
          <w:numId w:val="1"/>
        </w:numPr>
        <w:spacing w:before="5" w:line="300" w:lineRule="auto"/>
        <w:ind w:left="1276" w:right="1135" w:rightChars="516" w:hanging="168"/>
        <w:jc w:val="both"/>
        <w:rPr>
          <w:rFonts w:ascii="Times New Roman" w:hAnsi="Times New Roman" w:eastAsia="Calibri" w:cs="Times New Roman"/>
          <w:color w:val="58595B"/>
          <w:sz w:val="18"/>
          <w:szCs w:val="18"/>
        </w:rPr>
      </w:pPr>
      <w:bookmarkStart w:id="0" w:name="_Hlk150865143"/>
      <w:r>
        <w:rPr>
          <w:rFonts w:ascii="Times New Roman" w:hAnsi="Times New Roman" w:eastAsia="Calibri" w:cs="Times New Roman"/>
          <w:color w:val="58595B"/>
          <w:sz w:val="18"/>
          <w:szCs w:val="18"/>
        </w:rPr>
        <w:t>O resultado do teste é apenas para detecção pré-natal não invasiva.</w:t>
      </w:r>
    </w:p>
    <w:p>
      <w:pPr>
        <w:pStyle w:val="14"/>
        <w:numPr>
          <w:ilvl w:val="0"/>
          <w:numId w:val="1"/>
        </w:numPr>
        <w:spacing w:before="5" w:line="300" w:lineRule="auto"/>
        <w:ind w:left="1276" w:right="1135" w:rightChars="516" w:hanging="168"/>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resultado do teste é para detecção de trissomia 21, trissomia 18 e trissomia 13 com uma precisão de, no mínimo, 99,9%.</w:t>
      </w:r>
    </w:p>
    <w:p>
      <w:pPr>
        <w:pStyle w:val="14"/>
        <w:numPr>
          <w:ilvl w:val="0"/>
          <w:numId w:val="1"/>
        </w:numPr>
        <w:spacing w:before="5" w:line="300" w:lineRule="auto"/>
        <w:ind w:left="1276" w:right="1135" w:rightChars="516" w:hanging="168"/>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teste não é aplicável a: aneuploidia cromossômica em mosaico, translocação, microdeleção e microduplicação, gêmeos ou demais fetos, gestantes com aneuploidia, gestantes que receberam transfusão de sangue, transplante de órgãos ou terapia com células-tronco.</w:t>
      </w:r>
    </w:p>
    <w:p>
      <w:pPr>
        <w:pStyle w:val="14"/>
        <w:numPr>
          <w:ilvl w:val="0"/>
          <w:numId w:val="1"/>
        </w:numPr>
        <w:spacing w:before="5" w:line="300" w:lineRule="auto"/>
        <w:ind w:left="1276" w:right="1135" w:rightChars="516" w:hanging="168"/>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teste pode ser realizado a partir da 12ª semana de gestação, mas tendo em vista as limitações da tecnologia atual de exames médicos e as diferenças individuais entre as gestantes, mesmo quando todos os procedimentos e responsabilidades são devidamente cumpridos, ainda podem ocorrer falsos positivos ou falsos negativos em casos raros.</w:t>
      </w:r>
    </w:p>
    <w:p>
      <w:pPr>
        <w:pStyle w:val="14"/>
        <w:numPr>
          <w:ilvl w:val="0"/>
          <w:numId w:val="1"/>
        </w:numPr>
        <w:spacing w:before="5" w:line="300" w:lineRule="auto"/>
        <w:ind w:left="1276" w:right="1135" w:rightChars="516" w:hanging="168"/>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 Este não é um teste de diagnóstico, consulte o seu médico para obter opinião e sugestões diagnósticas.</w:t>
      </w:r>
    </w:p>
    <w:p>
      <w:pPr>
        <w:pStyle w:val="14"/>
        <w:numPr>
          <w:ilvl w:val="0"/>
          <w:numId w:val="1"/>
        </w:numPr>
        <w:spacing w:before="5" w:line="300" w:lineRule="auto"/>
        <w:ind w:left="1276" w:right="1135" w:rightChars="516" w:hanging="168"/>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 A gestante deve fornecer dados pessoais detalhados, precisos, completos e verídicos. Caso o resultado seja impreciso devido a informações incorretas da gestante, estaremos isentos de qualquer responsabilidade.</w:t>
      </w:r>
    </w:p>
    <w:p>
      <w:pPr>
        <w:pStyle w:val="14"/>
        <w:numPr>
          <w:ilvl w:val="0"/>
          <w:numId w:val="1"/>
        </w:numPr>
        <w:spacing w:before="5" w:line="300" w:lineRule="auto"/>
        <w:ind w:left="1276" w:right="1135" w:rightChars="516" w:hanging="143"/>
        <w:jc w:val="both"/>
        <w:rPr>
          <w:rFonts w:ascii="Times New Roman" w:hAnsi="Times New Roman" w:cs="Times New Roman"/>
          <w:b/>
          <w:color w:val="333333"/>
          <w:sz w:val="21"/>
          <w:szCs w:val="21"/>
          <w:lang w:eastAsia="zh-CN"/>
        </w:rPr>
      </w:pPr>
      <w:r>
        <w:rPr>
          <w:rFonts w:ascii="Times New Roman" w:hAnsi="Times New Roman" w:eastAsia="Calibri" w:cs="Times New Roman"/>
          <w:color w:val="58595B"/>
          <w:sz w:val="18"/>
          <w:szCs w:val="18"/>
        </w:rPr>
        <w:t xml:space="preserve"> Manteremos todas as informações fornecidas e os resultados dos testes confidenciais, visando proteger a privacidade do cliente.</w:t>
      </w:r>
    </w:p>
    <w:p>
      <w:pPr>
        <w:ind w:right="1135" w:rightChars="516"/>
        <w:jc w:val="both"/>
        <w:rPr>
          <w:rFonts w:ascii="Times New Roman" w:hAnsi="Times New Roman" w:eastAsia="Times New Roman" w:cs="Times New Roman"/>
          <w:color w:val="58595B"/>
          <w:sz w:val="2"/>
          <w:szCs w:val="4"/>
        </w:rPr>
      </w:pPr>
    </w:p>
    <w:p>
      <w:pPr>
        <w:ind w:right="1135" w:rightChars="516"/>
        <w:jc w:val="both"/>
        <w:rPr>
          <w:rFonts w:ascii="Times New Roman" w:hAnsi="Times New Roman" w:eastAsia="Times New Roman" w:cs="Times New Roman"/>
          <w:color w:val="58595B"/>
          <w:sz w:val="18"/>
          <w:szCs w:val="20"/>
        </w:rPr>
      </w:pPr>
      <w:r>
        <w:rPr>
          <w:rFonts w:ascii="Times New Roman" w:hAnsi="Times New Roman" w:cs="Times New Roman"/>
          <w:b/>
          <w:sz w:val="13"/>
          <w:szCs w:val="13"/>
          <w:lang w:eastAsia="zh-CN"/>
        </w:rPr>
        <w:drawing>
          <wp:anchor distT="0" distB="0" distL="114300" distR="114300" simplePos="0" relativeHeight="251665408" behindDoc="0" locked="0" layoutInCell="1" allowOverlap="1">
            <wp:simplePos x="0" y="0"/>
            <wp:positionH relativeFrom="column">
              <wp:posOffset>5143500</wp:posOffset>
            </wp:positionH>
            <wp:positionV relativeFrom="paragraph">
              <wp:posOffset>47625</wp:posOffset>
            </wp:positionV>
            <wp:extent cx="808355" cy="292100"/>
            <wp:effectExtent l="0" t="0" r="0" b="0"/>
            <wp:wrapNone/>
            <wp:docPr id="100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그림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08355" cy="292100"/>
                    </a:xfrm>
                    <a:prstGeom prst="rect">
                      <a:avLst/>
                    </a:prstGeom>
                    <a:noFill/>
                    <a:ln w="9525">
                      <a:noFill/>
                      <a:miter lim="800000"/>
                      <a:headEnd/>
                      <a:tailEnd/>
                    </a:ln>
                  </pic:spPr>
                </pic:pic>
              </a:graphicData>
            </a:graphic>
          </wp:anchor>
        </w:drawing>
      </w:r>
      <w:r>
        <w:rPr>
          <w:rFonts w:ascii="Times New Roman" w:hAnsi="Times New Roman" w:cs="Times New Roman"/>
          <w:b/>
          <w:sz w:val="13"/>
          <w:szCs w:val="13"/>
          <w:lang w:eastAsia="zh-CN"/>
        </w:rPr>
        <w:drawing>
          <wp:anchor distT="0" distB="0" distL="114300" distR="114300" simplePos="0" relativeHeight="251664384" behindDoc="0" locked="0" layoutInCell="1" allowOverlap="1">
            <wp:simplePos x="0" y="0"/>
            <wp:positionH relativeFrom="column">
              <wp:posOffset>2400300</wp:posOffset>
            </wp:positionH>
            <wp:positionV relativeFrom="paragraph">
              <wp:posOffset>46990</wp:posOffset>
            </wp:positionV>
            <wp:extent cx="901700" cy="297815"/>
            <wp:effectExtent l="0" t="0" r="0" b="6985"/>
            <wp:wrapNone/>
            <wp:docPr id="1135050772" name="그림 2" descr="Cart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50772" name="그림 2" descr="Carta&#10;&#10;Descrição gerada automaticamente com confiança média"/>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1700" cy="297815"/>
                    </a:xfrm>
                    <a:prstGeom prst="rect">
                      <a:avLst/>
                    </a:prstGeom>
                    <a:noFill/>
                    <a:ln w="9525">
                      <a:noFill/>
                      <a:miter lim="800000"/>
                      <a:headEnd/>
                      <a:tailEnd/>
                    </a:ln>
                  </pic:spPr>
                </pic:pic>
              </a:graphicData>
            </a:graphic>
          </wp:anchor>
        </w:drawing>
      </w:r>
    </w:p>
    <w:p>
      <w:pPr>
        <w:spacing w:before="5" w:line="300" w:lineRule="auto"/>
        <w:ind w:left="1134" w:right="1135" w:rightChars="516" w:firstLine="142"/>
        <w:jc w:val="both"/>
        <w:rPr>
          <w:rFonts w:ascii="Times New Roman" w:hAnsi="Times New Roman" w:cs="Times New Roman"/>
          <w:b/>
          <w:color w:val="333333"/>
          <w:sz w:val="21"/>
          <w:szCs w:val="21"/>
          <w:lang w:eastAsia="zh-CN"/>
        </w:rPr>
      </w:pPr>
      <w:r>
        <w:rPr>
          <w:rFonts w:ascii="Arial" w:hAnsi="Arial" w:cs="Arial"/>
          <w:color w:val="000000" w:themeColor="text1"/>
          <w:sz w:val="20"/>
          <w:szCs w:val="20"/>
          <w14:textFill>
            <w14:solidFill>
              <w14:schemeClr w14:val="tx1"/>
            </w14:solidFill>
          </w14:textFill>
        </w:rPr>
        <w:drawing>
          <wp:anchor distT="0" distB="0" distL="114300" distR="114300" simplePos="0" relativeHeight="251679744" behindDoc="1" locked="0" layoutInCell="1" allowOverlap="1">
            <wp:simplePos x="0" y="0"/>
            <wp:positionH relativeFrom="margin">
              <wp:posOffset>6762750</wp:posOffset>
            </wp:positionH>
            <wp:positionV relativeFrom="margin">
              <wp:posOffset>9036050</wp:posOffset>
            </wp:positionV>
            <wp:extent cx="287020" cy="567690"/>
            <wp:effectExtent l="0" t="6985" r="0" b="0"/>
            <wp:wrapTight wrapText="bothSides">
              <wp:wrapPolygon>
                <wp:start x="22126" y="266"/>
                <wp:lineTo x="2055" y="266"/>
                <wp:lineTo x="2055" y="20561"/>
                <wp:lineTo x="22126" y="20561"/>
                <wp:lineTo x="22126" y="266"/>
              </wp:wrapPolygon>
            </wp:wrapTight>
            <wp:docPr id="1008"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m 1" descr="Desenho preto e branco&#10;&#10;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287020" cy="567690"/>
                    </a:xfrm>
                    <a:prstGeom prst="rect">
                      <a:avLst/>
                    </a:prstGeom>
                  </pic:spPr>
                </pic:pic>
              </a:graphicData>
            </a:graphic>
          </wp:anchor>
        </w:drawing>
      </w:r>
      <w:r>
        <w:rPr>
          <w:rFonts w:ascii="Arial" w:hAnsi="Arial" w:cs="Arial"/>
          <w:color w:val="000000" w:themeColor="text1"/>
          <w:sz w:val="18"/>
          <w:szCs w:val="18"/>
          <w:lang w:eastAsia="zh-CN"/>
          <w14:textFill>
            <w14:solidFill>
              <w14:schemeClr w14:val="tx1"/>
            </w14:solidFill>
          </w14:textFill>
        </w:rPr>
        <w:drawing>
          <wp:anchor distT="0" distB="0" distL="114300" distR="114300" simplePos="0" relativeHeight="251680768" behindDoc="0" locked="0" layoutInCell="1" allowOverlap="1">
            <wp:simplePos x="0" y="0"/>
            <wp:positionH relativeFrom="margin">
              <wp:posOffset>6663690</wp:posOffset>
            </wp:positionH>
            <wp:positionV relativeFrom="margin">
              <wp:posOffset>9351010</wp:posOffset>
            </wp:positionV>
            <wp:extent cx="305435" cy="385445"/>
            <wp:effectExtent l="0" t="1905" r="0" b="0"/>
            <wp:wrapSquare wrapText="bothSides"/>
            <wp:docPr id="936619516"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19516" name="Imagem 1" descr="Desenho preto e branco&#10;&#10;Descrição gerada automaticamente com confiança média"/>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05435" cy="385445"/>
                    </a:xfrm>
                    <a:prstGeom prst="rect">
                      <a:avLst/>
                    </a:prstGeom>
                  </pic:spPr>
                </pic:pic>
              </a:graphicData>
            </a:graphic>
          </wp:anchor>
        </w:drawing>
      </w:r>
      <w:r>
        <w:rPr>
          <w:rFonts w:ascii="Times New Roman" w:hAnsi="Times New Roman" w:cs="Times New Roman"/>
          <w:b/>
          <w:color w:val="333333"/>
          <w:sz w:val="21"/>
          <w:szCs w:val="21"/>
          <w:lang w:eastAsia="zh-CN"/>
        </w:rPr>
        <w:t xml:space="preserve">                Manipulado por:                                                                   Auditor: </w:t>
      </w:r>
    </w:p>
    <w:p>
      <w:pPr>
        <w:spacing w:before="5" w:line="300" w:lineRule="auto"/>
        <w:ind w:left="1134" w:right="1135" w:rightChars="516" w:firstLine="142"/>
        <w:jc w:val="both"/>
        <w:rPr>
          <w:rFonts w:ascii="Times New Roman" w:hAnsi="Times New Roman" w:cs="Times New Roman"/>
          <w:b/>
          <w:color w:val="333333"/>
          <w:sz w:val="20"/>
          <w:szCs w:val="20"/>
          <w:lang w:eastAsia="zh-CN"/>
        </w:rPr>
      </w:pPr>
    </w:p>
    <w:p>
      <w:pPr>
        <w:tabs>
          <w:tab w:val="left" w:pos="10632"/>
        </w:tabs>
        <w:spacing w:before="5" w:line="300" w:lineRule="auto"/>
        <w:ind w:left="1134" w:right="1135" w:rightChars="516" w:firstLine="142"/>
        <w:jc w:val="right"/>
        <w:rPr>
          <w:rFonts w:ascii="Times New Roman" w:hAnsi="Times New Roman" w:cs="Times New Roman"/>
          <w:bCs/>
          <w:color w:val="333333"/>
          <w:sz w:val="20"/>
          <w:szCs w:val="20"/>
          <w:lang w:eastAsia="zh-CN"/>
        </w:rPr>
      </w:pPr>
      <w:r>
        <w:rPr>
          <w:rFonts w:ascii="Times New Roman" w:hAnsi="Times New Roman" w:cs="Times New Roman"/>
          <w:b/>
          <w:color w:val="333333"/>
          <w:sz w:val="20"/>
          <w:szCs w:val="20"/>
          <w:lang w:eastAsia="zh-CN"/>
        </w:rPr>
        <w:t xml:space="preserve">     Revisado e liberado por: </w:t>
      </w:r>
      <w:r>
        <w:rPr>
          <w:rFonts w:ascii="Times New Roman" w:hAnsi="Times New Roman" w:cs="Times New Roman"/>
          <w:bCs/>
          <w:color w:val="333333"/>
          <w:sz w:val="20"/>
          <w:szCs w:val="20"/>
          <w:lang w:eastAsia="zh-CN"/>
        </w:rPr>
        <w:t>Natália Agnes Almeida Viana – CRBM-SP: 37899</w:t>
      </w:r>
    </w:p>
    <w:p>
      <w:pPr>
        <w:spacing w:before="5" w:line="300" w:lineRule="auto"/>
        <w:ind w:left="1134" w:right="1135" w:rightChars="516" w:firstLine="142"/>
        <w:jc w:val="right"/>
        <w:rPr>
          <w:rFonts w:ascii="Times New Roman" w:hAnsi="Times New Roman" w:cs="Times New Roman"/>
          <w:b/>
          <w:color w:val="333333"/>
          <w:sz w:val="4"/>
          <w:szCs w:val="4"/>
          <w:lang w:eastAsia="zh-CN"/>
        </w:rPr>
      </w:pPr>
    </w:p>
    <w:p>
      <w:pPr>
        <w:spacing w:before="5" w:line="300" w:lineRule="auto"/>
        <w:ind w:left="1134" w:right="1135" w:rightChars="516" w:firstLine="142"/>
        <w:jc w:val="right"/>
        <w:rPr>
          <w:rFonts w:ascii="Times New Roman" w:hAnsi="Times New Roman" w:cs="Times New Roman"/>
          <w:b/>
          <w:color w:val="333333"/>
          <w:sz w:val="20"/>
          <w:szCs w:val="20"/>
          <w:lang w:eastAsia="zh-CN"/>
        </w:rPr>
      </w:pP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Olívia Costa Medeiros – CRBio-SP:</w:t>
      </w: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 xml:space="preserve">127577 </w:t>
      </w:r>
    </w:p>
    <w:p>
      <w:pPr>
        <w:spacing w:before="5" w:line="300" w:lineRule="auto"/>
        <w:ind w:left="1134" w:right="1135" w:rightChars="516" w:firstLine="142"/>
        <w:jc w:val="right"/>
        <w:rPr>
          <w:rFonts w:ascii="Times New Roman" w:hAnsi="Times New Roman" w:cs="Times New Roman"/>
          <w:b/>
          <w:color w:val="333333"/>
          <w:sz w:val="20"/>
          <w:szCs w:val="20"/>
          <w:lang w:eastAsia="zh-CN"/>
        </w:rPr>
      </w:pPr>
    </w:p>
    <w:p>
      <w:pPr>
        <w:spacing w:before="5" w:line="300" w:lineRule="auto"/>
        <w:ind w:left="1134" w:right="1135" w:rightChars="516" w:firstLine="142"/>
        <w:jc w:val="right"/>
        <w:rPr>
          <w:rFonts w:ascii="Times New Roman" w:hAnsi="Times New Roman" w:cs="Times New Roman"/>
          <w:bCs/>
          <w:color w:val="333333"/>
          <w:sz w:val="14"/>
          <w:szCs w:val="14"/>
          <w:lang w:eastAsia="zh-CN"/>
        </w:rPr>
      </w:pPr>
      <w:r>
        <w:rPr>
          <w:rFonts w:ascii="Times New Roman" w:hAnsi="Times New Roman" w:cs="Times New Roman"/>
          <w:b/>
          <w:color w:val="333333"/>
          <w:sz w:val="18"/>
          <w:szCs w:val="18"/>
          <w:lang w:eastAsia="zh-CN"/>
        </w:rPr>
        <w:t xml:space="preserve">Responsável Técnica: </w:t>
      </w:r>
      <w:r>
        <w:rPr>
          <w:rFonts w:ascii="Times New Roman" w:hAnsi="Times New Roman" w:cs="Times New Roman"/>
          <w:bCs/>
          <w:color w:val="333333"/>
          <w:sz w:val="18"/>
          <w:szCs w:val="18"/>
          <w:lang w:eastAsia="zh-CN"/>
        </w:rPr>
        <w:t xml:space="preserve">Natália Agnes Almeida Viana | CRBM-SP: 37899                       </w:t>
      </w:r>
      <w:r>
        <w:rPr>
          <w:rFonts w:ascii="Times New Roman" w:hAnsi="Times New Roman" w:cs="Times New Roman"/>
          <w:b/>
          <w:color w:val="333333"/>
          <w:sz w:val="18"/>
          <w:szCs w:val="18"/>
          <w:lang w:eastAsia="zh-CN"/>
        </w:rPr>
        <w:t>Data de Liberação do Laudo:</w:t>
      </w:r>
      <w:r>
        <w:t xml:space="preserve"> </w:t>
      </w:r>
      <w:r>
        <w:rPr>
          <w:rFonts w:ascii="Arial" w:hAnsi="Arial" w:cs="Arial"/>
        </w:rPr>
        <w:drawing>
          <wp:anchor distT="0" distB="0" distL="114300" distR="114300" simplePos="0" relativeHeight="251669504" behindDoc="0" locked="0" layoutInCell="1" allowOverlap="1">
            <wp:simplePos x="0" y="0"/>
            <wp:positionH relativeFrom="margin">
              <wp:posOffset>5917565</wp:posOffset>
            </wp:positionH>
            <wp:positionV relativeFrom="margin">
              <wp:posOffset>-16510</wp:posOffset>
            </wp:positionV>
            <wp:extent cx="1389380" cy="605790"/>
            <wp:effectExtent l="0" t="0" r="1270" b="3810"/>
            <wp:wrapSquare wrapText="bothSides"/>
            <wp:docPr id="1337791839"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91839"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r>
        <w:rPr>
          <w:rFonts w:ascii="Times New Roman" w:hAnsi="Times New Roman" w:cs="Times New Roman"/>
          <w:b/>
          <w:color w:val="333333"/>
          <w:sz w:val="18"/>
          <w:szCs w:val="18"/>
          <w:u w:val="single"/>
          <w:lang w:eastAsia="zh-CN"/>
        </w:rPr>
        <w:t>{{ Report_Date }}</w:t>
      </w:r>
    </w:p>
    <w:p>
      <w:pPr>
        <w:spacing w:line="360" w:lineRule="auto"/>
        <w:rPr>
          <w:rFonts w:ascii="Times New Roman" w:hAnsi="Times New Roman" w:eastAsia="宋体" w:cs="Times New Roman"/>
          <w:b/>
          <w:color w:val="808080"/>
          <w:sz w:val="18"/>
          <w:szCs w:val="18"/>
          <w:lang w:eastAsia="zh-CN"/>
        </w:rPr>
      </w:pP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59264" behindDoc="0" locked="0" layoutInCell="1" allowOverlap="1">
                <wp:simplePos x="0" y="0"/>
                <wp:positionH relativeFrom="margin">
                  <wp:posOffset>6350</wp:posOffset>
                </wp:positionH>
                <wp:positionV relativeFrom="margin">
                  <wp:posOffset>10043160</wp:posOffset>
                </wp:positionV>
                <wp:extent cx="7560310" cy="117475"/>
                <wp:effectExtent l="0" t="0" r="21590" b="15875"/>
                <wp:wrapNone/>
                <wp:docPr id="1007"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74600901"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238CAD"/>
                          </a:solidFill>
                          <a:ln>
                            <a:solidFill>
                              <a:srgbClr val="238CAD"/>
                            </a:solid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0.8pt;height:9.25pt;width:595.3pt;mso-position-horizontal-relative:margin;mso-position-vertical-relative:margin;z-index:251659264;mso-width-relative:page;mso-height-relative:page;" coordorigin="-30,16347" coordsize="11906,174" o:gfxdata="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">
                <o:lock v:ext="edit" aspectratio="f"/>
                <v:shape id="Freeform 46" o:spid="_x0000_s1026" o:spt="100" style="position:absolute;left:-30;top:16347;height:174;width:11906;" fillcolor="#238CAD" filled="t" stroked="t" coordsize="11906,324" o:gfxdata="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J9zOl8AAAADjAAAADwAAAAAAAAABACAAAAA4AAAAZHJzL2Rvd25y&#10;ZXYueG1sUEsBAhQAFAAAAAgAh07iQDMvBZ47AAAAOQAAABAAAAAAAAAAAQAgAAAAJQEAAGRycy9z&#10;aGFwZXhtbC54bWxQSwUGAAAAAAYABgBbAQAAzwMAAAAA&#10;" path="m0,0l11906,0,11906,324,0,324,0,0xe">
                  <v:path o:connectlocs="0,8868;11906,8868;11906,9042;0,9042;0,8868" o:connectangles="0,0,0,0,0"/>
                  <v:fill on="t" focussize="0,0"/>
                  <v:stroke color="#238CAD" joinstyle="round"/>
                  <v:imagedata o:title=""/>
                  <o:lock v:ext="edit" aspectratio="f"/>
                </v:shape>
              </v:group>
            </w:pict>
          </mc:Fallback>
        </mc:AlternateContent>
      </w:r>
    </w:p>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mc:AlternateContent>
          <mc:Choice Requires="wps">
            <w:drawing>
              <wp:anchor distT="0" distB="0" distL="114300" distR="114300" simplePos="0" relativeHeight="251666432"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1915635354"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66432;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BYAAABkcnMvUEsBAhQAFAAAAAgAh07iQEwEfH7Z&#10;AAAACAEAAA8AAAAAAAAAAQAgAAAAOAAAAGRycy9kb3ducmV2LnhtbFBLAQIUABQAAAAIAIdO4kD1&#10;VF6C0AEAAKIDAAAOAAAAAAAAAAEAIAAAAD4BAABkcnMvZTJvRG9jLnhtbFBLBQYAAAAABgAGAFkB&#10;AACABQ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8480"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1011058379"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68480;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BYAAABkcnMvUEsBAhQAFAAAAAgAh07iQF+RXqbUAAAACAEA&#10;AA8AAAAAAAAAAQAgAAAAOAAAAGRycy9kb3ducmV2LnhtbFBLAQIUABQAAAAIAIdO4kALHcMbzwEA&#10;AKIDAAAOAAAAAAAAAAEAIAAAADkBAABkcnMvZTJvRG9jLnhtbFBLBQYAAAAABgAGAFkBAAB6BQAA&#10;A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7456"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2000144437"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49024;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WAAAAZHJzL1BLAQIUABQAAAAIAIdO4kDMi08E&#10;1gAAAAgBAAAPAAAAAAAAAAEAIAAAADgAAABkcnMvZG93bnJldi54bWxQSwECFAAUAAAACACHTuJA&#10;t4LgodQBAACmAwAADgAAAAAAAAABACAAAAA7AQAAZHJzL2Uyb0RvYy54bWxQSwUGAAAAAAYABgBZ&#10;AQAAgQU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Apeninos, 930 / cj. 123 – Vila Mariana – São Paulo/SP – CEP: 04104-020</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28"/>
          <w:szCs w:val="28"/>
          <w:lang w:eastAsia="zh-CN"/>
        </w:rPr>
      </w:pPr>
      <w:r>
        <w:rPr>
          <w:rFonts w:ascii="Times New Roman" w:hAnsi="Times New Roman" w:eastAsia="宋体" w:cs="Times New Roman"/>
          <w:b/>
          <w:bCs/>
          <w:sz w:val="28"/>
          <w:szCs w:val="28"/>
          <w:lang w:eastAsia="zh-CN"/>
        </w:rPr>
        <w:t>Resultado – NIPT EXPANDIDO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05"/>
        <w:gridCol w:w="2835"/>
        <w:gridCol w:w="1550"/>
        <w:gridCol w:w="2703"/>
      </w:tblGrid>
      <w:tr>
        <w:tc>
          <w:tcPr>
            <w:tcW w:w="2405" w:type="dxa"/>
            <w:tcBorders>
              <w:top w:val="single" w:color="238CAD" w:sz="4" w:space="0"/>
              <w:left w:val="single" w:color="238CAD" w:sz="4" w:space="0"/>
              <w:bottom w:val="single" w:color="238CAD" w:sz="4" w:space="0"/>
              <w:right w:val="single" w:color="238CAD" w:sz="4" w:space="0"/>
            </w:tcBorders>
            <w:shd w:val="clear" w:color="auto" w:fill="238CAD"/>
          </w:tcPr>
          <w:p>
            <w:pPr>
              <w:spacing w:before="9"/>
              <w:jc w:val="center"/>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Informações</w:t>
            </w:r>
          </w:p>
        </w:tc>
        <w:tc>
          <w:tcPr>
            <w:tcW w:w="2835" w:type="dxa"/>
            <w:tcBorders>
              <w:top w:val="single" w:color="FFFFFF" w:themeColor="background1" w:sz="4" w:space="0"/>
              <w:left w:val="single" w:color="238CAD"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before="9"/>
        <w:jc w:val="center"/>
        <w:rPr>
          <w:rFonts w:ascii="Times New Roman" w:hAnsi="Times New Roman" w:eastAsia="宋体" w:cs="Times New Roman"/>
          <w:sz w:val="24"/>
          <w:szCs w:val="24"/>
          <w:lang w:eastAsia="zh-CN"/>
        </w:rPr>
      </w:pPr>
    </w:p>
    <w:p>
      <w:pPr>
        <w:spacing w:before="9"/>
        <w:rPr>
          <w:rFonts w:ascii="Times New Roman" w:hAnsi="Times New Roman" w:cs="Times New Roman"/>
          <w:sz w:val="6"/>
          <w:szCs w:val="6"/>
          <w:lang w:eastAsia="ko-KR"/>
        </w:rPr>
      </w:pPr>
    </w:p>
    <w:tbl>
      <w:tblPr>
        <w:tblStyle w:val="8"/>
        <w:tblW w:w="406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2051"/>
        <w:gridCol w:w="2975"/>
        <w:gridCol w:w="3958"/>
        <w:gridCol w:w="867"/>
      </w:tblGrid>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Gestante</w:t>
            </w:r>
          </w:p>
        </w:tc>
      </w:tr>
      <w:tr>
        <w:trPr>
          <w:trHeight w:val="1030" w:hRule="atLeast"/>
        </w:trPr>
        <w:tc>
          <w:tcPr>
            <w:tcW w:w="5000" w:type="pct"/>
            <w:gridSpan w:val="4"/>
            <w:tcBorders>
              <w:top w:val="single" w:color="808080" w:sz="4" w:space="0"/>
            </w:tcBorders>
            <w:vAlign w:val="center"/>
          </w:tcPr>
          <w:p>
            <w:pPr>
              <w:spacing w:before="9" w:line="276" w:lineRule="auto"/>
              <w:jc w:val="both"/>
              <w:rPr>
                <w:rFonts w:ascii="Times New Roman" w:hAnsi="Times New Roman" w:cs="Times New Roman"/>
                <w:sz w:val="20"/>
                <w:szCs w:val="20"/>
                <w:lang w:val="pt-PT" w:eastAsia="zh-CN"/>
              </w:rPr>
            </w:pPr>
            <w:r>
              <w:rPr>
                <w:rFonts w:ascii="Times New Roman" w:hAnsi="Times New Roman" w:cs="Times New Roman"/>
                <w:b/>
                <w:bCs/>
                <w:sz w:val="20"/>
                <w:szCs w:val="20"/>
                <w:lang w:eastAsia="ko-KR"/>
              </w:rPr>
              <w:t>Nome:</w:t>
            </w:r>
            <w:r>
              <w:rPr>
                <w:rFonts w:ascii="Times New Roman" w:hAnsi="Times New Roman" w:cs="Times New Roman"/>
                <w:sz w:val="20"/>
                <w:szCs w:val="20"/>
                <w:lang w:eastAsia="ko-KR"/>
              </w:rPr>
              <w:t xml:space="preserve"> {{ Name }}</w:t>
            </w:r>
          </w:p>
          <w:p>
            <w:pPr>
              <w:spacing w:before="9" w:line="276" w:lineRule="auto"/>
              <w:jc w:val="both"/>
              <w:rPr>
                <w:rFonts w:ascii="Times New Roman" w:hAnsi="Times New Roman" w:cs="Times New Roman"/>
                <w:b/>
                <w:bCs/>
                <w:sz w:val="20"/>
                <w:szCs w:val="20"/>
                <w:lang w:eastAsia="zh-CN"/>
              </w:rPr>
            </w:pPr>
            <w:r>
              <w:rPr>
                <w:rFonts w:ascii="Times New Roman" w:hAnsi="Times New Roman" w:cs="Times New Roman"/>
                <w:b/>
                <w:bCs/>
                <w:sz w:val="20"/>
                <w:szCs w:val="20"/>
                <w:lang w:val="pt-PT" w:eastAsia="zh-CN"/>
              </w:rPr>
              <w:t xml:space="preserve">CPF: </w:t>
            </w:r>
            <w:r>
              <w:rPr>
                <w:rFonts w:ascii="Times New Roman" w:hAnsi="Times New Roman" w:cs="Times New Roman"/>
                <w:sz w:val="20"/>
                <w:szCs w:val="20"/>
                <w:lang w:eastAsia="ko-KR"/>
              </w:rPr>
              <w:t xml:space="preserve">{{ </w:t>
            </w:r>
            <w:r>
              <w:rPr>
                <w:rFonts w:hint="eastAsia" w:ascii="Times New Roman" w:hAnsi="Times New Roman" w:cs="Times New Roman"/>
                <w:sz w:val="20"/>
                <w:szCs w:val="20"/>
                <w:lang w:eastAsia="ko-KR"/>
              </w:rPr>
              <w:t>Patient_ID</w:t>
            </w:r>
            <w:r>
              <w:rPr>
                <w:rFonts w:ascii="Times New Roman" w:hAnsi="Times New Roman" w:cs="Times New Roman"/>
                <w:sz w:val="20"/>
                <w:szCs w:val="20"/>
                <w:lang w:eastAsia="ko-KR"/>
              </w:rPr>
              <w:t xml:space="preserve"> }}</w:t>
            </w:r>
          </w:p>
          <w:p>
            <w:pPr>
              <w:spacing w:before="9" w:line="276" w:lineRule="auto"/>
              <w:jc w:val="both"/>
              <w:rPr>
                <w:rFonts w:ascii="Times New Roman" w:hAnsi="Times New Roman" w:eastAsia="宋体" w:cs="Times New Roman"/>
                <w:sz w:val="20"/>
                <w:szCs w:val="20"/>
                <w:lang w:eastAsia="zh-CN"/>
              </w:rPr>
            </w:pPr>
            <w:r>
              <w:rPr>
                <w:rFonts w:ascii="Times New Roman" w:hAnsi="Times New Roman" w:cs="Times New Roman"/>
                <w:b/>
                <w:bCs/>
                <w:sz w:val="20"/>
                <w:szCs w:val="20"/>
                <w:lang w:eastAsia="ko-KR"/>
              </w:rPr>
              <w:t>Data de nascimento:</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p>
            <w:pPr>
              <w:spacing w:before="9" w:line="276" w:lineRule="auto"/>
              <w:jc w:val="both"/>
              <w:rPr>
                <w:rFonts w:ascii="Times New Roman" w:hAnsi="Times New Roman" w:eastAsia="宋体" w:cs="Times New Roman"/>
                <w:sz w:val="20"/>
                <w:szCs w:val="20"/>
                <w:lang w:eastAsia="zh-CN"/>
              </w:rPr>
            </w:pPr>
            <w:r>
              <w:rPr>
                <w:rFonts w:ascii="Times New Roman" w:hAnsi="Times New Roman" w:eastAsia="宋体" w:cs="Times New Roman"/>
                <w:b/>
                <w:bCs/>
                <w:sz w:val="20"/>
                <w:szCs w:val="20"/>
                <w:lang w:eastAsia="zh-CN"/>
              </w:rPr>
              <w:t>Semanas gestacionais: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r>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Informações da Amostra</w:t>
            </w:r>
          </w:p>
        </w:tc>
      </w:tr>
      <w:tr>
        <w:trPr>
          <w:trHeight w:val="340" w:hRule="atLeast"/>
        </w:trPr>
        <w:tc>
          <w:tcPr>
            <w:tcW w:w="1041" w:type="pct"/>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 xml:space="preserve">Data da Coleta: </w:t>
            </w:r>
          </w:p>
        </w:tc>
        <w:tc>
          <w:tcPr>
            <w:tcW w:w="1510" w:type="pct"/>
            <w:tcBorders>
              <w:top w:val="single" w:color="808080" w:sz="4" w:space="0"/>
              <w:bottom w:val="nil"/>
              <w:righ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2009" w:type="pct"/>
            <w:tcBorders>
              <w:top w:val="single" w:color="808080" w:sz="4" w:space="0"/>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Tipo de amostra: Plasma</w:t>
            </w:r>
          </w:p>
        </w:tc>
        <w:tc>
          <w:tcPr>
            <w:tcW w:w="440" w:type="pct"/>
            <w:tcBorders>
              <w:top w:val="single" w:color="808080" w:sz="4" w:space="0"/>
            </w:tcBorders>
            <w:vAlign w:val="center"/>
          </w:tcPr>
          <w:p>
            <w:pPr>
              <w:spacing w:before="9" w:line="276" w:lineRule="auto"/>
              <w:rPr>
                <w:rFonts w:ascii="Times New Roman" w:hAnsi="Times New Roman" w:cs="Times New Roman"/>
                <w:sz w:val="20"/>
                <w:szCs w:val="20"/>
                <w:lang w:eastAsia="ko-KR"/>
              </w:rPr>
            </w:pPr>
          </w:p>
        </w:tc>
      </w:tr>
      <w:tr>
        <w:trPr>
          <w:trHeight w:val="60" w:hRule="atLeast"/>
        </w:trPr>
        <w:tc>
          <w:tcPr>
            <w:tcW w:w="1041" w:type="pct"/>
            <w:tcBorders>
              <w:top w:val="single" w:color="FFFFFF" w:themeColor="background1" w:sz="4" w:space="0"/>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Data do recebimento:</w:t>
            </w:r>
          </w:p>
        </w:tc>
        <w:tc>
          <w:tcPr>
            <w:tcW w:w="1510" w:type="pct"/>
            <w:tcBorders>
              <w:top w:val="single" w:color="FFFFFF" w:themeColor="background1" w:sz="4" w:space="0"/>
              <w:bottom w:val="single" w:color="808080" w:sz="4" w:space="0"/>
              <w:righ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 Acceptance_Date }}</w:t>
            </w:r>
          </w:p>
        </w:tc>
        <w:tc>
          <w:tcPr>
            <w:tcW w:w="2009" w:type="pct"/>
            <w:tcBorders>
              <w:top w:val="single" w:color="FFFFFF" w:themeColor="background1" w:sz="4" w:space="0"/>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Qualidade da amostra: Aprovada</w:t>
            </w:r>
          </w:p>
        </w:tc>
        <w:tc>
          <w:tcPr>
            <w:tcW w:w="440" w:type="pct"/>
            <w:tcBorders>
              <w:top w:val="single" w:color="FFFFFF" w:themeColor="background1" w:sz="4" w:space="0"/>
            </w:tcBorders>
            <w:vAlign w:val="center"/>
          </w:tcPr>
          <w:p>
            <w:pPr>
              <w:spacing w:before="9" w:line="276" w:lineRule="auto"/>
              <w:rPr>
                <w:rFonts w:ascii="Times New Roman" w:hAnsi="Times New Roman" w:cs="Times New Roman"/>
                <w:sz w:val="20"/>
                <w:szCs w:val="20"/>
                <w:lang w:eastAsia="ko-KR"/>
              </w:rPr>
            </w:pPr>
          </w:p>
        </w:tc>
      </w:tr>
    </w:tbl>
    <w:p/>
    <w:tbl>
      <w:tblPr>
        <w:tblStyle w:val="8"/>
        <w:tblpPr w:leftFromText="141" w:rightFromText="141" w:vertAnchor="text" w:horzAnchor="page" w:tblpX="1201" w:tblpY="-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05"/>
        <w:gridCol w:w="4820"/>
      </w:tblGrid>
      <w:tr>
        <w:tc>
          <w:tcPr>
            <w:tcW w:w="2405" w:type="dxa"/>
            <w:tcBorders>
              <w:top w:val="single" w:color="238CAD" w:sz="4" w:space="0"/>
              <w:left w:val="single" w:color="238CAD" w:sz="4" w:space="0"/>
              <w:bottom w:val="single" w:color="238CAD" w:sz="4" w:space="0"/>
              <w:right w:val="single" w:color="238CAD" w:sz="4" w:space="0"/>
            </w:tcBorders>
            <w:shd w:val="clear" w:color="auto" w:fill="238CAD"/>
          </w:tcPr>
          <w:p>
            <w:pPr>
              <w:spacing w:before="9"/>
              <w:jc w:val="center"/>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Resultados</w:t>
            </w:r>
          </w:p>
        </w:tc>
        <w:tc>
          <w:tcPr>
            <w:tcW w:w="4820" w:type="dxa"/>
            <w:tcBorders>
              <w:top w:val="single" w:color="FFFFFF" w:themeColor="background1" w:sz="4" w:space="0"/>
              <w:left w:val="single" w:color="238CAD" w:sz="4" w:space="0"/>
              <w:bottom w:val="single" w:color="FFFFFF" w:themeColor="background1" w:sz="4" w:space="0"/>
              <w:right w:val="single" w:color="FFFFFF" w:themeColor="background1" w:sz="4" w:space="0"/>
            </w:tcBorders>
          </w:tcPr>
          <w:p>
            <w:pPr>
              <w:spacing w:before="9"/>
              <w:jc w:val="center"/>
              <w:rPr>
                <w:rFonts w:ascii="Times New Roman" w:hAnsi="Times New Roman" w:eastAsia="宋体" w:cs="Times New Roman"/>
                <w:sz w:val="24"/>
                <w:szCs w:val="24"/>
                <w:lang w:eastAsia="zh-CN"/>
              </w:rPr>
            </w:pPr>
          </w:p>
        </w:tc>
      </w:tr>
    </w:tbl>
    <w:p/>
    <w:p>
      <w:pPr>
        <w:spacing w:before="8"/>
        <w:ind w:right="1135" w:rightChars="516"/>
        <w:jc w:val="both"/>
        <w:rPr>
          <w:rFonts w:ascii="Times New Roman" w:hAnsi="Times New Roman" w:eastAsia="Times New Roman" w:cs="Times New Roman"/>
          <w:color w:val="58595B"/>
          <w:sz w:val="6"/>
          <w:szCs w:val="6"/>
        </w:rPr>
      </w:pPr>
    </w:p>
    <w:tbl>
      <w:tblPr>
        <w:tblStyle w:val="8"/>
        <w:tblW w:w="4061"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83"/>
        <w:gridCol w:w="1590"/>
        <w:gridCol w:w="2890"/>
        <w:gridCol w:w="1586"/>
      </w:tblGrid>
      <w:tr>
        <w:trPr>
          <w:trHeight w:val="340" w:hRule="atLeast"/>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19"/>
                <w:szCs w:val="19"/>
                <w:lang w:eastAsia="ko-KR"/>
                <w14:textFill>
                  <w14:solidFill>
                    <w14:schemeClr w14:val="bg1"/>
                  </w14:solidFill>
                </w14:textFill>
              </w:rPr>
            </w:pPr>
            <w:r>
              <w:rPr>
                <w:rFonts w:ascii="Times New Roman" w:hAnsi="Times New Roman" w:cs="Times New Roman"/>
                <w:b/>
                <w:color w:val="FFFFFF" w:themeColor="background1"/>
                <w:sz w:val="19"/>
                <w:szCs w:val="19"/>
                <w:lang w:eastAsia="ko-KR"/>
                <w14:textFill>
                  <w14:solidFill>
                    <w14:schemeClr w14:val="bg1"/>
                  </w14:solidFill>
                </w14:textFill>
              </w:rPr>
              <w:t>6 tipos de síndromes de microdeleção maiores que 3M e localizadas em segmentos cromossômicos específicos relacionados à syndrome</w:t>
            </w:r>
          </w:p>
        </w:tc>
      </w:tr>
      <w:tr>
        <w:trPr>
          <w:trHeight w:val="340" w:hRule="atLeast"/>
        </w:trPr>
        <w:tc>
          <w:tcPr>
            <w:tcW w:w="192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807"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c>
          <w:tcPr>
            <w:tcW w:w="1467"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Sindrome Avaliada</w:t>
            </w:r>
          </w:p>
        </w:tc>
        <w:tc>
          <w:tcPr>
            <w:tcW w:w="80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r>
      <w:tr>
        <w:trPr>
          <w:trHeight w:val="340" w:hRule="atLeast"/>
        </w:trPr>
        <w:tc>
          <w:tcPr>
            <w:tcW w:w="192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1p36</w:t>
            </w:r>
          </w:p>
        </w:tc>
        <w:tc>
          <w:tcPr>
            <w:tcW w:w="807" w:type="pct"/>
            <w:vAlign w:val="center"/>
          </w:tcPr>
          <w:p>
            <w:pPr>
              <w:spacing w:before="9"/>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Sem resultado</w:t>
            </w:r>
          </w:p>
        </w:tc>
        <w:tc>
          <w:tcPr>
            <w:tcW w:w="146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Cri du </w:t>
            </w:r>
            <w:r>
              <w:rPr>
                <w:rFonts w:hint="eastAsia" w:ascii="Times New Roman" w:hAnsi="Times New Roman" w:cs="Times New Roman"/>
                <w:sz w:val="20"/>
                <w:szCs w:val="20"/>
                <w:lang w:eastAsia="zh-CN"/>
              </w:rPr>
              <w:t>C</w:t>
            </w:r>
            <w:r>
              <w:rPr>
                <w:rFonts w:ascii="Times New Roman" w:hAnsi="Times New Roman" w:cs="Times New Roman"/>
                <w:sz w:val="20"/>
                <w:szCs w:val="20"/>
                <w:lang w:eastAsia="ko-KR"/>
              </w:rPr>
              <w:t>hat</w:t>
            </w:r>
          </w:p>
        </w:tc>
        <w:tc>
          <w:tcPr>
            <w:tcW w:w="805" w:type="pct"/>
          </w:tcPr>
          <w:p>
            <w:r>
              <w:rPr>
                <w:rFonts w:ascii="Times New Roman" w:hAnsi="Times New Roman" w:cs="Times New Roman"/>
                <w:b/>
                <w:bCs/>
                <w:color w:val="00B050"/>
                <w:sz w:val="20"/>
                <w:szCs w:val="20"/>
                <w:lang w:eastAsia="ko-KR"/>
              </w:rPr>
              <w:t>Sem resultado</w:t>
            </w:r>
          </w:p>
        </w:tc>
      </w:tr>
      <w:tr>
        <w:trPr>
          <w:trHeight w:val="340" w:hRule="atLeast"/>
        </w:trPr>
        <w:tc>
          <w:tcPr>
            <w:tcW w:w="192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DiGeorge – deleção 22q11.2</w:t>
            </w:r>
          </w:p>
        </w:tc>
        <w:tc>
          <w:tcPr>
            <w:tcW w:w="807" w:type="pct"/>
          </w:tcPr>
          <w:p>
            <w:r>
              <w:rPr>
                <w:rFonts w:ascii="Times New Roman" w:hAnsi="Times New Roman" w:cs="Times New Roman"/>
                <w:b/>
                <w:bCs/>
                <w:color w:val="00B050"/>
                <w:sz w:val="20"/>
                <w:szCs w:val="20"/>
                <w:lang w:eastAsia="ko-KR"/>
              </w:rPr>
              <w:t>Sem resultado</w:t>
            </w:r>
          </w:p>
        </w:tc>
        <w:tc>
          <w:tcPr>
            <w:tcW w:w="146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Angelman</w:t>
            </w:r>
          </w:p>
        </w:tc>
        <w:tc>
          <w:tcPr>
            <w:tcW w:w="805" w:type="pct"/>
          </w:tcPr>
          <w:p>
            <w:r>
              <w:rPr>
                <w:rFonts w:ascii="Times New Roman" w:hAnsi="Times New Roman" w:cs="Times New Roman"/>
                <w:b/>
                <w:bCs/>
                <w:color w:val="00B050"/>
                <w:sz w:val="20"/>
                <w:szCs w:val="20"/>
                <w:lang w:eastAsia="ko-KR"/>
              </w:rPr>
              <w:t>Sem resultado</w:t>
            </w:r>
          </w:p>
        </w:tc>
      </w:tr>
      <w:tr>
        <w:trPr>
          <w:trHeight w:val="340" w:hRule="atLeast"/>
        </w:trPr>
        <w:tc>
          <w:tcPr>
            <w:tcW w:w="192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Wolf-Hirschhorn</w:t>
            </w:r>
          </w:p>
        </w:tc>
        <w:tc>
          <w:tcPr>
            <w:tcW w:w="807" w:type="pct"/>
          </w:tcPr>
          <w:p>
            <w:r>
              <w:rPr>
                <w:rFonts w:ascii="Times New Roman" w:hAnsi="Times New Roman" w:cs="Times New Roman"/>
                <w:b/>
                <w:bCs/>
                <w:color w:val="00B050"/>
                <w:sz w:val="20"/>
                <w:szCs w:val="20"/>
                <w:lang w:eastAsia="ko-KR"/>
              </w:rPr>
              <w:t>Sem resultado</w:t>
            </w:r>
          </w:p>
        </w:tc>
        <w:tc>
          <w:tcPr>
            <w:tcW w:w="146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Prader-Willi</w:t>
            </w:r>
          </w:p>
        </w:tc>
        <w:tc>
          <w:tcPr>
            <w:tcW w:w="805" w:type="pct"/>
          </w:tcPr>
          <w:p>
            <w:r>
              <w:rPr>
                <w:rFonts w:ascii="Times New Roman" w:hAnsi="Times New Roman" w:cs="Times New Roman"/>
                <w:b/>
                <w:bCs/>
                <w:color w:val="00B050"/>
                <w:sz w:val="20"/>
                <w:szCs w:val="20"/>
                <w:lang w:eastAsia="ko-KR"/>
              </w:rPr>
              <w:t>Sem resultado</w:t>
            </w:r>
          </w:p>
        </w:tc>
      </w:tr>
    </w:tbl>
    <w:p>
      <w:pPr>
        <w:spacing w:before="8"/>
        <w:ind w:right="1135" w:rightChars="516"/>
        <w:jc w:val="both"/>
        <w:rPr>
          <w:rFonts w:ascii="Times New Roman" w:hAnsi="Times New Roman" w:eastAsia="Times New Roman" w:cs="Times New Roman"/>
          <w:color w:val="58595B"/>
          <w:sz w:val="18"/>
          <w:szCs w:val="20"/>
        </w:rPr>
      </w:pPr>
    </w:p>
    <w:tbl>
      <w:tblPr>
        <w:tblStyle w:val="8"/>
        <w:tblW w:w="4056"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22"/>
        <w:gridCol w:w="1464"/>
        <w:gridCol w:w="3323"/>
        <w:gridCol w:w="1428"/>
      </w:tblGrid>
      <w:tr>
        <w:trPr>
          <w:trHeight w:val="340" w:hRule="atLeast"/>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87 tipos de síndromes de microdeleção/microduplicação cromossômica maiores que 10M</w:t>
            </w:r>
          </w:p>
        </w:tc>
      </w:tr>
      <w:tr>
        <w:trPr>
          <w:trHeight w:val="340" w:hRule="atLeast"/>
        </w:trPr>
        <w:tc>
          <w:tcPr>
            <w:tcW w:w="184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74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c>
          <w:tcPr>
            <w:tcW w:w="1689"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Sindrome Avaliada</w:t>
            </w:r>
          </w:p>
        </w:tc>
        <w:tc>
          <w:tcPr>
            <w:tcW w:w="726"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Smith-Magenis</w:t>
            </w:r>
          </w:p>
        </w:tc>
        <w:tc>
          <w:tcPr>
            <w:tcW w:w="744" w:type="pct"/>
            <w:vAlign w:val="center"/>
          </w:tcPr>
          <w:p>
            <w:pPr>
              <w:spacing w:before="9"/>
              <w:rPr>
                <w:rFonts w:ascii="Times New Roman" w:hAnsi="Times New Roman" w:cs="Times New Roman"/>
                <w:sz w:val="18"/>
                <w:szCs w:val="18"/>
                <w:lang w:eastAsia="ko-KR"/>
              </w:rPr>
            </w:pPr>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DiGeorge tipo 2</w:t>
            </w:r>
          </w:p>
        </w:tc>
        <w:tc>
          <w:tcPr>
            <w:tcW w:w="726" w:type="pct"/>
            <w:vAlign w:val="center"/>
          </w:tcPr>
          <w:p>
            <w:pPr>
              <w:spacing w:before="9"/>
              <w:rPr>
                <w:rFonts w:ascii="Times New Roman" w:hAnsi="Times New Roman" w:cs="Times New Roman"/>
                <w:sz w:val="20"/>
                <w:szCs w:val="20"/>
                <w:lang w:eastAsia="ko-KR"/>
              </w:rPr>
            </w:pPr>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1p32-p31</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10q22.3-q23.2</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1q25.2-q32.1</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10q</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duplicação 1q23-1q41 </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10q26</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1q31</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WAGR – deleção 11p13</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1g41-q42</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Potocki-Shaffer</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t xml:space="preserve"> </w:t>
            </w:r>
            <w:r>
              <w:rPr>
                <w:rFonts w:ascii="Times New Roman" w:hAnsi="Times New Roman" w:cs="Times New Roman"/>
                <w:sz w:val="20"/>
                <w:szCs w:val="20"/>
                <w:lang w:eastAsia="ko-KR"/>
              </w:rPr>
              <w:t>Síndrome de deleção 1q43-q44</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val="pt-BR" w:eastAsia="ko-KR"/>
              </w:rPr>
              <w:t>Síndrome de deleção proximal telomérica 11q</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2p25.3</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Jacobsen</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2p25.3</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Pallister-Killian - tetrassomia 12p</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2pter-p24.1</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deleção </w:t>
            </w:r>
            <w:r>
              <w:rPr>
                <w:rFonts w:ascii="Times New Roman" w:hAnsi="Times New Roman" w:cs="Times New Roman"/>
                <w:sz w:val="20"/>
                <w:szCs w:val="20"/>
                <w:lang w:val="pt-BR" w:eastAsia="ko-KR"/>
              </w:rPr>
              <w:t>12q14</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2p16.1-P15</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13q14</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2p12-p11.2</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13q</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2q33.1</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13q</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2q32.3-q37.3</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14q11-q22</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2q37</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14q</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3pter-p25</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 Síndrome de deleção 15q14</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3pter-p24.3</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15q24</w:t>
            </w:r>
          </w:p>
        </w:tc>
        <w:tc>
          <w:tcPr>
            <w:tcW w:w="726"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Dandy-Walker</w:t>
            </w:r>
          </w:p>
        </w:tc>
        <w:tc>
          <w:tcPr>
            <w:tcW w:w="744" w:type="pct"/>
            <w:vAlign w:val="center"/>
          </w:tcPr>
          <w:p>
            <w:r>
              <w:rPr>
                <w:rFonts w:ascii="Times New Roman" w:hAnsi="Times New Roman" w:cs="Times New Roman"/>
                <w:b/>
                <w:bCs/>
                <w:color w:val="00B050"/>
                <w:sz w:val="18"/>
                <w:szCs w:val="18"/>
                <w:lang w:eastAsia="ko-KR"/>
              </w:rPr>
              <w:t>Sem resultado</w:t>
            </w:r>
          </w:p>
        </w:tc>
        <w:tc>
          <w:tcPr>
            <w:tcW w:w="168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15q24</w:t>
            </w:r>
          </w:p>
        </w:tc>
        <w:tc>
          <w:tcPr>
            <w:tcW w:w="726" w:type="pct"/>
            <w:vAlign w:val="center"/>
          </w:tcPr>
          <w:p>
            <w:r>
              <w:rPr>
                <w:rFonts w:ascii="Times New Roman" w:hAnsi="Times New Roman" w:cs="Times New Roman"/>
                <w:b/>
                <w:bCs/>
                <w:color w:val="00B050"/>
                <w:sz w:val="18"/>
                <w:szCs w:val="18"/>
                <w:lang w:eastAsia="ko-KR"/>
              </w:rPr>
              <w:t>Sem resultado</w:t>
            </w:r>
          </w:p>
        </w:tc>
      </w:tr>
    </w:tbl>
    <w:p>
      <w:pPr>
        <w:spacing w:line="360" w:lineRule="auto"/>
        <w:rPr>
          <w:rFonts w:ascii="Times New Roman" w:hAnsi="Times New Roman" w:eastAsia="宋体" w:cs="Times New Roman"/>
          <w:b/>
          <w:bCs/>
          <w:sz w:val="32"/>
          <w:szCs w:val="32"/>
          <w:lang w:eastAsia="zh-CN"/>
        </w:rPr>
      </w:pPr>
      <w:r>
        <w:rPr>
          <w:rFonts w:ascii="Arial" w:hAnsi="Arial" w:cs="Arial"/>
        </w:rPr>
        <w:drawing>
          <wp:anchor distT="0" distB="0" distL="114300" distR="114300" simplePos="0" relativeHeight="251673600" behindDoc="0" locked="0" layoutInCell="1" allowOverlap="1">
            <wp:simplePos x="0" y="0"/>
            <wp:positionH relativeFrom="margin">
              <wp:posOffset>5941060</wp:posOffset>
            </wp:positionH>
            <wp:positionV relativeFrom="margin">
              <wp:posOffset>-11430</wp:posOffset>
            </wp:positionV>
            <wp:extent cx="1389380" cy="605790"/>
            <wp:effectExtent l="0" t="0" r="1270" b="3810"/>
            <wp:wrapSquare wrapText="bothSides"/>
            <wp:docPr id="519331327"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31327"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p>
    <w:p>
      <w:pPr>
        <w:spacing w:line="360" w:lineRule="auto"/>
        <w:rPr>
          <w:rFonts w:ascii="Times New Roman" w:hAnsi="Times New Roman" w:eastAsia="宋体" w:cs="Times New Roman"/>
          <w:b/>
          <w:color w:val="808080"/>
          <w:sz w:val="18"/>
          <w:szCs w:val="18"/>
          <w:lang w:eastAsia="zh-CN"/>
        </w:rPr>
      </w:pPr>
    </w:p>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mc:AlternateContent>
          <mc:Choice Requires="wps">
            <w:drawing>
              <wp:anchor distT="0" distB="0" distL="114300" distR="114300" simplePos="0" relativeHeight="251670528"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1793442330"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70528;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TAR8ftkA&#10;AAAIAQAADwAAAAAAAAABACAAAAA4AAAAZHJzL2Rvd25yZXYueG1sUEsBAhQAFAAAAAgAh07iQKsa&#10;ECzPAQAAogMAAA4AAAAAAAAAAQAgAAAAPgEAAGRycy9lMm9Eb2MueG1sUEsFBgAAAAAGAAYAWQEA&#10;AH8FA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2576"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1516866318"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72576;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BYAAABkcnMvUEsBAhQAFAAAAAgAh07iQF+RXqbUAAAACAEA&#10;AA8AAAAAAAAAAQAgAAAAOAAAAGRycy9kb3ducmV2LnhtbFBLAQIUABQAAAAIAIdO4kDf+gg0zwEA&#10;AKIDAAAOAAAAAAAAAAEAIAAAADkBAABkcnMvZTJvRG9jLnhtbFBLBQYAAAAABgAGAFkBAAB6BQAA&#10;A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1552"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1114912280"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44928;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zItPBNYA&#10;AAAIAQAADwAAAAAAAAABACAAAAA4AAAAZHJzL2Rvd25yZXYueG1sUEsBAhQAFAAAAAgAh07iQEca&#10;oZrSAQAApgMAAA4AAAAAAAAAAQAgAAAAOwEAAGRycy9lMm9Eb2MueG1sUEsFBgAAAAAGAAYAWQEA&#10;AH8FA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Apeninos, 930 / cj. 123 – Vila Mariana – São Paulo/SP – CEP: 04104-020</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28"/>
          <w:szCs w:val="28"/>
          <w:lang w:eastAsia="zh-CN"/>
        </w:rPr>
      </w:pPr>
      <w:r>
        <w:rPr>
          <w:rFonts w:ascii="Times New Roman" w:hAnsi="Times New Roman" w:eastAsia="宋体" w:cs="Times New Roman"/>
          <w:b/>
          <w:bCs/>
          <w:sz w:val="28"/>
          <w:szCs w:val="28"/>
          <w:lang w:eastAsia="zh-CN"/>
        </w:rPr>
        <w:t>Resultado – NIPT EXPANDIDO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05"/>
        <w:gridCol w:w="2835"/>
        <w:gridCol w:w="1550"/>
        <w:gridCol w:w="2703"/>
      </w:tblGrid>
      <w:tr>
        <w:tc>
          <w:tcPr>
            <w:tcW w:w="240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FFFFF" w:themeFill="background1"/>
          </w:tcPr>
          <w:p>
            <w:pPr>
              <w:spacing w:before="9"/>
              <w:jc w:val="center"/>
              <w:rPr>
                <w:rFonts w:ascii="Times New Roman" w:hAnsi="Times New Roman" w:eastAsia="宋体" w:cs="Times New Roman"/>
                <w:b/>
                <w:bCs/>
                <w:sz w:val="24"/>
                <w:szCs w:val="24"/>
                <w:lang w:eastAsia="zh-CN"/>
              </w:rPr>
            </w:pPr>
          </w:p>
        </w:tc>
        <w:tc>
          <w:tcPr>
            <w:tcW w:w="2835" w:type="dxa"/>
            <w:tcBorders>
              <w:top w:val="single" w:color="FFFFFF" w:themeColor="background1" w:sz="4" w:space="0"/>
              <w:left w:val="single" w:color="FFFFFF" w:themeColor="background1"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line="360" w:lineRule="auto"/>
        <w:rPr>
          <w:rFonts w:ascii="Times New Roman" w:hAnsi="Times New Roman" w:eastAsia="宋体" w:cs="Times New Roman"/>
          <w:b/>
          <w:sz w:val="18"/>
          <w:szCs w:val="18"/>
          <w:lang w:eastAsia="zh-CN"/>
        </w:rPr>
      </w:pPr>
    </w:p>
    <w:p>
      <w:pPr>
        <w:spacing w:line="360" w:lineRule="auto"/>
        <w:rPr>
          <w:rFonts w:ascii="Times New Roman" w:hAnsi="Times New Roman" w:eastAsia="宋体" w:cs="Times New Roman"/>
          <w:b/>
          <w:sz w:val="18"/>
          <w:szCs w:val="18"/>
          <w:lang w:eastAsia="zh-CN"/>
        </w:rPr>
      </w:pPr>
    </w:p>
    <w:tbl>
      <w:tblPr>
        <w:tblStyle w:val="8"/>
        <w:tblW w:w="4066"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41"/>
        <w:gridCol w:w="1446"/>
        <w:gridCol w:w="3320"/>
        <w:gridCol w:w="1454"/>
      </w:tblGrid>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3qter-q24</w:t>
            </w:r>
          </w:p>
        </w:tc>
        <w:tc>
          <w:tcPr>
            <w:tcW w:w="733" w:type="pct"/>
            <w:vAlign w:val="center"/>
          </w:tcPr>
          <w:p>
            <w:pPr>
              <w:spacing w:before="9"/>
              <w:rPr>
                <w:rFonts w:ascii="Times New Roman" w:hAnsi="Times New Roman" w:cs="Times New Roman"/>
                <w:sz w:val="20"/>
                <w:szCs w:val="20"/>
                <w:lang w:eastAsia="ko-KR"/>
              </w:rPr>
            </w:pPr>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15q22-qter</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4p</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15q25</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4q21</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15q26</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 Síndrome de duplicação 4q distal</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15qter-q26</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4q32.1-q32.2</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16p13.3</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4q distal</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16p12.2-p11.2</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5p</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16q22</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5q12</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16p</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5q14.3</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17p13.3 - região telomérica proximal</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6pter-p23</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Yuan-Harel-Lupski</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6q11-q14</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Potocki-Lupski</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6q24-q25</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Síndrome de deleção 18p</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6q</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18p</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7q</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18q</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Síndrome de deleção 7qter-q32</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18q</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recombinação REC8 (deleção)</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deleção </w:t>
            </w:r>
            <w:r>
              <w:rPr>
                <w:rFonts w:ascii="Times New Roman" w:hAnsi="Times New Roman" w:cs="Times New Roman"/>
                <w:sz w:val="20"/>
                <w:szCs w:val="20"/>
                <w:lang w:val="pt-BR" w:eastAsia="ko-KR"/>
              </w:rPr>
              <w:t>18q proximal</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8p23.1</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Alagille</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8p23.1</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20p</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8p</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Síndrome de deleção 21q11.2-q21.3</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8q22.1</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do Olho de Gato</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recombinação REC8 (duplicação)</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Xp</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Langer-Giedion</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Xp</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8qter-q24.13</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Xq</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9p</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Xq23-qter</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9p</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Xq27.3-q28</w:t>
            </w:r>
          </w:p>
        </w:tc>
        <w:tc>
          <w:tcPr>
            <w:tcW w:w="737" w:type="pct"/>
            <w:vAlign w:val="center"/>
          </w:tcPr>
          <w:p>
            <w:r>
              <w:rPr>
                <w:rFonts w:ascii="Times New Roman" w:hAnsi="Times New Roman" w:cs="Times New Roman"/>
                <w:b/>
                <w:bCs/>
                <w:color w:val="00B050"/>
                <w:sz w:val="18"/>
                <w:szCs w:val="18"/>
                <w:lang w:eastAsia="ko-KR"/>
              </w:rPr>
              <w:t>Sem resultado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10p15.3-p13</w:t>
            </w:r>
          </w:p>
        </w:tc>
        <w:tc>
          <w:tcPr>
            <w:tcW w:w="733" w:type="pct"/>
            <w:vAlign w:val="center"/>
          </w:tcPr>
          <w:p>
            <w:r>
              <w:rPr>
                <w:rFonts w:ascii="Times New Roman" w:hAnsi="Times New Roman" w:cs="Times New Roman"/>
                <w:b/>
                <w:bCs/>
                <w:color w:val="00B050"/>
                <w:sz w:val="18"/>
                <w:szCs w:val="18"/>
                <w:lang w:eastAsia="ko-KR"/>
              </w:rPr>
              <w:t>Sem resultado</w:t>
            </w:r>
          </w:p>
        </w:tc>
        <w:tc>
          <w:tcPr>
            <w:tcW w:w="1683" w:type="pct"/>
            <w:tcBorders>
              <w:bottom w:val="single" w:color="FFFFFF" w:themeColor="background1" w:sz="4" w:space="0"/>
              <w:right w:val="single" w:color="FFFFFF" w:themeColor="background1" w:sz="4" w:space="0"/>
            </w:tcBorders>
            <w:vAlign w:val="center"/>
          </w:tcPr>
          <w:p>
            <w:pPr>
              <w:spacing w:before="9"/>
              <w:jc w:val="center"/>
              <w:rPr>
                <w:rFonts w:ascii="Times New Roman" w:hAnsi="Times New Roman" w:cs="Times New Roman"/>
                <w:sz w:val="20"/>
                <w:szCs w:val="20"/>
                <w:lang w:eastAsia="ko-KR"/>
              </w:rPr>
            </w:pPr>
          </w:p>
        </w:tc>
        <w:tc>
          <w:tcPr>
            <w:tcW w:w="737" w:type="pct"/>
            <w:tcBorders>
              <w:left w:val="single" w:color="FFFFFF" w:themeColor="background1" w:sz="4" w:space="0"/>
              <w:bottom w:val="single" w:color="FFFFFF" w:themeColor="background1" w:sz="4" w:space="0"/>
              <w:right w:val="single" w:color="FFFFFF" w:themeColor="background1" w:sz="4" w:space="0"/>
            </w:tcBorders>
            <w:vAlign w:val="center"/>
          </w:tcPr>
          <w:p>
            <w:pPr>
              <w:spacing w:before="9"/>
              <w:jc w:val="center"/>
              <w:rPr>
                <w:rFonts w:ascii="Times New Roman" w:hAnsi="Times New Roman" w:cs="Times New Roman"/>
                <w:sz w:val="20"/>
                <w:szCs w:val="20"/>
                <w:lang w:eastAsia="ko-KR"/>
              </w:rPr>
            </w:pPr>
          </w:p>
        </w:tc>
      </w:tr>
    </w:tbl>
    <w:p>
      <w:pPr>
        <w:pStyle w:val="13"/>
        <w:spacing w:line="360" w:lineRule="auto"/>
        <w:ind w:left="0" w:right="1135" w:rightChars="516"/>
        <w:jc w:val="both"/>
        <w:rPr>
          <w:rFonts w:ascii="Times New Roman" w:hAnsi="Times New Roman" w:cs="Times New Roman"/>
          <w:color w:val="323031"/>
          <w:spacing w:val="-4"/>
        </w:rPr>
      </w:pPr>
    </w:p>
    <w:p>
      <w:pPr>
        <w:pStyle w:val="13"/>
        <w:spacing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Descrição do teste</w:t>
      </w:r>
    </w:p>
    <w:p>
      <w:pPr>
        <w:spacing w:before="3" w:line="300" w:lineRule="auto"/>
        <w:ind w:left="992" w:right="1135" w:rightChars="516"/>
        <w:jc w:val="both"/>
        <w:rPr>
          <w:rFonts w:ascii="Times New Roman" w:hAnsi="Times New Roman" w:eastAsia="Calibri" w:cs="Times New Roman"/>
          <w:color w:val="58595B"/>
          <w:sz w:val="18"/>
          <w:szCs w:val="18"/>
        </w:rPr>
      </w:pPr>
      <w:bookmarkStart w:id="1" w:name="_Hlk151450101"/>
      <w:r>
        <w:rPr>
          <w:rFonts w:ascii="Times New Roman" w:hAnsi="Times New Roman" w:eastAsia="Calibri" w:cs="Times New Roman"/>
          <w:color w:val="58595B"/>
          <w:sz w:val="18"/>
          <w:szCs w:val="18"/>
        </w:rPr>
        <w:t>Este teste é um método de triagem para detectar anomalias cromossômicas em um feto em desenvolvimento. Este teste fornecerá uma avaliação dos riscos fetais de 4 tipos de aneuploidias dos cromossomos sexuais e 93 tipos de síndromes de microdeleção e microduplicação (MMS) usando um método não invasivo.</w:t>
      </w:r>
    </w:p>
    <w:p>
      <w:pPr>
        <w:widowControl/>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br w:type="page"/>
      </w:r>
    </w:p>
    <w:p>
      <w:pPr>
        <w:spacing w:before="3" w:line="300" w:lineRule="auto"/>
        <w:ind w:left="992" w:right="1135" w:rightChars="516"/>
        <w:jc w:val="both"/>
        <w:rPr>
          <w:rFonts w:ascii="Times New Roman" w:hAnsi="Times New Roman" w:eastAsia="Calibri" w:cs="Times New Roman"/>
          <w:color w:val="58595B"/>
          <w:sz w:val="18"/>
          <w:szCs w:val="18"/>
        </w:rPr>
      </w:pPr>
      <w:bookmarkStart w:id="2" w:name="_GoBack"/>
      <w:r>
        <w:rPr>
          <w:rFonts w:ascii="Arial" w:hAnsi="Arial" w:cs="Arial"/>
        </w:rPr>
        <w:drawing>
          <wp:anchor distT="0" distB="0" distL="114300" distR="114300" simplePos="0" relativeHeight="251677696" behindDoc="0" locked="0" layoutInCell="1" allowOverlap="1">
            <wp:simplePos x="0" y="0"/>
            <wp:positionH relativeFrom="margin">
              <wp:posOffset>5899785</wp:posOffset>
            </wp:positionH>
            <wp:positionV relativeFrom="margin">
              <wp:posOffset>41910</wp:posOffset>
            </wp:positionV>
            <wp:extent cx="1389380" cy="605790"/>
            <wp:effectExtent l="0" t="0" r="1270" b="3810"/>
            <wp:wrapSquare wrapText="bothSides"/>
            <wp:docPr id="378862579"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62579"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bookmarkEnd w:id="2"/>
    </w:p>
    <w:p>
      <w:pPr>
        <w:spacing w:line="360" w:lineRule="auto"/>
        <w:rPr>
          <w:rFonts w:ascii="Times New Roman" w:hAnsi="Times New Roman" w:eastAsia="宋体" w:cs="Times New Roman"/>
          <w:b/>
          <w:color w:val="808080"/>
          <w:sz w:val="18"/>
          <w:szCs w:val="18"/>
          <w:lang w:eastAsia="zh-CN"/>
        </w:rPr>
      </w:pPr>
    </w:p>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mc:AlternateContent>
          <mc:Choice Requires="wps">
            <w:drawing>
              <wp:anchor distT="0" distB="0" distL="114300" distR="114300" simplePos="0" relativeHeight="251674624"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31030593"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74624;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BYAAABkcnMvUEsBAhQAFAAAAAgAh07iQEwEfH7ZAAAA&#10;CAEAAA8AAAAAAAAAAQAgAAAAOAAAAGRycy9kb3ducmV2LnhtbFBLAQIUABQAAAAIAIdO4kCalmMz&#10;zQEAAKADAAAOAAAAAAAAAAEAIAAAAD4BAABkcnMvZTJvRG9jLnhtbFBLBQYAAAAABgAGAFkBAAB9&#10;BQ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6672"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293081351"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76672;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BYAAABkcnMvUEsBAhQAFAAAAAgAh07iQF+RXqbUAAAACAEA&#10;AA8AAAAAAAAAAQAgAAAAOAAAAGRycy9kb3ducmV2LnhtbFBLAQIUABQAAAAIAIdO4kAUr/B9zwEA&#10;AKEDAAAOAAAAAAAAAAEAIAAAADkBAABkcnMvZTJvRG9jLnhtbFBLBQYAAAAABgAGAFkBAAB6BQAA&#10;A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5648"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1575564571"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40832;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WAAAAZHJzL1BLAQIUABQAAAAIAIdO4kDMi08E&#10;1gAAAAgBAAAPAAAAAAAAAAEAIAAAADgAAABkcnMvZG93bnJldi54bWxQSwECFAAUAAAACACHTuJA&#10;MWB909QBAACmAwAADgAAAAAAAAABACAAAAA7AQAAZHJzL2Uyb0RvYy54bWxQSwUGAAAAAAYABgBZ&#10;AQAAgQU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Apeninos, 930 / cj. 123 – Vila Mariana – São Paulo/SP – CEP: 04104-020</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28"/>
          <w:szCs w:val="28"/>
          <w:lang w:eastAsia="zh-CN"/>
        </w:rPr>
      </w:pPr>
      <w:r>
        <w:rPr>
          <w:rFonts w:ascii="Times New Roman" w:hAnsi="Times New Roman" w:eastAsia="宋体" w:cs="Times New Roman"/>
          <w:b/>
          <w:bCs/>
          <w:sz w:val="28"/>
          <w:szCs w:val="28"/>
          <w:lang w:eastAsia="zh-CN"/>
        </w:rPr>
        <w:t>Resultado – NIPT EXPANDIDO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05"/>
        <w:gridCol w:w="2835"/>
        <w:gridCol w:w="1550"/>
        <w:gridCol w:w="2703"/>
      </w:tblGrid>
      <w:tr>
        <w:tc>
          <w:tcPr>
            <w:tcW w:w="240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FFFFF" w:themeFill="background1"/>
          </w:tcPr>
          <w:p>
            <w:pPr>
              <w:spacing w:before="9"/>
              <w:jc w:val="center"/>
              <w:rPr>
                <w:rFonts w:ascii="Times New Roman" w:hAnsi="Times New Roman" w:eastAsia="宋体" w:cs="Times New Roman"/>
                <w:b/>
                <w:bCs/>
                <w:sz w:val="24"/>
                <w:szCs w:val="24"/>
                <w:lang w:eastAsia="zh-CN"/>
              </w:rPr>
            </w:pPr>
          </w:p>
        </w:tc>
        <w:tc>
          <w:tcPr>
            <w:tcW w:w="2835" w:type="dxa"/>
            <w:tcBorders>
              <w:top w:val="single" w:color="FFFFFF" w:themeColor="background1" w:sz="4" w:space="0"/>
              <w:left w:val="single" w:color="FFFFFF" w:themeColor="background1"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before="5" w:line="312" w:lineRule="auto"/>
        <w:ind w:right="1135" w:rightChars="516"/>
        <w:rPr>
          <w:rFonts w:ascii="Times New Roman" w:hAnsi="Times New Roman" w:eastAsia="Calibri" w:cs="Times New Roman"/>
          <w:color w:val="58595B"/>
          <w:sz w:val="18"/>
          <w:szCs w:val="18"/>
        </w:rPr>
      </w:pPr>
    </w:p>
    <w:p>
      <w:pPr>
        <w:pStyle w:val="13"/>
        <w:spacing w:before="0" w:line="300" w:lineRule="auto"/>
        <w:ind w:left="993" w:right="1135" w:rightChars="516"/>
        <w:jc w:val="both"/>
        <w:rPr>
          <w:rFonts w:ascii="Times New Roman" w:hAnsi="Times New Roman" w:cs="Times New Roman"/>
          <w:color w:val="323031"/>
          <w:spacing w:val="1"/>
          <w:w w:val="105"/>
        </w:rPr>
      </w:pPr>
    </w:p>
    <w:p>
      <w:pPr>
        <w:pStyle w:val="13"/>
        <w:spacing w:before="0" w:line="300" w:lineRule="auto"/>
        <w:ind w:left="993" w:right="1135" w:rightChars="516"/>
        <w:jc w:val="both"/>
        <w:rPr>
          <w:rFonts w:ascii="Times New Roman" w:hAnsi="Times New Roman" w:cs="Times New Roman"/>
          <w:color w:val="323031"/>
          <w:w w:val="105"/>
        </w:rPr>
      </w:pPr>
      <w:r>
        <w:rPr>
          <w:rFonts w:ascii="Times New Roman" w:hAnsi="Times New Roman" w:cs="Times New Roman"/>
          <w:color w:val="323031"/>
          <w:spacing w:val="1"/>
          <w:w w:val="105"/>
        </w:rPr>
        <w:t>Responsabilidades</w:t>
      </w:r>
    </w:p>
    <w:p>
      <w:pPr>
        <w:pStyle w:val="14"/>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Este relatório de teste serve apenas como referência para avaliação de risco pré-natal de síndromes CNV e não serve como conclusão final para um diagnóstico. Se o laudo do exame mostrar alto risco, recomenda-se diagnóstico pré-natal adicional, bem como análise cromossômica materna para excluir influência materna. Se o laudo mostrar baixo risco, significa que o feto tem um risco muito baixo de ter as síndromes CNV visadas por este rastreio genético não invasivo. Isso não exclui a possibilidade de outras anomalias cromossômicas além das listadas acima, e exames regulares de ultrassonografia fetal, bem como outros exames pré-natais, que devem ser realizados regularmente.</w:t>
      </w:r>
    </w:p>
    <w:p>
      <w:pPr>
        <w:pStyle w:val="14"/>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Este resultado de teste é apenas para 4 tipos de aneuploidias cromossômicas sexuais fetais, 6 tipos de síndromes de microdeleções maiores que 3Mb e localizadas em segmentos cromossômicos específicos relacionados à síndrome e 87 tipos de microdeleções/microduplicações cromossômicas maiores que 10Mb. Em comparação com a detecção de trissomia 21, trissomia 18 e trissomia 13, a incidência de síndromes de microdeleção/microduplicação na população é extremamente baixa e os dados de referência correspondentes acumulados são limitados. Portanto, a possibilidade de falso positivo ou falso negativo não está absolutamente descartada.</w:t>
      </w:r>
    </w:p>
    <w:p>
      <w:pPr>
        <w:pStyle w:val="14"/>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Este método de testagem não é aplicável a: gestantes com idade gestacional inferior a 12 semanas; gestantes com gêmeos ou mais fetos; um dos cônjuges apresenta determinada anomalia cromossômica; transfusão de sangue alogênico, transplante ou terapia celular alogênica dentro de um ano. Podem afetar a precisão do resultado do teste: Ultrassonografia fetal sugerindo anormalidade estrutural que necessite de diagnóstico pré-natal; histórico familiar de doenças genéticas ou outras situações que sugiram alto risco do feto desenvolver doenças genéticas; tumores malignos durante a gravidez.</w:t>
      </w:r>
    </w:p>
    <w:p>
      <w:pPr>
        <w:pStyle w:val="14"/>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teste é incapaz de detectar anormalidades causadas por: anormalidades estruturais nos cromossomos, como quimerismo e translocação, etc.; poliploidia cromossômica (triploidia, tetraploidia etc.); translocações, inversões e loops de equilíbrio cromossômico; diploidia uniparental (UPD); distúrbios mono/poligênicos; cromossomos com altos níveis de duplicações cromossômicas, e regiões de condensação, como anormalidades cromossômicas na proximidade de cromossomos mitóticos e teloméricos.</w:t>
      </w:r>
    </w:p>
    <w:p>
      <w:pPr>
        <w:pStyle w:val="14"/>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A amostra para este teste é DNA livre de células no sangue periférico de gestantes, provém principalmente de células trofoblásticas da placenta, em vez de células fetais diretas. Tendo em vista as limitações da tecnologia atual de exames médicos e as diferenças individuais entre as gestantes, mesmo quando todos os procedimentos e responsabilidades são devidamente cumpridos, falsos positivos ou falsos negativos ainda podem ocorrer em casos raros.</w:t>
      </w:r>
    </w:p>
    <w:p>
      <w:pPr>
        <w:pStyle w:val="14"/>
        <w:widowControl/>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teste pode ter eficácia reduzida em gestantes com obesidade grave (índice de massa corporal &gt;40) ou naquelas concebidas por fertilização in vitro - transferência de embriões, etc.</w:t>
      </w:r>
    </w:p>
    <w:p>
      <w:pPr>
        <w:pStyle w:val="14"/>
        <w:widowControl/>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A gestante deve fornecer dados pessoais detalhados, precisos, completos e verídicos. Caso o resultado seja impreciso devido a informações incorretas da gestante, estaremos isentos de qualquer responsabilidade.</w:t>
      </w:r>
    </w:p>
    <w:p>
      <w:pPr>
        <w:pStyle w:val="14"/>
        <w:widowControl/>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Manteremos todas as informações fornecidas e os resultados dos testes confidenciais, visando proteger a privacidade do cliente.</w:t>
      </w:r>
      <w:bookmarkEnd w:id="1"/>
    </w:p>
    <w:p>
      <w:pPr>
        <w:pStyle w:val="14"/>
        <w:widowControl/>
        <w:numPr>
          <w:ilvl w:val="0"/>
          <w:numId w:val="2"/>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resultado do teste deste relatório é baseado e responsável apenas pela amostra submetida para testagem.</w:t>
      </w: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宋体" w:cs="Times New Roman"/>
          <w:b/>
          <w:color w:val="808080"/>
          <w:sz w:val="15"/>
          <w:szCs w:val="15"/>
          <w:lang w:eastAsia="zh-CN"/>
        </w:rPr>
      </w:pPr>
    </w:p>
    <w:p/>
    <w:p>
      <w:r>
        <w:rPr>
          <w:rFonts w:ascii="Arial" w:hAnsi="Arial" w:cs="Arial"/>
          <w:color w:val="000000" w:themeColor="text1"/>
          <w:sz w:val="20"/>
          <w:szCs w:val="20"/>
          <w14:textFill>
            <w14:solidFill>
              <w14:schemeClr w14:val="tx1"/>
            </w14:solidFill>
          </w14:textFill>
        </w:rPr>
        <w:drawing>
          <wp:anchor distT="0" distB="0" distL="114300" distR="114300" simplePos="0" relativeHeight="251682816" behindDoc="1" locked="0" layoutInCell="1" allowOverlap="1">
            <wp:simplePos x="0" y="0"/>
            <wp:positionH relativeFrom="margin">
              <wp:posOffset>6661150</wp:posOffset>
            </wp:positionH>
            <wp:positionV relativeFrom="margin">
              <wp:posOffset>9036050</wp:posOffset>
            </wp:positionV>
            <wp:extent cx="287020" cy="567690"/>
            <wp:effectExtent l="0" t="6985" r="0" b="0"/>
            <wp:wrapTight wrapText="bothSides">
              <wp:wrapPolygon>
                <wp:start x="22126" y="266"/>
                <wp:lineTo x="2055" y="266"/>
                <wp:lineTo x="2055" y="20561"/>
                <wp:lineTo x="22126" y="20561"/>
                <wp:lineTo x="22126" y="266"/>
              </wp:wrapPolygon>
            </wp:wrapTight>
            <wp:docPr id="1558866705"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66705" name="Imagem 1" descr="Desenho preto e branco&#10;&#10;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287020" cy="567690"/>
                    </a:xfrm>
                    <a:prstGeom prst="rect">
                      <a:avLst/>
                    </a:prstGeom>
                  </pic:spPr>
                </pic:pic>
              </a:graphicData>
            </a:graphic>
          </wp:anchor>
        </w:drawing>
      </w:r>
    </w:p>
    <w:p>
      <w:r>
        <w:rPr>
          <w:rFonts w:ascii="Times New Roman" w:hAnsi="Times New Roman" w:cs="Times New Roman"/>
          <w:b/>
          <w:sz w:val="13"/>
          <w:szCs w:val="13"/>
          <w:lang w:eastAsia="zh-CN"/>
        </w:rPr>
        <w:drawing>
          <wp:anchor distT="0" distB="0" distL="114300" distR="114300" simplePos="0" relativeHeight="251684864" behindDoc="0" locked="0" layoutInCell="1" allowOverlap="1">
            <wp:simplePos x="0" y="0"/>
            <wp:positionH relativeFrom="column">
              <wp:posOffset>2254250</wp:posOffset>
            </wp:positionH>
            <wp:positionV relativeFrom="paragraph">
              <wp:posOffset>88265</wp:posOffset>
            </wp:positionV>
            <wp:extent cx="901700" cy="297815"/>
            <wp:effectExtent l="0" t="0" r="0" b="6985"/>
            <wp:wrapNone/>
            <wp:docPr id="804592017" name="그림 2" descr="Cart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92017" name="그림 2" descr="Carta&#10;&#10;Descrição gerada automaticamente com confiança média"/>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1700" cy="297815"/>
                    </a:xfrm>
                    <a:prstGeom prst="rect">
                      <a:avLst/>
                    </a:prstGeom>
                    <a:noFill/>
                    <a:ln w="9525">
                      <a:noFill/>
                      <a:miter lim="800000"/>
                      <a:headEnd/>
                      <a:tailEnd/>
                    </a:ln>
                  </pic:spPr>
                </pic:pic>
              </a:graphicData>
            </a:graphic>
          </wp:anchor>
        </w:drawing>
      </w:r>
      <w:r>
        <w:rPr>
          <w:rFonts w:ascii="Times New Roman" w:hAnsi="Times New Roman" w:cs="Times New Roman"/>
          <w:b/>
          <w:sz w:val="13"/>
          <w:szCs w:val="13"/>
          <w:lang w:eastAsia="zh-CN"/>
        </w:rPr>
        <w:drawing>
          <wp:anchor distT="0" distB="0" distL="114300" distR="114300" simplePos="0" relativeHeight="251681792" behindDoc="0" locked="0" layoutInCell="1" allowOverlap="1">
            <wp:simplePos x="0" y="0"/>
            <wp:positionH relativeFrom="column">
              <wp:posOffset>4972050</wp:posOffset>
            </wp:positionH>
            <wp:positionV relativeFrom="paragraph">
              <wp:posOffset>93980</wp:posOffset>
            </wp:positionV>
            <wp:extent cx="808355" cy="292100"/>
            <wp:effectExtent l="0" t="0" r="0" b="0"/>
            <wp:wrapNone/>
            <wp:docPr id="2704786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7867" name="그림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08355" cy="292100"/>
                    </a:xfrm>
                    <a:prstGeom prst="rect">
                      <a:avLst/>
                    </a:prstGeom>
                    <a:noFill/>
                    <a:ln w="9525">
                      <a:noFill/>
                      <a:miter lim="800000"/>
                      <a:headEnd/>
                      <a:tailEnd/>
                    </a:ln>
                  </pic:spPr>
                </pic:pic>
              </a:graphicData>
            </a:graphic>
          </wp:anchor>
        </w:drawing>
      </w:r>
      <w:r>
        <w:rPr>
          <w:rFonts w:ascii="Arial" w:hAnsi="Arial" w:cs="Arial"/>
          <w:color w:val="000000" w:themeColor="text1"/>
          <w:sz w:val="18"/>
          <w:szCs w:val="18"/>
          <w:lang w:eastAsia="zh-CN"/>
          <w14:textFill>
            <w14:solidFill>
              <w14:schemeClr w14:val="tx1"/>
            </w14:solidFill>
          </w14:textFill>
        </w:rPr>
        <w:drawing>
          <wp:anchor distT="0" distB="0" distL="114300" distR="114300" simplePos="0" relativeHeight="251683840" behindDoc="0" locked="0" layoutInCell="1" allowOverlap="1">
            <wp:simplePos x="0" y="0"/>
            <wp:positionH relativeFrom="margin">
              <wp:posOffset>6663690</wp:posOffset>
            </wp:positionH>
            <wp:positionV relativeFrom="margin">
              <wp:posOffset>9351010</wp:posOffset>
            </wp:positionV>
            <wp:extent cx="305435" cy="385445"/>
            <wp:effectExtent l="0" t="1905" r="0" b="0"/>
            <wp:wrapSquare wrapText="bothSides"/>
            <wp:docPr id="1441650100"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50100" name="Imagem 1" descr="Desenho preto e branco&#10;&#10;Descrição gerada automaticamente com confiança média"/>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05435" cy="385445"/>
                    </a:xfrm>
                    <a:prstGeom prst="rect">
                      <a:avLst/>
                    </a:prstGeom>
                  </pic:spPr>
                </pic:pic>
              </a:graphicData>
            </a:graphic>
          </wp:anchor>
        </w:drawing>
      </w:r>
    </w:p>
    <w:p>
      <w:pPr>
        <w:spacing w:before="5" w:line="300" w:lineRule="auto"/>
        <w:ind w:left="1134" w:right="1135" w:rightChars="516" w:firstLine="142"/>
        <w:jc w:val="both"/>
        <w:rPr>
          <w:rFonts w:ascii="Times New Roman" w:hAnsi="Times New Roman" w:cs="Times New Roman"/>
          <w:b/>
          <w:color w:val="333333"/>
          <w:sz w:val="21"/>
          <w:szCs w:val="21"/>
          <w:lang w:eastAsia="zh-CN"/>
        </w:rPr>
      </w:pPr>
      <w:r>
        <w:rPr>
          <w:rFonts w:ascii="Times New Roman" w:hAnsi="Times New Roman" w:cs="Times New Roman"/>
          <w:b/>
          <w:color w:val="333333"/>
          <w:sz w:val="21"/>
          <w:szCs w:val="21"/>
          <w:lang w:eastAsia="zh-CN"/>
        </w:rPr>
        <w:t xml:space="preserve">            Manipulado por:                                                                   Auditor: </w:t>
      </w:r>
    </w:p>
    <w:p>
      <w:pPr>
        <w:spacing w:before="5" w:line="300" w:lineRule="auto"/>
        <w:ind w:left="1134" w:right="1135" w:rightChars="516" w:firstLine="142"/>
        <w:jc w:val="both"/>
        <w:rPr>
          <w:rFonts w:ascii="Times New Roman" w:hAnsi="Times New Roman" w:cs="Times New Roman"/>
          <w:b/>
          <w:color w:val="333333"/>
          <w:sz w:val="20"/>
          <w:szCs w:val="20"/>
          <w:lang w:eastAsia="zh-CN"/>
        </w:rPr>
      </w:pPr>
    </w:p>
    <w:p>
      <w:pPr>
        <w:spacing w:before="5" w:line="300" w:lineRule="auto"/>
        <w:ind w:left="1134" w:right="1135" w:rightChars="516" w:firstLine="142"/>
        <w:jc w:val="right"/>
        <w:rPr>
          <w:rFonts w:ascii="Times New Roman" w:hAnsi="Times New Roman" w:cs="Times New Roman"/>
          <w:bCs/>
          <w:color w:val="333333"/>
          <w:sz w:val="20"/>
          <w:szCs w:val="20"/>
          <w:lang w:eastAsia="zh-CN"/>
        </w:rPr>
      </w:pPr>
      <w:r>
        <w:rPr>
          <w:rFonts w:ascii="Times New Roman" w:hAnsi="Times New Roman" w:cs="Times New Roman"/>
          <w:b/>
          <w:color w:val="333333"/>
          <w:sz w:val="20"/>
          <w:szCs w:val="20"/>
          <w:lang w:eastAsia="zh-CN"/>
        </w:rPr>
        <w:t xml:space="preserve">Revisado e liberado por: </w:t>
      </w:r>
      <w:r>
        <w:rPr>
          <w:rFonts w:ascii="Times New Roman" w:hAnsi="Times New Roman" w:cs="Times New Roman"/>
          <w:bCs/>
          <w:color w:val="333333"/>
          <w:sz w:val="20"/>
          <w:szCs w:val="20"/>
          <w:lang w:eastAsia="zh-CN"/>
        </w:rPr>
        <w:t>Natália Agnes Almeida Viana – CRBM-SP: 37899</w:t>
      </w:r>
    </w:p>
    <w:p>
      <w:pPr>
        <w:spacing w:before="5" w:line="300" w:lineRule="auto"/>
        <w:ind w:left="1134" w:right="1135" w:rightChars="516" w:firstLine="142"/>
        <w:jc w:val="right"/>
        <w:rPr>
          <w:rFonts w:ascii="Times New Roman" w:hAnsi="Times New Roman" w:cs="Times New Roman"/>
          <w:b/>
          <w:color w:val="333333"/>
          <w:sz w:val="4"/>
          <w:szCs w:val="4"/>
          <w:lang w:eastAsia="zh-CN"/>
        </w:rPr>
      </w:pPr>
    </w:p>
    <w:p>
      <w:pPr>
        <w:spacing w:before="5" w:line="300" w:lineRule="auto"/>
        <w:ind w:left="1134" w:right="1135" w:rightChars="516" w:firstLine="142"/>
        <w:jc w:val="right"/>
        <w:rPr>
          <w:rFonts w:ascii="Times New Roman" w:hAnsi="Times New Roman" w:cs="Times New Roman"/>
          <w:b/>
          <w:color w:val="333333"/>
          <w:sz w:val="20"/>
          <w:szCs w:val="20"/>
          <w:lang w:eastAsia="zh-CN"/>
        </w:rPr>
      </w:pP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Olívia Costa Medeiros – CRBio-SP:</w:t>
      </w: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 xml:space="preserve">127577 </w:t>
      </w:r>
    </w:p>
    <w:p>
      <w:pPr>
        <w:spacing w:before="5" w:line="300" w:lineRule="auto"/>
        <w:ind w:left="1134" w:right="1135" w:rightChars="516" w:firstLine="142"/>
        <w:jc w:val="right"/>
        <w:rPr>
          <w:rFonts w:ascii="Times New Roman" w:hAnsi="Times New Roman" w:cs="Times New Roman"/>
          <w:b/>
          <w:color w:val="333333"/>
          <w:sz w:val="20"/>
          <w:szCs w:val="20"/>
          <w:lang w:eastAsia="zh-CN"/>
        </w:rPr>
      </w:pPr>
    </w:p>
    <w:p>
      <w:pPr>
        <w:spacing w:before="5" w:line="300" w:lineRule="auto"/>
        <w:ind w:left="1134" w:right="1135" w:rightChars="516" w:firstLine="142"/>
        <w:jc w:val="right"/>
        <w:rPr>
          <w:rFonts w:ascii="Times New Roman" w:hAnsi="Times New Roman" w:cs="Times New Roman"/>
          <w:bCs/>
          <w:color w:val="333333"/>
          <w:sz w:val="14"/>
          <w:szCs w:val="14"/>
          <w:lang w:eastAsia="zh-CN"/>
        </w:rPr>
      </w:pPr>
      <w:r>
        <w:rPr>
          <w:rFonts w:ascii="Times New Roman" w:hAnsi="Times New Roman" w:cs="Times New Roman"/>
          <w:b/>
          <w:color w:val="333333"/>
          <w:sz w:val="18"/>
          <w:szCs w:val="18"/>
          <w:lang w:eastAsia="zh-CN"/>
        </w:rPr>
        <w:t xml:space="preserve">Responsável Técnica: </w:t>
      </w:r>
      <w:r>
        <w:rPr>
          <w:rFonts w:ascii="Times New Roman" w:hAnsi="Times New Roman" w:cs="Times New Roman"/>
          <w:bCs/>
          <w:color w:val="333333"/>
          <w:sz w:val="18"/>
          <w:szCs w:val="18"/>
          <w:lang w:eastAsia="zh-CN"/>
        </w:rPr>
        <w:t xml:space="preserve">Natália Agnes Almeida Viana | CRBM-SP: 37899                       </w:t>
      </w:r>
      <w:r>
        <w:rPr>
          <w:rFonts w:ascii="Times New Roman" w:hAnsi="Times New Roman" w:cs="Times New Roman"/>
          <w:b/>
          <w:color w:val="333333"/>
          <w:sz w:val="18"/>
          <w:szCs w:val="18"/>
          <w:lang w:eastAsia="zh-CN"/>
        </w:rPr>
        <w:t xml:space="preserve">Data de Liberação do Laudo: </w:t>
      </w:r>
      <w:r>
        <w:rPr>
          <w:rFonts w:ascii="Times New Roman" w:hAnsi="Times New Roman" w:cs="Times New Roman"/>
          <w:b/>
          <w:color w:val="333333"/>
          <w:sz w:val="18"/>
          <w:szCs w:val="18"/>
          <w:u w:val="single"/>
          <w:lang w:eastAsia="zh-CN"/>
        </w:rPr>
        <w:t>{{ Report_Date }}</w:t>
      </w:r>
    </w:p>
    <w:p>
      <w:pPr>
        <w:spacing w:before="5" w:line="300" w:lineRule="auto"/>
        <w:ind w:left="1134" w:right="1135" w:rightChars="516" w:firstLine="142"/>
        <w:jc w:val="right"/>
        <w:rPr>
          <w:rFonts w:ascii="Times New Roman" w:hAnsi="Times New Roman" w:cs="Times New Roman"/>
          <w:b/>
          <w:color w:val="808080"/>
          <w:spacing w:val="-2"/>
          <w:sz w:val="16"/>
          <w:szCs w:val="16"/>
        </w:rPr>
      </w:pP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78720" behindDoc="0" locked="0" layoutInCell="1" allowOverlap="1">
                <wp:simplePos x="0" y="0"/>
                <wp:positionH relativeFrom="margin">
                  <wp:posOffset>6350</wp:posOffset>
                </wp:positionH>
                <wp:positionV relativeFrom="margin">
                  <wp:posOffset>10111740</wp:posOffset>
                </wp:positionV>
                <wp:extent cx="7560310" cy="117475"/>
                <wp:effectExtent l="0" t="0" r="21590" b="15875"/>
                <wp:wrapNone/>
                <wp:docPr id="959429724"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01676719"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238CAD"/>
                          </a:solidFill>
                          <a:ln>
                            <a:solidFill>
                              <a:srgbClr val="238CAD"/>
                            </a:solid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6.2pt;height:9.25pt;width:595.3pt;mso-position-horizontal-relative:margin;mso-position-vertical-relative:margin;z-index:251678720;mso-width-relative:page;mso-height-relative:page;" coordorigin="-30,16347" coordsize="11906,174" o:gfxdata="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">
                <o:lock v:ext="edit" aspectratio="f"/>
                <v:shape id="Freeform 46" o:spid="_x0000_s1026" o:spt="100" style="position:absolute;left:-30;top:16347;height:174;width:11906;" fillcolor="#238CAD" filled="t" stroked="t" coordsize="11906,324" o:gfxdata="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PfgCPbBAAAA4wAAAA8AAAAAAAAAAQAgAAAAOAAAAGRycy9kb3du&#10;cmV2LnhtbFBLAQIUABQAAAAIAIdO4kAzLwWeOwAAADkAAAAQAAAAAAAAAAEAIAAAACYBAABkcnMv&#10;c2hhcGV4bWwueG1sUEsFBgAAAAAGAAYAWwEAANADAAAAAA==&#10;" path="m0,0l11906,0,11906,324,0,324,0,0xe">
                  <v:path o:connectlocs="0,8868;11906,8868;11906,9042;0,9042;0,8868" o:connectangles="0,0,0,0,0"/>
                  <v:fill on="t" focussize="0,0"/>
                  <v:stroke color="#238CAD" joinstyle="round"/>
                  <v:imagedata o:title=""/>
                  <o:lock v:ext="edit" aspectratio="f"/>
                </v:shape>
              </v:group>
            </w:pict>
          </mc:Fallback>
        </mc:AlternateContent>
      </w:r>
      <w:bookmarkEnd w:id="0"/>
    </w:p>
    <w:sectPr>
      <w:type w:val="continuous"/>
      <w:pgSz w:w="11910" w:h="16840"/>
      <w:pgMar w:top="70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lgun Gothic">
    <w:altName w:val="Apple SD Gothic Neo"/>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Trebuchet MS">
    <w:panose1 w:val="020B0703020202090204"/>
    <w:charset w:val="00"/>
    <w:family w:val="swiss"/>
    <w:pitch w:val="default"/>
    <w:sig w:usb0="00000287" w:usb1="00000000" w:usb2="00000000" w:usb3="00000000" w:csb0="2000009F" w:csb1="00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F33E1"/>
    <w:multiLevelType w:val="multilevel"/>
    <w:tmpl w:val="064F33E1"/>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abstractNum w:abstractNumId="1">
    <w:nsid w:val="5B953850"/>
    <w:multiLevelType w:val="multilevel"/>
    <w:tmpl w:val="5B953850"/>
    <w:lvl w:ilvl="0" w:tentative="0">
      <w:start w:val="1"/>
      <w:numFmt w:val="decimal"/>
      <w:lvlText w:val="%1."/>
      <w:lvlJc w:val="left"/>
      <w:pPr>
        <w:ind w:left="1792" w:hanging="400"/>
      </w:pPr>
      <w:rPr>
        <w:b w:val="0"/>
        <w:bCs w:val="0"/>
        <w:sz w:val="18"/>
        <w:szCs w:val="18"/>
      </w:r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doNotDisplayPageBoundaries w:val="1"/>
  <w:bordersDoNotSurroundHeader w:val="1"/>
  <w:bordersDoNotSurroundFooter w:val="1"/>
  <w:hideSpellingErrors/>
  <w:hideGrammaticalErrors/>
  <w:documentProtection w:enforcement="0"/>
  <w:defaultTabStop w:val="720"/>
  <w:hyphenationZone w:val="425"/>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hjM2FiMDEyYjUxZDZkNmYzOGI4NDQ5N2EyM2ZkOGUifQ=="/>
  </w:docVars>
  <w:rsids>
    <w:rsidRoot w:val="001900F2"/>
    <w:rsid w:val="00010F30"/>
    <w:rsid w:val="0001217C"/>
    <w:rsid w:val="000149FC"/>
    <w:rsid w:val="00020912"/>
    <w:rsid w:val="00024022"/>
    <w:rsid w:val="00041B1A"/>
    <w:rsid w:val="00055358"/>
    <w:rsid w:val="000663EA"/>
    <w:rsid w:val="0007065F"/>
    <w:rsid w:val="000756B2"/>
    <w:rsid w:val="00084CC9"/>
    <w:rsid w:val="000A0A38"/>
    <w:rsid w:val="000A7EC2"/>
    <w:rsid w:val="000B2C14"/>
    <w:rsid w:val="000B3CFA"/>
    <w:rsid w:val="000C4EA9"/>
    <w:rsid w:val="000D0E53"/>
    <w:rsid w:val="000E1591"/>
    <w:rsid w:val="000E336A"/>
    <w:rsid w:val="000E5A84"/>
    <w:rsid w:val="000F174F"/>
    <w:rsid w:val="0011079D"/>
    <w:rsid w:val="00160A82"/>
    <w:rsid w:val="00162BDC"/>
    <w:rsid w:val="0016359C"/>
    <w:rsid w:val="001735B7"/>
    <w:rsid w:val="001771BE"/>
    <w:rsid w:val="001900F2"/>
    <w:rsid w:val="00190961"/>
    <w:rsid w:val="001945B6"/>
    <w:rsid w:val="00195134"/>
    <w:rsid w:val="001B3598"/>
    <w:rsid w:val="001B3E33"/>
    <w:rsid w:val="001C5627"/>
    <w:rsid w:val="001D0118"/>
    <w:rsid w:val="001D0A8C"/>
    <w:rsid w:val="001D5024"/>
    <w:rsid w:val="001F508E"/>
    <w:rsid w:val="00201372"/>
    <w:rsid w:val="00225856"/>
    <w:rsid w:val="00233CBB"/>
    <w:rsid w:val="00244E8E"/>
    <w:rsid w:val="002655D9"/>
    <w:rsid w:val="00282E0B"/>
    <w:rsid w:val="00287BCC"/>
    <w:rsid w:val="0029221B"/>
    <w:rsid w:val="002B4EED"/>
    <w:rsid w:val="002B6D3C"/>
    <w:rsid w:val="002C0E51"/>
    <w:rsid w:val="002C2A79"/>
    <w:rsid w:val="002F03E8"/>
    <w:rsid w:val="003019B0"/>
    <w:rsid w:val="003076F5"/>
    <w:rsid w:val="00310C5F"/>
    <w:rsid w:val="00311C0F"/>
    <w:rsid w:val="00324B2C"/>
    <w:rsid w:val="003271A3"/>
    <w:rsid w:val="00330FE1"/>
    <w:rsid w:val="00374488"/>
    <w:rsid w:val="00380E4F"/>
    <w:rsid w:val="003C3416"/>
    <w:rsid w:val="003E407D"/>
    <w:rsid w:val="003E5422"/>
    <w:rsid w:val="003F2C59"/>
    <w:rsid w:val="003F563F"/>
    <w:rsid w:val="004019F1"/>
    <w:rsid w:val="00402F3B"/>
    <w:rsid w:val="00411170"/>
    <w:rsid w:val="004227B0"/>
    <w:rsid w:val="00425F00"/>
    <w:rsid w:val="00432E4F"/>
    <w:rsid w:val="0044158B"/>
    <w:rsid w:val="00444495"/>
    <w:rsid w:val="004470FD"/>
    <w:rsid w:val="00464E2F"/>
    <w:rsid w:val="00465967"/>
    <w:rsid w:val="00480195"/>
    <w:rsid w:val="004A1279"/>
    <w:rsid w:val="004A411D"/>
    <w:rsid w:val="004A4486"/>
    <w:rsid w:val="004B1463"/>
    <w:rsid w:val="004D5F0E"/>
    <w:rsid w:val="004E31E9"/>
    <w:rsid w:val="004E7EA8"/>
    <w:rsid w:val="004F2E6D"/>
    <w:rsid w:val="00500330"/>
    <w:rsid w:val="005019DE"/>
    <w:rsid w:val="00517692"/>
    <w:rsid w:val="0052597F"/>
    <w:rsid w:val="00541E80"/>
    <w:rsid w:val="005454CE"/>
    <w:rsid w:val="005557DC"/>
    <w:rsid w:val="00567449"/>
    <w:rsid w:val="005753B0"/>
    <w:rsid w:val="00587872"/>
    <w:rsid w:val="005A4213"/>
    <w:rsid w:val="005D4E4D"/>
    <w:rsid w:val="005E47CA"/>
    <w:rsid w:val="0060252D"/>
    <w:rsid w:val="00627FA9"/>
    <w:rsid w:val="0064037E"/>
    <w:rsid w:val="006564D4"/>
    <w:rsid w:val="00660016"/>
    <w:rsid w:val="00687B14"/>
    <w:rsid w:val="006A32F4"/>
    <w:rsid w:val="006B0A0C"/>
    <w:rsid w:val="006B6547"/>
    <w:rsid w:val="006C01D7"/>
    <w:rsid w:val="006D0BAB"/>
    <w:rsid w:val="006D4747"/>
    <w:rsid w:val="00722CB8"/>
    <w:rsid w:val="007510DB"/>
    <w:rsid w:val="00751549"/>
    <w:rsid w:val="00770391"/>
    <w:rsid w:val="00771395"/>
    <w:rsid w:val="00771E9D"/>
    <w:rsid w:val="0077664D"/>
    <w:rsid w:val="00776961"/>
    <w:rsid w:val="00791223"/>
    <w:rsid w:val="007B69F1"/>
    <w:rsid w:val="007C01DB"/>
    <w:rsid w:val="007C53F7"/>
    <w:rsid w:val="007D44FB"/>
    <w:rsid w:val="007E30CE"/>
    <w:rsid w:val="00832521"/>
    <w:rsid w:val="00855BD9"/>
    <w:rsid w:val="008571FB"/>
    <w:rsid w:val="00871CED"/>
    <w:rsid w:val="008A504F"/>
    <w:rsid w:val="008C6CA6"/>
    <w:rsid w:val="008C7D20"/>
    <w:rsid w:val="008D5622"/>
    <w:rsid w:val="008E5D42"/>
    <w:rsid w:val="00905819"/>
    <w:rsid w:val="00910736"/>
    <w:rsid w:val="009206DC"/>
    <w:rsid w:val="00921E76"/>
    <w:rsid w:val="009227EB"/>
    <w:rsid w:val="00922CFC"/>
    <w:rsid w:val="00922F4C"/>
    <w:rsid w:val="00923CA2"/>
    <w:rsid w:val="0093317F"/>
    <w:rsid w:val="0094197B"/>
    <w:rsid w:val="009503B0"/>
    <w:rsid w:val="00951076"/>
    <w:rsid w:val="0096621C"/>
    <w:rsid w:val="00970C5E"/>
    <w:rsid w:val="009778C4"/>
    <w:rsid w:val="00981386"/>
    <w:rsid w:val="00992710"/>
    <w:rsid w:val="009A33C1"/>
    <w:rsid w:val="009B7794"/>
    <w:rsid w:val="009C6394"/>
    <w:rsid w:val="009C75A8"/>
    <w:rsid w:val="009D47B7"/>
    <w:rsid w:val="009D623A"/>
    <w:rsid w:val="009E63A4"/>
    <w:rsid w:val="00A109B8"/>
    <w:rsid w:val="00A14D26"/>
    <w:rsid w:val="00A27562"/>
    <w:rsid w:val="00A56841"/>
    <w:rsid w:val="00A73472"/>
    <w:rsid w:val="00A81729"/>
    <w:rsid w:val="00A90B6E"/>
    <w:rsid w:val="00AA2E3D"/>
    <w:rsid w:val="00AA482B"/>
    <w:rsid w:val="00AA602E"/>
    <w:rsid w:val="00AB7633"/>
    <w:rsid w:val="00AB7BE9"/>
    <w:rsid w:val="00AD1675"/>
    <w:rsid w:val="00AD3265"/>
    <w:rsid w:val="00AD7891"/>
    <w:rsid w:val="00AE1B87"/>
    <w:rsid w:val="00AF0444"/>
    <w:rsid w:val="00AF08E9"/>
    <w:rsid w:val="00AF2252"/>
    <w:rsid w:val="00B05DC8"/>
    <w:rsid w:val="00B0799A"/>
    <w:rsid w:val="00B21E82"/>
    <w:rsid w:val="00B408F7"/>
    <w:rsid w:val="00B54699"/>
    <w:rsid w:val="00B7197E"/>
    <w:rsid w:val="00BA59D8"/>
    <w:rsid w:val="00BB2220"/>
    <w:rsid w:val="00BB35D5"/>
    <w:rsid w:val="00BB401E"/>
    <w:rsid w:val="00BB4C37"/>
    <w:rsid w:val="00BF378B"/>
    <w:rsid w:val="00C04A26"/>
    <w:rsid w:val="00C206EB"/>
    <w:rsid w:val="00C40A0E"/>
    <w:rsid w:val="00C41606"/>
    <w:rsid w:val="00C467EC"/>
    <w:rsid w:val="00C51023"/>
    <w:rsid w:val="00C529A2"/>
    <w:rsid w:val="00C65419"/>
    <w:rsid w:val="00C65928"/>
    <w:rsid w:val="00C94FB6"/>
    <w:rsid w:val="00CC3CCB"/>
    <w:rsid w:val="00CD3D1B"/>
    <w:rsid w:val="00CD3DF4"/>
    <w:rsid w:val="00CD6D55"/>
    <w:rsid w:val="00CE4F78"/>
    <w:rsid w:val="00CF39B3"/>
    <w:rsid w:val="00CF78A6"/>
    <w:rsid w:val="00D14C4B"/>
    <w:rsid w:val="00D400A0"/>
    <w:rsid w:val="00D42613"/>
    <w:rsid w:val="00D4349A"/>
    <w:rsid w:val="00D462F7"/>
    <w:rsid w:val="00D50E04"/>
    <w:rsid w:val="00D607F3"/>
    <w:rsid w:val="00D63EC6"/>
    <w:rsid w:val="00D64F76"/>
    <w:rsid w:val="00D81221"/>
    <w:rsid w:val="00D86A3D"/>
    <w:rsid w:val="00D964BB"/>
    <w:rsid w:val="00DA6FAF"/>
    <w:rsid w:val="00DB1F91"/>
    <w:rsid w:val="00DB680F"/>
    <w:rsid w:val="00DC76FE"/>
    <w:rsid w:val="00DD059A"/>
    <w:rsid w:val="00DE4B05"/>
    <w:rsid w:val="00DE772E"/>
    <w:rsid w:val="00DE7EBB"/>
    <w:rsid w:val="00E01FA5"/>
    <w:rsid w:val="00E02F43"/>
    <w:rsid w:val="00E15118"/>
    <w:rsid w:val="00E163B6"/>
    <w:rsid w:val="00E16CBE"/>
    <w:rsid w:val="00E23E73"/>
    <w:rsid w:val="00E3458B"/>
    <w:rsid w:val="00E352AA"/>
    <w:rsid w:val="00E43A63"/>
    <w:rsid w:val="00E445FD"/>
    <w:rsid w:val="00E53520"/>
    <w:rsid w:val="00E60A32"/>
    <w:rsid w:val="00E768D0"/>
    <w:rsid w:val="00E90C07"/>
    <w:rsid w:val="00E97C20"/>
    <w:rsid w:val="00EE37BA"/>
    <w:rsid w:val="00EF7FF0"/>
    <w:rsid w:val="00F121EF"/>
    <w:rsid w:val="00F317F3"/>
    <w:rsid w:val="00F36BEF"/>
    <w:rsid w:val="00F42890"/>
    <w:rsid w:val="00F60164"/>
    <w:rsid w:val="00F7109F"/>
    <w:rsid w:val="00F77397"/>
    <w:rsid w:val="00F91E74"/>
    <w:rsid w:val="00F950E4"/>
    <w:rsid w:val="00FB715F"/>
    <w:rsid w:val="00FC6F9A"/>
    <w:rsid w:val="00FF2485"/>
    <w:rsid w:val="0A175E4C"/>
    <w:rsid w:val="11C81EC6"/>
    <w:rsid w:val="14F967A1"/>
    <w:rsid w:val="185741C0"/>
    <w:rsid w:val="2A7926AF"/>
    <w:rsid w:val="307249EE"/>
    <w:rsid w:val="30F37206"/>
    <w:rsid w:val="34BC3FE8"/>
    <w:rsid w:val="36315D3A"/>
    <w:rsid w:val="39343BA3"/>
    <w:rsid w:val="452F0355"/>
    <w:rsid w:val="62467BC8"/>
    <w:rsid w:val="63FD7432"/>
    <w:rsid w:val="646041C8"/>
    <w:rsid w:val="65683C35"/>
    <w:rsid w:val="72506A00"/>
    <w:rsid w:val="75CB017D"/>
    <w:rsid w:val="761E1F9A"/>
    <w:rsid w:val="76FE5D17"/>
    <w:rsid w:val="7C116941"/>
    <w:rsid w:val="7CD82038"/>
    <w:rsid w:val="DFFF19D8"/>
    <w:rsid w:val="EAEFF8A8"/>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Theme="minorHAnsi" w:hAnsiTheme="minorHAnsi" w:eastAsiaTheme="minorEastAsia" w:cstheme="minorBidi"/>
      <w:sz w:val="22"/>
      <w:szCs w:val="22"/>
      <w:lang w:val="en-US" w:eastAsia="en-US"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pPr>
      <w:ind w:left="1358"/>
    </w:pPr>
    <w:rPr>
      <w:rFonts w:ascii="Calibri" w:hAnsi="Calibri" w:eastAsia="Calibri"/>
      <w:sz w:val="18"/>
      <w:szCs w:val="18"/>
    </w:rPr>
  </w:style>
  <w:style w:type="paragraph" w:styleId="3">
    <w:name w:val="Balloon Text"/>
    <w:basedOn w:val="1"/>
    <w:link w:val="18"/>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7"/>
    <w:unhideWhenUsed/>
    <w:qFormat/>
    <w:uiPriority w:val="99"/>
    <w:pPr>
      <w:tabs>
        <w:tab w:val="center" w:pos="4513"/>
        <w:tab w:val="right" w:pos="9026"/>
      </w:tabs>
      <w:snapToGrid w:val="0"/>
    </w:pPr>
  </w:style>
  <w:style w:type="paragraph" w:styleId="5">
    <w:name w:val="header"/>
    <w:basedOn w:val="1"/>
    <w:link w:val="16"/>
    <w:unhideWhenUsed/>
    <w:qFormat/>
    <w:uiPriority w:val="99"/>
    <w:pPr>
      <w:tabs>
        <w:tab w:val="center" w:pos="4513"/>
        <w:tab w:val="right" w:pos="9026"/>
      </w:tabs>
      <w:snapToGrid w:val="0"/>
    </w:pPr>
  </w:style>
  <w:style w:type="paragraph" w:styleId="6">
    <w:name w:val="Normal (Web)"/>
    <w:basedOn w:val="1"/>
    <w:unhideWhenUsed/>
    <w:qFormat/>
    <w:uiPriority w:val="99"/>
    <w:pPr>
      <w:widowControl/>
      <w:spacing w:before="100" w:beforeAutospacing="1" w:after="100" w:afterAutospacing="1"/>
    </w:pPr>
    <w:rPr>
      <w:rFonts w:ascii="宋体" w:hAnsi="宋体" w:eastAsia="宋体" w:cs="宋体"/>
      <w:sz w:val="24"/>
      <w:szCs w:val="24"/>
      <w:lang w:eastAsia="zh-CN"/>
    </w:rPr>
  </w:style>
  <w:style w:type="table" w:styleId="8">
    <w:name w:val="Table Grid"/>
    <w:basedOn w:val="7"/>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name w:val="Emphasis"/>
    <w:basedOn w:val="9"/>
    <w:autoRedefine/>
    <w:qFormat/>
    <w:uiPriority w:val="20"/>
  </w:style>
  <w:style w:type="character" w:styleId="11">
    <w:name w:val="Hyperlink"/>
    <w:basedOn w:val="9"/>
    <w:autoRedefine/>
    <w:unhideWhenUsed/>
    <w:qFormat/>
    <w:uiPriority w:val="99"/>
    <w:rPr>
      <w:color w:val="0000FF" w:themeColor="hyperlink"/>
      <w:u w:val="single"/>
      <w14:textFill>
        <w14:solidFill>
          <w14:schemeClr w14:val="hlink"/>
        </w14:solidFill>
      </w14:textFill>
    </w:rPr>
  </w:style>
  <w:style w:type="table" w:customStyle="1" w:styleId="12">
    <w:name w:val="Table Normal"/>
    <w:autoRedefine/>
    <w:semiHidden/>
    <w:unhideWhenUsed/>
    <w:qFormat/>
    <w:uiPriority w:val="2"/>
    <w:tblPr>
      <w:tblCellMar>
        <w:top w:w="0" w:type="dxa"/>
        <w:left w:w="0" w:type="dxa"/>
        <w:bottom w:w="0" w:type="dxa"/>
        <w:right w:w="0" w:type="dxa"/>
      </w:tblCellMar>
    </w:tblPr>
  </w:style>
  <w:style w:type="paragraph" w:customStyle="1" w:styleId="13">
    <w:name w:val="제목 11"/>
    <w:basedOn w:val="1"/>
    <w:autoRedefine/>
    <w:qFormat/>
    <w:uiPriority w:val="1"/>
    <w:pPr>
      <w:spacing w:before="55"/>
      <w:ind w:left="1246"/>
      <w:outlineLvl w:val="1"/>
    </w:pPr>
    <w:rPr>
      <w:rFonts w:ascii="Trebuchet MS" w:hAnsi="Trebuchet MS" w:eastAsia="Trebuchet MS"/>
      <w:b/>
      <w:bCs/>
      <w:sz w:val="20"/>
      <w:szCs w:val="20"/>
    </w:rPr>
  </w:style>
  <w:style w:type="paragraph" w:styleId="14">
    <w:name w:val="List Paragraph"/>
    <w:basedOn w:val="1"/>
    <w:autoRedefine/>
    <w:qFormat/>
    <w:uiPriority w:val="34"/>
  </w:style>
  <w:style w:type="paragraph" w:customStyle="1" w:styleId="15">
    <w:name w:val="Table Paragraph"/>
    <w:basedOn w:val="1"/>
    <w:autoRedefine/>
    <w:qFormat/>
    <w:uiPriority w:val="1"/>
  </w:style>
  <w:style w:type="character" w:customStyle="1" w:styleId="16">
    <w:name w:val="页眉 字符"/>
    <w:basedOn w:val="9"/>
    <w:link w:val="5"/>
    <w:autoRedefine/>
    <w:qFormat/>
    <w:uiPriority w:val="99"/>
  </w:style>
  <w:style w:type="character" w:customStyle="1" w:styleId="17">
    <w:name w:val="页脚 字符"/>
    <w:basedOn w:val="9"/>
    <w:link w:val="4"/>
    <w:autoRedefine/>
    <w:qFormat/>
    <w:uiPriority w:val="99"/>
  </w:style>
  <w:style w:type="character" w:customStyle="1" w:styleId="18">
    <w:name w:val="批注框文本 字符"/>
    <w:basedOn w:val="9"/>
    <w:link w:val="3"/>
    <w:autoRedefine/>
    <w:semiHidden/>
    <w:qFormat/>
    <w:uiPriority w:val="99"/>
    <w:rPr>
      <w:rFonts w:asciiTheme="majorHAnsi" w:hAnsiTheme="majorHAnsi" w:eastAsiaTheme="majorEastAsia" w:cstheme="majorBidi"/>
      <w:sz w:val="18"/>
      <w:szCs w:val="18"/>
    </w:rPr>
  </w:style>
  <w:style w:type="paragraph" w:customStyle="1" w:styleId="19">
    <w:name w:val="Default"/>
    <w:autoRedefine/>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20">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1">
    <w:name w:val="未处理的提及1"/>
    <w:basedOn w:val="9"/>
    <w:autoRedefine/>
    <w:semiHidden/>
    <w:unhideWhenUsed/>
    <w:qFormat/>
    <w:uiPriority w:val="99"/>
    <w:rPr>
      <w:color w:val="605E5C"/>
      <w:shd w:val="clear" w:color="auto" w:fill="E1DFDD"/>
    </w:rPr>
  </w:style>
  <w:style w:type="table" w:customStyle="1" w:styleId="22">
    <w:name w:val="网格型浅色1"/>
    <w:basedOn w:val="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em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LG</Company>
  <Pages>4</Pages>
  <Words>1883</Words>
  <Characters>10736</Characters>
  <Lines>89</Lines>
  <Paragraphs>25</Paragraphs>
  <TotalTime>205</TotalTime>
  <ScaleCrop>false</ScaleCrop>
  <LinksUpToDate>false</LinksUpToDate>
  <CharactersWithSpaces>12594</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2024-02-23T19:26:00Z</dcterms:created>
  <dc:creator>Kyung Tae Min</dc:creator>
  <cp:lastModifiedBy>幻枫</cp:lastModifiedBy>
  <cp:lastPrinted>2023-11-14T22:53:00Z</cp:lastPrinted>
  <dcterms:modified xsi:type="dcterms:W3CDTF">2026-06-18T08:52:03Z</dcterms:modified>
  <dc:title>NIPT리포트0423</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2052-6.7.1.8828</vt:lpwstr>
  </property>
  <property fmtid="{D5CDD505-2E9C-101B-9397-08002B2CF9AE}" pid="5" name="ICV">
    <vt:lpwstr>22DD9AA2227C4427B78205C653CF0421_12</vt:lpwstr>
  </property>
</Properties>
</file>