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8930" w14:textId="77777777" w:rsidR="00644C70" w:rsidRDefault="00644C70" w:rsidP="00644C70">
      <w:pPr>
        <w:rPr>
          <w:sz w:val="21"/>
          <w:szCs w:val="21"/>
        </w:rPr>
      </w:pPr>
      <w:r>
        <w:rPr>
          <w:sz w:val="21"/>
          <w:szCs w:val="21"/>
        </w:rPr>
        <w:t>核准日期：</w:t>
      </w:r>
    </w:p>
    <w:p w14:paraId="5BF2AB30" w14:textId="77777777" w:rsidR="00644C70" w:rsidRDefault="00644C70" w:rsidP="00644C70">
      <w:pPr>
        <w:rPr>
          <w:sz w:val="21"/>
          <w:szCs w:val="21"/>
        </w:rPr>
      </w:pPr>
      <w:r>
        <w:rPr>
          <w:sz w:val="21"/>
          <w:szCs w:val="21"/>
        </w:rPr>
        <w:t>修改日期：</w:t>
      </w:r>
    </w:p>
    <w:p w14:paraId="079E257C" w14:textId="77777777" w:rsidR="00644C70" w:rsidRDefault="00644C70" w:rsidP="00644C70">
      <w:pPr>
        <w:rPr>
          <w:sz w:val="21"/>
          <w:szCs w:val="21"/>
        </w:rPr>
      </w:pPr>
      <w:r>
        <w:rPr>
          <w:rFonts w:hint="eastAsia"/>
          <w:sz w:val="21"/>
          <w:szCs w:val="21"/>
        </w:rPr>
        <w:t xml:space="preserve">   </w:t>
      </w:r>
    </w:p>
    <w:p w14:paraId="5910BFBE" w14:textId="77777777" w:rsidR="00644C70" w:rsidRDefault="00644C70" w:rsidP="00644C70">
      <w:pPr>
        <w:rPr>
          <w:sz w:val="21"/>
          <w:szCs w:val="21"/>
        </w:rPr>
      </w:pPr>
    </w:p>
    <w:p w14:paraId="7298B09D" w14:textId="77777777" w:rsidR="00644C70" w:rsidRDefault="00644C70" w:rsidP="00644C70">
      <w:pPr>
        <w:jc w:val="center"/>
        <w:rPr>
          <w:sz w:val="36"/>
          <w:szCs w:val="36"/>
        </w:rPr>
      </w:pPr>
      <w:r>
        <w:rPr>
          <w:b/>
          <w:sz w:val="36"/>
          <w:szCs w:val="36"/>
        </w:rPr>
        <w:t>盐酸二甲双</w:t>
      </w:r>
      <w:proofErr w:type="gramStart"/>
      <w:r>
        <w:rPr>
          <w:b/>
          <w:sz w:val="36"/>
          <w:szCs w:val="36"/>
        </w:rPr>
        <w:t>胍</w:t>
      </w:r>
      <w:proofErr w:type="gramEnd"/>
      <w:r>
        <w:rPr>
          <w:b/>
          <w:sz w:val="36"/>
          <w:szCs w:val="36"/>
        </w:rPr>
        <w:t>片说明书</w:t>
      </w:r>
    </w:p>
    <w:p w14:paraId="66BC7A02" w14:textId="77777777" w:rsidR="00644C70" w:rsidRDefault="00644C70" w:rsidP="00644C70">
      <w:pPr>
        <w:jc w:val="center"/>
        <w:rPr>
          <w:rFonts w:eastAsia="黑体"/>
          <w:sz w:val="21"/>
          <w:szCs w:val="21"/>
        </w:rPr>
      </w:pPr>
      <w:r>
        <w:rPr>
          <w:rFonts w:eastAsia="黑体"/>
          <w:sz w:val="21"/>
          <w:szCs w:val="21"/>
        </w:rPr>
        <w:t>请仔细阅读说明书并在医师指导下使用</w:t>
      </w:r>
    </w:p>
    <w:p w14:paraId="67A18C0B" w14:textId="77777777" w:rsidR="00644C70" w:rsidRDefault="00644C70" w:rsidP="00644C70">
      <w:pPr>
        <w:spacing w:line="400" w:lineRule="exact"/>
        <w:rPr>
          <w:b/>
          <w:sz w:val="21"/>
          <w:szCs w:val="21"/>
        </w:rPr>
      </w:pPr>
      <w:r>
        <w:rPr>
          <w:b/>
          <w:sz w:val="21"/>
          <w:szCs w:val="21"/>
        </w:rPr>
        <w:t>【</w:t>
      </w:r>
      <w:r>
        <w:rPr>
          <w:sz w:val="21"/>
          <w:szCs w:val="21"/>
        </w:rPr>
        <w:t>药品名称</w:t>
      </w:r>
      <w:r>
        <w:rPr>
          <w:b/>
          <w:sz w:val="21"/>
          <w:szCs w:val="21"/>
        </w:rPr>
        <w:t>】</w:t>
      </w:r>
    </w:p>
    <w:p w14:paraId="3B8682B9" w14:textId="77777777" w:rsidR="00644C70" w:rsidRDefault="00644C70" w:rsidP="00644C70">
      <w:pPr>
        <w:spacing w:line="400" w:lineRule="exact"/>
        <w:ind w:firstLineChars="200" w:firstLine="420"/>
        <w:rPr>
          <w:sz w:val="21"/>
          <w:szCs w:val="21"/>
        </w:rPr>
      </w:pPr>
      <w:r>
        <w:rPr>
          <w:sz w:val="21"/>
          <w:szCs w:val="21"/>
        </w:rPr>
        <w:t>通用名：盐酸二甲双</w:t>
      </w:r>
      <w:proofErr w:type="gramStart"/>
      <w:r>
        <w:rPr>
          <w:sz w:val="21"/>
          <w:szCs w:val="21"/>
        </w:rPr>
        <w:t>胍</w:t>
      </w:r>
      <w:proofErr w:type="gramEnd"/>
      <w:r>
        <w:rPr>
          <w:sz w:val="21"/>
          <w:szCs w:val="21"/>
        </w:rPr>
        <w:t>片</w:t>
      </w:r>
    </w:p>
    <w:p w14:paraId="3251CF4C" w14:textId="77777777" w:rsidR="00644C70" w:rsidRDefault="00644C70" w:rsidP="00644C70">
      <w:pPr>
        <w:spacing w:line="400" w:lineRule="exact"/>
        <w:ind w:firstLineChars="200" w:firstLine="420"/>
        <w:rPr>
          <w:sz w:val="21"/>
          <w:szCs w:val="21"/>
        </w:rPr>
      </w:pPr>
      <w:r>
        <w:rPr>
          <w:sz w:val="21"/>
          <w:szCs w:val="21"/>
        </w:rPr>
        <w:t>英文名：</w:t>
      </w:r>
      <w:r>
        <w:rPr>
          <w:sz w:val="21"/>
          <w:szCs w:val="21"/>
        </w:rPr>
        <w:t>Metformin Hydrochloride Tablets</w:t>
      </w:r>
    </w:p>
    <w:p w14:paraId="078A5328" w14:textId="77777777" w:rsidR="00644C70" w:rsidRDefault="00644C70" w:rsidP="00644C70">
      <w:pPr>
        <w:spacing w:line="400" w:lineRule="exact"/>
        <w:ind w:firstLineChars="200" w:firstLine="420"/>
        <w:rPr>
          <w:sz w:val="21"/>
          <w:szCs w:val="21"/>
        </w:rPr>
      </w:pPr>
      <w:r>
        <w:rPr>
          <w:sz w:val="21"/>
          <w:szCs w:val="21"/>
        </w:rPr>
        <w:t>汉语拼音：</w:t>
      </w:r>
      <w:proofErr w:type="spellStart"/>
      <w:r>
        <w:rPr>
          <w:sz w:val="21"/>
          <w:szCs w:val="21"/>
        </w:rPr>
        <w:t>Yansuan</w:t>
      </w:r>
      <w:proofErr w:type="spellEnd"/>
      <w:r>
        <w:rPr>
          <w:sz w:val="21"/>
          <w:szCs w:val="21"/>
        </w:rPr>
        <w:t xml:space="preserve"> </w:t>
      </w:r>
      <w:proofErr w:type="spellStart"/>
      <w:r>
        <w:rPr>
          <w:sz w:val="21"/>
          <w:szCs w:val="21"/>
        </w:rPr>
        <w:t>Erjiashuanggua</w:t>
      </w:r>
      <w:proofErr w:type="spellEnd"/>
      <w:r>
        <w:rPr>
          <w:sz w:val="21"/>
          <w:szCs w:val="21"/>
        </w:rPr>
        <w:t xml:space="preserve"> </w:t>
      </w:r>
      <w:proofErr w:type="spellStart"/>
      <w:r>
        <w:rPr>
          <w:sz w:val="21"/>
          <w:szCs w:val="21"/>
        </w:rPr>
        <w:t>Pian</w:t>
      </w:r>
      <w:proofErr w:type="spellEnd"/>
    </w:p>
    <w:p w14:paraId="60A4D004" w14:textId="77777777" w:rsidR="00644C70" w:rsidRDefault="00644C70" w:rsidP="00644C70">
      <w:pPr>
        <w:spacing w:line="400" w:lineRule="exact"/>
        <w:rPr>
          <w:b/>
          <w:sz w:val="21"/>
          <w:szCs w:val="21"/>
        </w:rPr>
      </w:pPr>
      <w:r>
        <w:rPr>
          <w:b/>
          <w:sz w:val="21"/>
          <w:szCs w:val="21"/>
        </w:rPr>
        <w:t>【</w:t>
      </w:r>
      <w:r>
        <w:rPr>
          <w:sz w:val="21"/>
          <w:szCs w:val="21"/>
        </w:rPr>
        <w:t>成</w:t>
      </w:r>
      <w:r>
        <w:rPr>
          <w:sz w:val="21"/>
          <w:szCs w:val="21"/>
        </w:rPr>
        <w:t xml:space="preserve">    </w:t>
      </w:r>
      <w:r>
        <w:rPr>
          <w:sz w:val="21"/>
          <w:szCs w:val="21"/>
        </w:rPr>
        <w:t>份</w:t>
      </w:r>
      <w:r>
        <w:rPr>
          <w:b/>
          <w:sz w:val="21"/>
          <w:szCs w:val="21"/>
        </w:rPr>
        <w:t>】</w:t>
      </w:r>
    </w:p>
    <w:p w14:paraId="2DCD02EB" w14:textId="77777777" w:rsidR="00644C70" w:rsidRDefault="00644C70" w:rsidP="00644C70">
      <w:pPr>
        <w:spacing w:line="400" w:lineRule="exact"/>
        <w:ind w:firstLineChars="200" w:firstLine="420"/>
        <w:rPr>
          <w:sz w:val="21"/>
          <w:szCs w:val="21"/>
        </w:rPr>
      </w:pPr>
      <w:r>
        <w:rPr>
          <w:sz w:val="21"/>
          <w:szCs w:val="21"/>
        </w:rPr>
        <w:t>本品主要成份为盐酸二甲双</w:t>
      </w:r>
      <w:proofErr w:type="gramStart"/>
      <w:r>
        <w:rPr>
          <w:sz w:val="21"/>
          <w:szCs w:val="21"/>
        </w:rPr>
        <w:t>胍</w:t>
      </w:r>
      <w:proofErr w:type="gramEnd"/>
      <w:r>
        <w:rPr>
          <w:sz w:val="21"/>
          <w:szCs w:val="21"/>
        </w:rPr>
        <w:t>。</w:t>
      </w:r>
    </w:p>
    <w:p w14:paraId="2CF5C691" w14:textId="77777777" w:rsidR="00644C70" w:rsidRDefault="00644C70" w:rsidP="00644C70">
      <w:pPr>
        <w:spacing w:line="400" w:lineRule="exact"/>
        <w:ind w:firstLineChars="200" w:firstLine="420"/>
        <w:rPr>
          <w:sz w:val="21"/>
          <w:szCs w:val="21"/>
        </w:rPr>
      </w:pPr>
      <w:r>
        <w:rPr>
          <w:sz w:val="21"/>
          <w:szCs w:val="21"/>
        </w:rPr>
        <w:t>化学名称：</w:t>
      </w:r>
      <w:r>
        <w:rPr>
          <w:sz w:val="21"/>
          <w:szCs w:val="21"/>
        </w:rPr>
        <w:t>1,1-</w:t>
      </w:r>
      <w:r>
        <w:rPr>
          <w:sz w:val="21"/>
          <w:szCs w:val="21"/>
        </w:rPr>
        <w:t>二甲基双</w:t>
      </w:r>
      <w:proofErr w:type="gramStart"/>
      <w:r>
        <w:rPr>
          <w:sz w:val="21"/>
          <w:szCs w:val="21"/>
        </w:rPr>
        <w:t>胍</w:t>
      </w:r>
      <w:proofErr w:type="gramEnd"/>
      <w:r>
        <w:rPr>
          <w:sz w:val="21"/>
          <w:szCs w:val="21"/>
        </w:rPr>
        <w:t>盐酸盐。</w:t>
      </w:r>
    </w:p>
    <w:p w14:paraId="6BCF704E" w14:textId="77777777" w:rsidR="00644C70" w:rsidRDefault="00644C70" w:rsidP="00644C70">
      <w:pPr>
        <w:spacing w:line="400" w:lineRule="exact"/>
        <w:ind w:firstLineChars="200" w:firstLine="424"/>
        <w:rPr>
          <w:sz w:val="21"/>
          <w:szCs w:val="21"/>
        </w:rPr>
      </w:pPr>
      <w:r>
        <w:rPr>
          <w:spacing w:val="2"/>
          <w:sz w:val="21"/>
          <w:szCs w:val="24"/>
        </w:rPr>
        <w:t>化学结构式：</w:t>
      </w:r>
    </w:p>
    <w:p w14:paraId="1014530E" w14:textId="77777777" w:rsidR="00644C70" w:rsidRDefault="00644C70" w:rsidP="00644C70">
      <w:pPr>
        <w:widowControl/>
        <w:spacing w:line="360" w:lineRule="auto"/>
        <w:ind w:firstLineChars="200" w:firstLine="480"/>
        <w:jc w:val="center"/>
        <w:rPr>
          <w:kern w:val="0"/>
          <w:sz w:val="21"/>
          <w:szCs w:val="21"/>
        </w:rPr>
      </w:pPr>
      <w:r w:rsidRPr="00DB2921">
        <w:rPr>
          <w:noProof/>
          <w:kern w:val="0"/>
          <w:szCs w:val="21"/>
        </w:rPr>
        <w:drawing>
          <wp:inline distT="0" distB="0" distL="0" distR="0" wp14:anchorId="68087279" wp14:editId="271C68B8">
            <wp:extent cx="2114550" cy="809625"/>
            <wp:effectExtent l="0" t="0" r="0" b="0"/>
            <wp:docPr id="1" name="图片 1" descr="js-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809625"/>
                    </a:xfrm>
                    <a:prstGeom prst="rect">
                      <a:avLst/>
                    </a:prstGeom>
                    <a:noFill/>
                    <a:ln>
                      <a:noFill/>
                    </a:ln>
                  </pic:spPr>
                </pic:pic>
              </a:graphicData>
            </a:graphic>
          </wp:inline>
        </w:drawing>
      </w:r>
    </w:p>
    <w:p w14:paraId="76C2F728" w14:textId="77777777" w:rsidR="00644C70" w:rsidRDefault="00644C70" w:rsidP="00644C70">
      <w:pPr>
        <w:spacing w:line="400" w:lineRule="exact"/>
        <w:ind w:firstLineChars="200" w:firstLine="420"/>
        <w:rPr>
          <w:sz w:val="21"/>
          <w:szCs w:val="21"/>
        </w:rPr>
      </w:pPr>
      <w:r>
        <w:rPr>
          <w:sz w:val="21"/>
          <w:szCs w:val="21"/>
        </w:rPr>
        <w:t>分子式：</w:t>
      </w:r>
      <w:r>
        <w:rPr>
          <w:sz w:val="21"/>
          <w:szCs w:val="21"/>
        </w:rPr>
        <w:t>C</w:t>
      </w:r>
      <w:r>
        <w:rPr>
          <w:sz w:val="21"/>
          <w:szCs w:val="21"/>
          <w:vertAlign w:val="subscript"/>
        </w:rPr>
        <w:t>4</w:t>
      </w:r>
      <w:r>
        <w:rPr>
          <w:sz w:val="21"/>
          <w:szCs w:val="21"/>
        </w:rPr>
        <w:t>H</w:t>
      </w:r>
      <w:r>
        <w:rPr>
          <w:sz w:val="21"/>
          <w:szCs w:val="21"/>
          <w:vertAlign w:val="subscript"/>
        </w:rPr>
        <w:t>11</w:t>
      </w:r>
      <w:r>
        <w:rPr>
          <w:sz w:val="21"/>
          <w:szCs w:val="21"/>
        </w:rPr>
        <w:t>N</w:t>
      </w:r>
      <w:r>
        <w:rPr>
          <w:sz w:val="21"/>
          <w:szCs w:val="21"/>
          <w:vertAlign w:val="subscript"/>
        </w:rPr>
        <w:t>5</w:t>
      </w:r>
      <w:r>
        <w:rPr>
          <w:sz w:val="21"/>
          <w:szCs w:val="21"/>
        </w:rPr>
        <w:t xml:space="preserve">·HCl             </w:t>
      </w:r>
    </w:p>
    <w:p w14:paraId="3090A6C7" w14:textId="77777777" w:rsidR="00644C70" w:rsidRDefault="00644C70" w:rsidP="00644C70">
      <w:pPr>
        <w:spacing w:line="400" w:lineRule="exact"/>
        <w:ind w:firstLineChars="200" w:firstLine="420"/>
        <w:rPr>
          <w:sz w:val="21"/>
          <w:szCs w:val="21"/>
        </w:rPr>
      </w:pPr>
      <w:r>
        <w:rPr>
          <w:sz w:val="21"/>
          <w:szCs w:val="21"/>
        </w:rPr>
        <w:t>分子量：</w:t>
      </w:r>
      <w:r>
        <w:rPr>
          <w:sz w:val="21"/>
          <w:szCs w:val="21"/>
        </w:rPr>
        <w:t>165.63</w:t>
      </w:r>
    </w:p>
    <w:p w14:paraId="385AF3D7" w14:textId="77777777" w:rsidR="00644C70" w:rsidRDefault="00644C70" w:rsidP="00644C70">
      <w:pPr>
        <w:spacing w:line="400" w:lineRule="exact"/>
        <w:rPr>
          <w:sz w:val="21"/>
          <w:szCs w:val="21"/>
        </w:rPr>
      </w:pPr>
      <w:r>
        <w:rPr>
          <w:sz w:val="21"/>
          <w:szCs w:val="21"/>
        </w:rPr>
        <w:t>【性</w:t>
      </w:r>
      <w:r>
        <w:rPr>
          <w:sz w:val="21"/>
          <w:szCs w:val="21"/>
        </w:rPr>
        <w:t xml:space="preserve">    </w:t>
      </w:r>
      <w:r>
        <w:rPr>
          <w:sz w:val="21"/>
          <w:szCs w:val="21"/>
        </w:rPr>
        <w:t>状】</w:t>
      </w:r>
    </w:p>
    <w:p w14:paraId="144946E4" w14:textId="77777777" w:rsidR="00644C70" w:rsidRDefault="00644C70" w:rsidP="00644C70">
      <w:pPr>
        <w:spacing w:line="400" w:lineRule="exact"/>
        <w:ind w:firstLineChars="200" w:firstLine="420"/>
        <w:rPr>
          <w:sz w:val="21"/>
          <w:szCs w:val="21"/>
        </w:rPr>
      </w:pPr>
      <w:r>
        <w:rPr>
          <w:sz w:val="21"/>
          <w:szCs w:val="21"/>
        </w:rPr>
        <w:t>本品为薄膜衣片，除去包衣后显白色。</w:t>
      </w:r>
    </w:p>
    <w:p w14:paraId="5A314CC1" w14:textId="77777777" w:rsidR="00644C70" w:rsidRDefault="00644C70" w:rsidP="00644C70">
      <w:pPr>
        <w:spacing w:line="400" w:lineRule="exact"/>
        <w:rPr>
          <w:sz w:val="21"/>
          <w:szCs w:val="21"/>
        </w:rPr>
      </w:pPr>
      <w:r>
        <w:rPr>
          <w:sz w:val="21"/>
          <w:szCs w:val="21"/>
        </w:rPr>
        <w:t>【适</w:t>
      </w:r>
      <w:r>
        <w:rPr>
          <w:sz w:val="21"/>
          <w:szCs w:val="21"/>
        </w:rPr>
        <w:t xml:space="preserve"> </w:t>
      </w:r>
      <w:r>
        <w:rPr>
          <w:sz w:val="21"/>
          <w:szCs w:val="21"/>
        </w:rPr>
        <w:t>应</w:t>
      </w:r>
      <w:r>
        <w:rPr>
          <w:sz w:val="21"/>
          <w:szCs w:val="21"/>
        </w:rPr>
        <w:t xml:space="preserve"> </w:t>
      </w:r>
      <w:r>
        <w:rPr>
          <w:sz w:val="21"/>
          <w:szCs w:val="21"/>
        </w:rPr>
        <w:t>症】</w:t>
      </w:r>
      <w:r>
        <w:rPr>
          <w:sz w:val="21"/>
          <w:szCs w:val="21"/>
        </w:rPr>
        <w:t xml:space="preserve"> </w:t>
      </w:r>
    </w:p>
    <w:p w14:paraId="305A5D3C" w14:textId="77777777" w:rsidR="00644C70" w:rsidRDefault="00644C70" w:rsidP="00644C70">
      <w:pPr>
        <w:spacing w:line="360" w:lineRule="auto"/>
        <w:ind w:firstLineChars="200" w:firstLine="420"/>
        <w:rPr>
          <w:sz w:val="21"/>
          <w:szCs w:val="24"/>
        </w:rPr>
      </w:pPr>
      <w:r>
        <w:rPr>
          <w:sz w:val="21"/>
          <w:szCs w:val="24"/>
        </w:rPr>
        <w:t>本品首选用于单纯饮食及体育锻炼控制血糖无效的</w:t>
      </w:r>
      <w:r>
        <w:rPr>
          <w:sz w:val="21"/>
          <w:szCs w:val="24"/>
        </w:rPr>
        <w:t>2</w:t>
      </w:r>
      <w:r>
        <w:rPr>
          <w:sz w:val="21"/>
          <w:szCs w:val="24"/>
        </w:rPr>
        <w:t>型糖尿病。</w:t>
      </w:r>
    </w:p>
    <w:p w14:paraId="15B78777" w14:textId="77777777" w:rsidR="00644C70" w:rsidRDefault="00644C70" w:rsidP="00644C70">
      <w:pPr>
        <w:spacing w:line="360" w:lineRule="auto"/>
        <w:ind w:firstLineChars="200" w:firstLine="420"/>
        <w:rPr>
          <w:sz w:val="21"/>
          <w:szCs w:val="24"/>
        </w:rPr>
      </w:pPr>
      <w:r>
        <w:rPr>
          <w:sz w:val="21"/>
          <w:szCs w:val="24"/>
        </w:rPr>
        <w:t>对于成人，本品可用于单药治疗，也可与</w:t>
      </w:r>
      <w:proofErr w:type="gramStart"/>
      <w:r>
        <w:rPr>
          <w:sz w:val="21"/>
          <w:szCs w:val="24"/>
        </w:rPr>
        <w:t>磺脲</w:t>
      </w:r>
      <w:proofErr w:type="gramEnd"/>
      <w:r>
        <w:rPr>
          <w:sz w:val="21"/>
          <w:szCs w:val="24"/>
        </w:rPr>
        <w:t>类药物或胰岛素联合治疗。</w:t>
      </w:r>
    </w:p>
    <w:p w14:paraId="3CD48A57" w14:textId="77777777" w:rsidR="00644C70" w:rsidRDefault="00644C70" w:rsidP="00644C70">
      <w:pPr>
        <w:spacing w:line="400" w:lineRule="exact"/>
        <w:ind w:firstLineChars="200" w:firstLine="420"/>
        <w:rPr>
          <w:sz w:val="21"/>
          <w:szCs w:val="21"/>
        </w:rPr>
      </w:pPr>
      <w:r>
        <w:rPr>
          <w:sz w:val="21"/>
          <w:szCs w:val="24"/>
        </w:rPr>
        <w:t>对于</w:t>
      </w:r>
      <w:r>
        <w:rPr>
          <w:sz w:val="21"/>
          <w:szCs w:val="24"/>
        </w:rPr>
        <w:t>10</w:t>
      </w:r>
      <w:r>
        <w:rPr>
          <w:sz w:val="21"/>
          <w:szCs w:val="24"/>
        </w:rPr>
        <w:t>岁及以上的儿童和青少年，本品可用于单药治疗或与胰岛素联合治疗。</w:t>
      </w:r>
    </w:p>
    <w:p w14:paraId="40CC0897" w14:textId="77777777" w:rsidR="00644C70" w:rsidRDefault="00644C70" w:rsidP="00644C70">
      <w:pPr>
        <w:spacing w:line="400" w:lineRule="exact"/>
        <w:rPr>
          <w:sz w:val="21"/>
          <w:szCs w:val="21"/>
        </w:rPr>
      </w:pPr>
      <w:r>
        <w:rPr>
          <w:sz w:val="21"/>
          <w:szCs w:val="21"/>
        </w:rPr>
        <w:t>【规</w:t>
      </w:r>
      <w:r>
        <w:rPr>
          <w:sz w:val="21"/>
          <w:szCs w:val="21"/>
        </w:rPr>
        <w:t xml:space="preserve">    </w:t>
      </w:r>
      <w:r>
        <w:rPr>
          <w:sz w:val="21"/>
          <w:szCs w:val="21"/>
        </w:rPr>
        <w:t>格】</w:t>
      </w:r>
      <w:r>
        <w:rPr>
          <w:sz w:val="21"/>
          <w:szCs w:val="21"/>
        </w:rPr>
        <w:t xml:space="preserve"> </w:t>
      </w:r>
    </w:p>
    <w:p w14:paraId="6E7272A7" w14:textId="77777777" w:rsidR="00644C70" w:rsidRDefault="00644C70" w:rsidP="00644C70">
      <w:pPr>
        <w:spacing w:line="400" w:lineRule="exact"/>
        <w:ind w:firstLineChars="200" w:firstLine="420"/>
        <w:rPr>
          <w:sz w:val="21"/>
          <w:szCs w:val="21"/>
        </w:rPr>
      </w:pPr>
      <w:r>
        <w:rPr>
          <w:sz w:val="21"/>
          <w:szCs w:val="21"/>
        </w:rPr>
        <w:t>0.25 g</w:t>
      </w:r>
    </w:p>
    <w:p w14:paraId="37A55CCA" w14:textId="77777777" w:rsidR="00644C70" w:rsidRDefault="00644C70" w:rsidP="00644C70">
      <w:pPr>
        <w:spacing w:line="400" w:lineRule="exact"/>
        <w:rPr>
          <w:sz w:val="21"/>
          <w:szCs w:val="21"/>
        </w:rPr>
      </w:pPr>
      <w:r>
        <w:rPr>
          <w:sz w:val="21"/>
          <w:szCs w:val="21"/>
        </w:rPr>
        <w:t>【用法用量】</w:t>
      </w:r>
    </w:p>
    <w:p w14:paraId="5DE58F6B" w14:textId="77777777" w:rsidR="00644C70" w:rsidRPr="00746C04" w:rsidRDefault="00644C70" w:rsidP="00644C70">
      <w:pPr>
        <w:spacing w:line="360" w:lineRule="auto"/>
        <w:ind w:firstLineChars="200" w:firstLine="420"/>
        <w:rPr>
          <w:b/>
          <w:sz w:val="21"/>
          <w:szCs w:val="24"/>
        </w:rPr>
      </w:pPr>
      <w:r w:rsidRPr="00746C04">
        <w:rPr>
          <w:sz w:val="21"/>
          <w:szCs w:val="24"/>
        </w:rPr>
        <w:t>为了减少胃肠道并发症的发生，也为了使用最小剂量的药物使患者的血糖足以控制，应从小剂量开始服用，逐渐增加剂量。</w:t>
      </w:r>
    </w:p>
    <w:p w14:paraId="4ABBD423" w14:textId="77777777" w:rsidR="00644C70" w:rsidRDefault="00644C70" w:rsidP="00644C70">
      <w:pPr>
        <w:spacing w:line="360" w:lineRule="auto"/>
        <w:ind w:firstLineChars="200" w:firstLine="420"/>
        <w:rPr>
          <w:sz w:val="21"/>
          <w:szCs w:val="21"/>
        </w:rPr>
      </w:pPr>
      <w:r w:rsidRPr="00746C04">
        <w:rPr>
          <w:sz w:val="21"/>
          <w:szCs w:val="24"/>
        </w:rPr>
        <w:t>治疗开始和调整剂量期间</w:t>
      </w:r>
      <w:r w:rsidRPr="00746C04">
        <w:rPr>
          <w:sz w:val="21"/>
          <w:szCs w:val="24"/>
        </w:rPr>
        <w:t>(</w:t>
      </w:r>
      <w:r w:rsidRPr="00746C04">
        <w:rPr>
          <w:sz w:val="21"/>
          <w:szCs w:val="24"/>
        </w:rPr>
        <w:t>见推荐的服药计划</w:t>
      </w:r>
      <w:r w:rsidRPr="00746C04">
        <w:rPr>
          <w:sz w:val="21"/>
          <w:szCs w:val="24"/>
        </w:rPr>
        <w:t>)</w:t>
      </w:r>
      <w:r w:rsidRPr="00746C04">
        <w:rPr>
          <w:sz w:val="21"/>
          <w:szCs w:val="24"/>
        </w:rPr>
        <w:t>，测定空腹血糖可用于确定本品治疗反应，以及确定患者最小的有效剂量。此后，应每隔三月测定糖化血红蛋白。无论是单独使用还是联合使用，治疗的目标都是使用最低的有效剂量使空腹血糖和糖化血红蛋白水平降至正常或接近正常水平。</w:t>
      </w:r>
    </w:p>
    <w:p w14:paraId="22C61B82" w14:textId="77777777" w:rsidR="00644C70" w:rsidRPr="009B0219" w:rsidRDefault="00644C70" w:rsidP="00644C70">
      <w:pPr>
        <w:spacing w:line="400" w:lineRule="exact"/>
        <w:rPr>
          <w:b/>
          <w:sz w:val="21"/>
          <w:szCs w:val="21"/>
        </w:rPr>
      </w:pPr>
      <w:r w:rsidRPr="009B0219">
        <w:rPr>
          <w:b/>
          <w:sz w:val="21"/>
          <w:szCs w:val="21"/>
        </w:rPr>
        <w:t>推荐服药计划</w:t>
      </w:r>
    </w:p>
    <w:p w14:paraId="251A0712" w14:textId="77777777" w:rsidR="00644C70" w:rsidRPr="009B0219" w:rsidRDefault="00644C70" w:rsidP="00644C70">
      <w:pPr>
        <w:spacing w:line="400" w:lineRule="exact"/>
        <w:rPr>
          <w:b/>
          <w:sz w:val="21"/>
          <w:szCs w:val="21"/>
        </w:rPr>
      </w:pPr>
      <w:r w:rsidRPr="009B0219">
        <w:rPr>
          <w:b/>
          <w:sz w:val="21"/>
          <w:szCs w:val="21"/>
        </w:rPr>
        <w:lastRenderedPageBreak/>
        <w:t>肾功能正常（</w:t>
      </w:r>
      <w:r w:rsidRPr="009B0219">
        <w:rPr>
          <w:b/>
          <w:sz w:val="21"/>
          <w:szCs w:val="21"/>
        </w:rPr>
        <w:t>eGFR≥90 mL/min/1.73m</w:t>
      </w:r>
      <w:r w:rsidRPr="009B0219">
        <w:rPr>
          <w:b/>
          <w:sz w:val="21"/>
          <w:szCs w:val="21"/>
          <w:vertAlign w:val="superscript"/>
        </w:rPr>
        <w:t>2</w:t>
      </w:r>
      <w:r w:rsidRPr="009B0219">
        <w:rPr>
          <w:b/>
          <w:sz w:val="21"/>
          <w:szCs w:val="21"/>
        </w:rPr>
        <w:t>）：</w:t>
      </w:r>
    </w:p>
    <w:p w14:paraId="728E03E5" w14:textId="77777777" w:rsidR="00644C70" w:rsidRPr="009B0219" w:rsidRDefault="00644C70" w:rsidP="00644C70">
      <w:pPr>
        <w:tabs>
          <w:tab w:val="left" w:pos="426"/>
        </w:tabs>
        <w:spacing w:line="400" w:lineRule="exact"/>
        <w:rPr>
          <w:b/>
          <w:sz w:val="21"/>
          <w:szCs w:val="21"/>
        </w:rPr>
      </w:pPr>
      <w:r w:rsidRPr="009B0219">
        <w:rPr>
          <w:sz w:val="21"/>
          <w:szCs w:val="21"/>
        </w:rPr>
        <w:tab/>
      </w:r>
      <w:r>
        <w:rPr>
          <w:b/>
          <w:sz w:val="21"/>
          <w:szCs w:val="21"/>
        </w:rPr>
        <w:t>单药治疗以及与</w:t>
      </w:r>
      <w:proofErr w:type="gramStart"/>
      <w:r>
        <w:rPr>
          <w:b/>
          <w:sz w:val="21"/>
          <w:szCs w:val="21"/>
        </w:rPr>
        <w:t>磺脲</w:t>
      </w:r>
      <w:proofErr w:type="gramEnd"/>
      <w:r>
        <w:rPr>
          <w:b/>
          <w:sz w:val="21"/>
          <w:szCs w:val="21"/>
        </w:rPr>
        <w:t>类药物联合</w:t>
      </w:r>
      <w:r>
        <w:rPr>
          <w:rFonts w:hint="eastAsia"/>
          <w:b/>
          <w:sz w:val="21"/>
          <w:szCs w:val="21"/>
        </w:rPr>
        <w:t>使用</w:t>
      </w:r>
    </w:p>
    <w:p w14:paraId="4D385789" w14:textId="77777777" w:rsidR="00644C70" w:rsidRDefault="00644C70" w:rsidP="00644C70">
      <w:pPr>
        <w:tabs>
          <w:tab w:val="left" w:pos="426"/>
        </w:tabs>
        <w:spacing w:line="400" w:lineRule="exact"/>
        <w:ind w:firstLineChars="200" w:firstLine="420"/>
        <w:rPr>
          <w:sz w:val="21"/>
          <w:szCs w:val="21"/>
        </w:rPr>
      </w:pPr>
      <w:r w:rsidRPr="009B0219">
        <w:rPr>
          <w:sz w:val="21"/>
          <w:szCs w:val="21"/>
        </w:rPr>
        <w:t>口服，成人和儿童起始每次</w:t>
      </w:r>
      <w:r w:rsidRPr="009B0219">
        <w:rPr>
          <w:sz w:val="21"/>
          <w:szCs w:val="21"/>
        </w:rPr>
        <w:t>0.25 g</w:t>
      </w:r>
      <w:r w:rsidRPr="009B0219">
        <w:rPr>
          <w:sz w:val="21"/>
          <w:szCs w:val="21"/>
        </w:rPr>
        <w:t>，一日</w:t>
      </w:r>
      <w:r w:rsidRPr="009B0219">
        <w:rPr>
          <w:sz w:val="21"/>
          <w:szCs w:val="21"/>
        </w:rPr>
        <w:t>2</w:t>
      </w:r>
      <w:r w:rsidRPr="009B0219">
        <w:rPr>
          <w:sz w:val="21"/>
          <w:szCs w:val="21"/>
        </w:rPr>
        <w:t>～</w:t>
      </w:r>
      <w:r w:rsidRPr="009B0219">
        <w:rPr>
          <w:sz w:val="21"/>
          <w:szCs w:val="21"/>
        </w:rPr>
        <w:t>3</w:t>
      </w:r>
      <w:r w:rsidRPr="009B0219">
        <w:rPr>
          <w:sz w:val="21"/>
          <w:szCs w:val="21"/>
        </w:rPr>
        <w:t>次，</w:t>
      </w:r>
      <w:r w:rsidRPr="009B0219">
        <w:rPr>
          <w:sz w:val="21"/>
          <w:szCs w:val="21"/>
        </w:rPr>
        <w:t>10-15</w:t>
      </w:r>
      <w:r w:rsidRPr="009B0219">
        <w:rPr>
          <w:sz w:val="21"/>
          <w:szCs w:val="21"/>
        </w:rPr>
        <w:t>天以后根据疗效逐渐加量，最大推荐剂量为每天</w:t>
      </w:r>
      <w:r w:rsidRPr="009B0219">
        <w:rPr>
          <w:sz w:val="21"/>
          <w:szCs w:val="21"/>
        </w:rPr>
        <w:t>2g</w:t>
      </w:r>
      <w:r w:rsidRPr="009B0219">
        <w:rPr>
          <w:sz w:val="21"/>
          <w:szCs w:val="21"/>
        </w:rPr>
        <w:t>。随餐服用，可减轻胃肠道反应。</w:t>
      </w:r>
    </w:p>
    <w:p w14:paraId="0582F99E" w14:textId="77777777" w:rsidR="00644C70" w:rsidRPr="00983756" w:rsidRDefault="00644C70" w:rsidP="00644C70">
      <w:pPr>
        <w:spacing w:line="400" w:lineRule="exact"/>
        <w:ind w:firstLineChars="200" w:firstLine="422"/>
        <w:rPr>
          <w:sz w:val="21"/>
          <w:szCs w:val="21"/>
        </w:rPr>
      </w:pPr>
      <w:r w:rsidRPr="00983756">
        <w:rPr>
          <w:b/>
          <w:sz w:val="21"/>
          <w:szCs w:val="21"/>
        </w:rPr>
        <w:t>与</w:t>
      </w:r>
      <w:proofErr w:type="gramStart"/>
      <w:r w:rsidRPr="00983756">
        <w:rPr>
          <w:b/>
          <w:sz w:val="21"/>
          <w:szCs w:val="21"/>
        </w:rPr>
        <w:t>磺脲</w:t>
      </w:r>
      <w:proofErr w:type="gramEnd"/>
      <w:r w:rsidRPr="00983756">
        <w:rPr>
          <w:b/>
          <w:sz w:val="21"/>
          <w:szCs w:val="21"/>
        </w:rPr>
        <w:t>类药物联合使用</w:t>
      </w:r>
    </w:p>
    <w:p w14:paraId="0CAEC385" w14:textId="77777777" w:rsidR="00644C70" w:rsidRPr="009B0219" w:rsidRDefault="00644C70" w:rsidP="00644C70">
      <w:pPr>
        <w:tabs>
          <w:tab w:val="left" w:pos="426"/>
        </w:tabs>
        <w:spacing w:line="400" w:lineRule="exact"/>
        <w:rPr>
          <w:sz w:val="21"/>
          <w:szCs w:val="21"/>
        </w:rPr>
      </w:pPr>
      <w:r w:rsidRPr="009B0219">
        <w:rPr>
          <w:sz w:val="21"/>
          <w:szCs w:val="21"/>
        </w:rPr>
        <w:tab/>
      </w:r>
      <w:r w:rsidRPr="009B0219">
        <w:rPr>
          <w:sz w:val="21"/>
          <w:szCs w:val="21"/>
        </w:rPr>
        <w:t>如果服用最大推荐剂量的本品数周后仍无反应的患者，应当考虑在维持最大剂量治疗的同时逐渐加用</w:t>
      </w:r>
      <w:proofErr w:type="gramStart"/>
      <w:r w:rsidRPr="009B0219">
        <w:rPr>
          <w:sz w:val="21"/>
          <w:szCs w:val="21"/>
        </w:rPr>
        <w:t>磺脲</w:t>
      </w:r>
      <w:proofErr w:type="gramEnd"/>
      <w:r w:rsidRPr="009B0219">
        <w:rPr>
          <w:sz w:val="21"/>
          <w:szCs w:val="21"/>
        </w:rPr>
        <w:t>类口服降糖药物，除非患者已存在对</w:t>
      </w:r>
      <w:proofErr w:type="gramStart"/>
      <w:r w:rsidRPr="009B0219">
        <w:rPr>
          <w:sz w:val="21"/>
          <w:szCs w:val="21"/>
        </w:rPr>
        <w:t>磺脲</w:t>
      </w:r>
      <w:proofErr w:type="gramEnd"/>
      <w:r w:rsidRPr="009B0219">
        <w:rPr>
          <w:sz w:val="21"/>
          <w:szCs w:val="21"/>
        </w:rPr>
        <w:t>类药物原发或继发失效。目前仅有二甲双</w:t>
      </w:r>
      <w:proofErr w:type="gramStart"/>
      <w:r w:rsidRPr="009B0219">
        <w:rPr>
          <w:sz w:val="21"/>
          <w:szCs w:val="21"/>
        </w:rPr>
        <w:t>胍</w:t>
      </w:r>
      <w:proofErr w:type="gramEnd"/>
      <w:r w:rsidRPr="009B0219">
        <w:rPr>
          <w:sz w:val="21"/>
          <w:szCs w:val="21"/>
        </w:rPr>
        <w:t>与格列本</w:t>
      </w:r>
      <w:proofErr w:type="gramStart"/>
      <w:r w:rsidRPr="009B0219">
        <w:rPr>
          <w:sz w:val="21"/>
          <w:szCs w:val="21"/>
        </w:rPr>
        <w:t>脲</w:t>
      </w:r>
      <w:proofErr w:type="gramEnd"/>
      <w:r w:rsidRPr="009B0219">
        <w:rPr>
          <w:sz w:val="21"/>
          <w:szCs w:val="21"/>
        </w:rPr>
        <w:t>(</w:t>
      </w:r>
      <w:r w:rsidRPr="009B0219">
        <w:rPr>
          <w:sz w:val="21"/>
          <w:szCs w:val="21"/>
        </w:rPr>
        <w:t>优降糖</w:t>
      </w:r>
      <w:r w:rsidRPr="009B0219">
        <w:rPr>
          <w:sz w:val="21"/>
          <w:szCs w:val="21"/>
        </w:rPr>
        <w:t>)</w:t>
      </w:r>
      <w:r w:rsidRPr="009B0219">
        <w:rPr>
          <w:sz w:val="21"/>
          <w:szCs w:val="21"/>
        </w:rPr>
        <w:t>之间相互作用的临床和药代动力学的数据。</w:t>
      </w:r>
    </w:p>
    <w:p w14:paraId="278F83BC" w14:textId="77777777" w:rsidR="00644C70" w:rsidRPr="009B0219" w:rsidRDefault="00644C70" w:rsidP="00644C70">
      <w:pPr>
        <w:tabs>
          <w:tab w:val="left" w:pos="426"/>
        </w:tabs>
        <w:spacing w:line="400" w:lineRule="exact"/>
        <w:rPr>
          <w:sz w:val="21"/>
          <w:szCs w:val="21"/>
        </w:rPr>
      </w:pPr>
      <w:r w:rsidRPr="009B0219">
        <w:rPr>
          <w:sz w:val="21"/>
          <w:szCs w:val="21"/>
        </w:rPr>
        <w:tab/>
      </w:r>
      <w:r w:rsidRPr="009B0219">
        <w:rPr>
          <w:sz w:val="21"/>
          <w:szCs w:val="21"/>
        </w:rPr>
        <w:t>联合服用本品与</w:t>
      </w:r>
      <w:proofErr w:type="gramStart"/>
      <w:r w:rsidRPr="009B0219">
        <w:rPr>
          <w:sz w:val="21"/>
          <w:szCs w:val="21"/>
        </w:rPr>
        <w:t>磺脲</w:t>
      </w:r>
      <w:proofErr w:type="gramEnd"/>
      <w:r w:rsidRPr="009B0219">
        <w:rPr>
          <w:sz w:val="21"/>
          <w:szCs w:val="21"/>
        </w:rPr>
        <w:t>类药物，通过调整两种药物的剂量可以达到满意的血糖控制。联合本品治疗，</w:t>
      </w:r>
      <w:proofErr w:type="gramStart"/>
      <w:r w:rsidRPr="009B0219">
        <w:rPr>
          <w:sz w:val="21"/>
          <w:szCs w:val="21"/>
        </w:rPr>
        <w:t>磺脲</w:t>
      </w:r>
      <w:proofErr w:type="gramEnd"/>
      <w:r w:rsidRPr="009B0219">
        <w:rPr>
          <w:sz w:val="21"/>
          <w:szCs w:val="21"/>
        </w:rPr>
        <w:t>类药物发生低血糖的危险性持续存在，甚至有所增加，应当进行恰当的预防。</w:t>
      </w:r>
    </w:p>
    <w:p w14:paraId="47BD8289" w14:textId="77777777" w:rsidR="00644C70" w:rsidRPr="009B0219" w:rsidRDefault="00644C70" w:rsidP="00644C70">
      <w:pPr>
        <w:tabs>
          <w:tab w:val="left" w:pos="426"/>
        </w:tabs>
        <w:spacing w:line="400" w:lineRule="exact"/>
        <w:rPr>
          <w:sz w:val="21"/>
          <w:szCs w:val="21"/>
        </w:rPr>
      </w:pPr>
      <w:r w:rsidRPr="009B0219">
        <w:rPr>
          <w:sz w:val="21"/>
          <w:szCs w:val="21"/>
        </w:rPr>
        <w:tab/>
      </w:r>
      <w:r w:rsidRPr="009B0219">
        <w:rPr>
          <w:sz w:val="21"/>
          <w:szCs w:val="21"/>
        </w:rPr>
        <w:t>如果患者联合最大剂量的本品与最大剂量的口服</w:t>
      </w:r>
      <w:proofErr w:type="gramStart"/>
      <w:r w:rsidRPr="009B0219">
        <w:rPr>
          <w:sz w:val="21"/>
          <w:szCs w:val="21"/>
        </w:rPr>
        <w:t>磺脲</w:t>
      </w:r>
      <w:proofErr w:type="gramEnd"/>
      <w:r w:rsidRPr="009B0219">
        <w:rPr>
          <w:sz w:val="21"/>
          <w:szCs w:val="21"/>
        </w:rPr>
        <w:t>类药物治疗</w:t>
      </w:r>
      <w:r w:rsidRPr="009B0219">
        <w:rPr>
          <w:sz w:val="21"/>
          <w:szCs w:val="21"/>
        </w:rPr>
        <w:t>1</w:t>
      </w:r>
      <w:r w:rsidRPr="009B0219">
        <w:rPr>
          <w:sz w:val="21"/>
          <w:szCs w:val="21"/>
        </w:rPr>
        <w:t>至</w:t>
      </w:r>
      <w:r w:rsidRPr="009B0219">
        <w:rPr>
          <w:sz w:val="21"/>
          <w:szCs w:val="21"/>
        </w:rPr>
        <w:t>3</w:t>
      </w:r>
      <w:r w:rsidRPr="009B0219">
        <w:rPr>
          <w:sz w:val="21"/>
          <w:szCs w:val="21"/>
        </w:rPr>
        <w:t>个月仍不能满意控制血糖，要考虑改变治疗方法，包括本品联合胰岛素治疗或胰岛素单独治疗。</w:t>
      </w:r>
    </w:p>
    <w:p w14:paraId="4C45A74C" w14:textId="77777777" w:rsidR="00644C70" w:rsidRPr="009B0219" w:rsidRDefault="00644C70" w:rsidP="00644C70">
      <w:pPr>
        <w:tabs>
          <w:tab w:val="left" w:pos="426"/>
        </w:tabs>
        <w:spacing w:line="400" w:lineRule="exact"/>
        <w:rPr>
          <w:b/>
          <w:sz w:val="21"/>
          <w:szCs w:val="21"/>
        </w:rPr>
      </w:pPr>
      <w:r w:rsidRPr="009B0219">
        <w:rPr>
          <w:sz w:val="21"/>
          <w:szCs w:val="21"/>
        </w:rPr>
        <w:tab/>
      </w:r>
      <w:r w:rsidRPr="009B0219">
        <w:rPr>
          <w:rFonts w:hint="eastAsia"/>
          <w:b/>
          <w:sz w:val="21"/>
          <w:szCs w:val="21"/>
        </w:rPr>
        <w:t>与胰岛素联合使用</w:t>
      </w:r>
    </w:p>
    <w:p w14:paraId="272FED2C" w14:textId="77777777" w:rsidR="00644C70" w:rsidRPr="00221955" w:rsidRDefault="00644C70" w:rsidP="00644C70">
      <w:pPr>
        <w:tabs>
          <w:tab w:val="left" w:pos="426"/>
        </w:tabs>
        <w:spacing w:line="400" w:lineRule="exact"/>
        <w:rPr>
          <w:sz w:val="21"/>
          <w:szCs w:val="21"/>
        </w:rPr>
      </w:pPr>
      <w:r w:rsidRPr="009B0219">
        <w:rPr>
          <w:sz w:val="21"/>
          <w:szCs w:val="21"/>
        </w:rPr>
        <w:tab/>
      </w:r>
      <w:r w:rsidRPr="009B0219">
        <w:rPr>
          <w:rFonts w:hint="eastAsia"/>
          <w:sz w:val="21"/>
          <w:szCs w:val="21"/>
        </w:rPr>
        <w:t>开始加用本品时可以维持胰岛素的剂量。胰岛素治疗的患者本品起始剂量应为</w:t>
      </w:r>
      <w:r w:rsidRPr="009B0219">
        <w:rPr>
          <w:rFonts w:hint="eastAsia"/>
          <w:sz w:val="21"/>
          <w:szCs w:val="21"/>
        </w:rPr>
        <w:t>0.5g</w:t>
      </w:r>
      <w:r w:rsidRPr="009B0219">
        <w:rPr>
          <w:rFonts w:hint="eastAsia"/>
          <w:sz w:val="21"/>
          <w:szCs w:val="21"/>
        </w:rPr>
        <w:t>，</w:t>
      </w:r>
      <w:r w:rsidRPr="009B0219">
        <w:rPr>
          <w:rFonts w:hint="eastAsia"/>
          <w:sz w:val="21"/>
          <w:szCs w:val="21"/>
        </w:rPr>
        <w:t>1</w:t>
      </w:r>
      <w:r w:rsidRPr="009B0219">
        <w:rPr>
          <w:rFonts w:hint="eastAsia"/>
          <w:sz w:val="21"/>
          <w:szCs w:val="21"/>
        </w:rPr>
        <w:t>次</w:t>
      </w:r>
      <w:r w:rsidRPr="009B0219">
        <w:rPr>
          <w:rFonts w:hint="eastAsia"/>
          <w:sz w:val="21"/>
          <w:szCs w:val="21"/>
        </w:rPr>
        <w:t>/</w:t>
      </w:r>
      <w:r w:rsidRPr="009B0219">
        <w:rPr>
          <w:rFonts w:hint="eastAsia"/>
          <w:sz w:val="21"/>
          <w:szCs w:val="21"/>
        </w:rPr>
        <w:t>日。如果患者的反应不够时，</w:t>
      </w:r>
      <w:r w:rsidRPr="009B0219">
        <w:rPr>
          <w:rFonts w:hint="eastAsia"/>
          <w:sz w:val="21"/>
          <w:szCs w:val="21"/>
        </w:rPr>
        <w:t>1</w:t>
      </w:r>
      <w:r w:rsidRPr="009B0219">
        <w:rPr>
          <w:rFonts w:hint="eastAsia"/>
          <w:sz w:val="21"/>
          <w:szCs w:val="21"/>
        </w:rPr>
        <w:t>周后增加</w:t>
      </w:r>
      <w:r w:rsidRPr="009B0219">
        <w:rPr>
          <w:rFonts w:hint="eastAsia"/>
          <w:sz w:val="21"/>
          <w:szCs w:val="21"/>
        </w:rPr>
        <w:t>0.5g</w:t>
      </w:r>
      <w:r w:rsidRPr="009B0219">
        <w:rPr>
          <w:rFonts w:hint="eastAsia"/>
          <w:sz w:val="21"/>
          <w:szCs w:val="21"/>
        </w:rPr>
        <w:t>，此后可以每周增加</w:t>
      </w:r>
      <w:r w:rsidRPr="009B0219">
        <w:rPr>
          <w:rFonts w:hint="eastAsia"/>
          <w:sz w:val="21"/>
          <w:szCs w:val="21"/>
        </w:rPr>
        <w:t>0.5g</w:t>
      </w:r>
      <w:r w:rsidRPr="009B0219">
        <w:rPr>
          <w:rFonts w:hint="eastAsia"/>
          <w:sz w:val="21"/>
          <w:szCs w:val="21"/>
        </w:rPr>
        <w:t>直到达到满意的血糖控制。推荐的每日最大剂量是</w:t>
      </w:r>
      <w:r w:rsidRPr="009B0219">
        <w:rPr>
          <w:rFonts w:hint="eastAsia"/>
          <w:sz w:val="21"/>
          <w:szCs w:val="21"/>
        </w:rPr>
        <w:t>2g</w:t>
      </w:r>
      <w:r w:rsidRPr="009B0219">
        <w:rPr>
          <w:rFonts w:hint="eastAsia"/>
          <w:sz w:val="21"/>
          <w:szCs w:val="21"/>
        </w:rPr>
        <w:t>。当联合使用本品与胰岛素的患者的空腹血糖降至</w:t>
      </w:r>
      <w:r w:rsidRPr="009B0219">
        <w:rPr>
          <w:rFonts w:hint="eastAsia"/>
          <w:sz w:val="21"/>
          <w:szCs w:val="21"/>
        </w:rPr>
        <w:t>120mg/</w:t>
      </w:r>
      <w:proofErr w:type="spellStart"/>
      <w:r w:rsidRPr="009B0219">
        <w:rPr>
          <w:rFonts w:hint="eastAsia"/>
          <w:sz w:val="21"/>
          <w:szCs w:val="21"/>
        </w:rPr>
        <w:t>dL</w:t>
      </w:r>
      <w:proofErr w:type="spellEnd"/>
      <w:r w:rsidRPr="009B0219">
        <w:rPr>
          <w:rFonts w:hint="eastAsia"/>
          <w:sz w:val="21"/>
          <w:szCs w:val="21"/>
        </w:rPr>
        <w:t>以下时，建议减低胰岛素剂量的</w:t>
      </w:r>
      <w:r w:rsidRPr="009B0219">
        <w:rPr>
          <w:rFonts w:hint="eastAsia"/>
          <w:sz w:val="21"/>
          <w:szCs w:val="21"/>
        </w:rPr>
        <w:t>10%</w:t>
      </w:r>
      <w:r w:rsidRPr="009B0219">
        <w:rPr>
          <w:rFonts w:hint="eastAsia"/>
          <w:sz w:val="21"/>
          <w:szCs w:val="21"/>
        </w:rPr>
        <w:t>～</w:t>
      </w:r>
      <w:r w:rsidRPr="009B0219">
        <w:rPr>
          <w:rFonts w:hint="eastAsia"/>
          <w:sz w:val="21"/>
          <w:szCs w:val="21"/>
        </w:rPr>
        <w:t>25%</w:t>
      </w:r>
      <w:r w:rsidRPr="009B0219">
        <w:rPr>
          <w:rFonts w:hint="eastAsia"/>
          <w:sz w:val="21"/>
          <w:szCs w:val="21"/>
        </w:rPr>
        <w:t>。应当根据血糖降低的反应继续进行个体化的调整或</w:t>
      </w:r>
      <w:proofErr w:type="gramStart"/>
      <w:r w:rsidRPr="009B0219">
        <w:rPr>
          <w:rFonts w:hint="eastAsia"/>
          <w:sz w:val="21"/>
          <w:szCs w:val="21"/>
        </w:rPr>
        <w:t>遵</w:t>
      </w:r>
      <w:proofErr w:type="gramEnd"/>
      <w:r w:rsidRPr="009B0219">
        <w:rPr>
          <w:rFonts w:hint="eastAsia"/>
          <w:sz w:val="21"/>
          <w:szCs w:val="21"/>
        </w:rPr>
        <w:t>医嘱。</w:t>
      </w:r>
    </w:p>
    <w:p w14:paraId="74AA6D4C" w14:textId="77777777" w:rsidR="00644C70" w:rsidRDefault="00644C70" w:rsidP="00644C70">
      <w:pPr>
        <w:spacing w:line="400" w:lineRule="exact"/>
        <w:ind w:firstLineChars="200" w:firstLine="422"/>
        <w:rPr>
          <w:b/>
          <w:sz w:val="21"/>
          <w:szCs w:val="21"/>
        </w:rPr>
      </w:pPr>
      <w:r>
        <w:rPr>
          <w:b/>
          <w:sz w:val="21"/>
          <w:szCs w:val="21"/>
        </w:rPr>
        <w:t>肾功能受损成人的剂量调整</w:t>
      </w:r>
    </w:p>
    <w:p w14:paraId="49300547" w14:textId="77777777" w:rsidR="00644C70" w:rsidRDefault="00644C70" w:rsidP="00644C70">
      <w:pPr>
        <w:spacing w:line="400" w:lineRule="exact"/>
        <w:ind w:firstLineChars="200" w:firstLine="420"/>
        <w:rPr>
          <w:sz w:val="21"/>
          <w:szCs w:val="21"/>
        </w:rPr>
      </w:pPr>
      <w:r>
        <w:rPr>
          <w:sz w:val="21"/>
          <w:szCs w:val="21"/>
        </w:rPr>
        <w:t>eGFR≥60 mL/min/1.73m</w:t>
      </w:r>
      <w:r>
        <w:rPr>
          <w:sz w:val="21"/>
          <w:szCs w:val="21"/>
          <w:vertAlign w:val="superscript"/>
        </w:rPr>
        <w:t>2</w:t>
      </w:r>
      <w:r>
        <w:rPr>
          <w:sz w:val="21"/>
          <w:szCs w:val="21"/>
        </w:rPr>
        <w:t>无需调整剂量，</w:t>
      </w:r>
      <w:proofErr w:type="spellStart"/>
      <w:r>
        <w:rPr>
          <w:sz w:val="21"/>
          <w:szCs w:val="21"/>
        </w:rPr>
        <w:t>eGFR</w:t>
      </w:r>
      <w:proofErr w:type="spellEnd"/>
      <w:r>
        <w:rPr>
          <w:sz w:val="21"/>
          <w:szCs w:val="21"/>
        </w:rPr>
        <w:t xml:space="preserve"> 45</w:t>
      </w:r>
      <w:r>
        <w:rPr>
          <w:sz w:val="21"/>
          <w:szCs w:val="21"/>
        </w:rPr>
        <w:t>～</w:t>
      </w:r>
      <w:r>
        <w:rPr>
          <w:sz w:val="21"/>
          <w:szCs w:val="21"/>
        </w:rPr>
        <w:t>59 mL/min/1.73m</w:t>
      </w:r>
      <w:r>
        <w:rPr>
          <w:sz w:val="21"/>
          <w:szCs w:val="21"/>
          <w:vertAlign w:val="superscript"/>
        </w:rPr>
        <w:t>2</w:t>
      </w:r>
      <w:r>
        <w:rPr>
          <w:sz w:val="21"/>
          <w:szCs w:val="21"/>
        </w:rPr>
        <w:t>减量，</w:t>
      </w:r>
      <w:proofErr w:type="spellStart"/>
      <w:r>
        <w:rPr>
          <w:sz w:val="21"/>
          <w:szCs w:val="21"/>
        </w:rPr>
        <w:t>eGFR</w:t>
      </w:r>
      <w:proofErr w:type="spellEnd"/>
      <w:r>
        <w:rPr>
          <w:sz w:val="21"/>
          <w:szCs w:val="21"/>
        </w:rPr>
        <w:t>&lt;45 mL/min/1.73m</w:t>
      </w:r>
      <w:r>
        <w:rPr>
          <w:sz w:val="21"/>
          <w:szCs w:val="21"/>
          <w:vertAlign w:val="superscript"/>
        </w:rPr>
        <w:t>2</w:t>
      </w:r>
      <w:r>
        <w:rPr>
          <w:sz w:val="21"/>
          <w:szCs w:val="21"/>
        </w:rPr>
        <w:t>禁用。</w:t>
      </w:r>
    </w:p>
    <w:p w14:paraId="52475A9F" w14:textId="77777777" w:rsidR="00644C70" w:rsidRDefault="00644C70" w:rsidP="00644C70">
      <w:pPr>
        <w:spacing w:line="400" w:lineRule="exact"/>
        <w:rPr>
          <w:sz w:val="21"/>
          <w:szCs w:val="21"/>
        </w:rPr>
      </w:pPr>
      <w:r>
        <w:rPr>
          <w:sz w:val="21"/>
          <w:szCs w:val="21"/>
        </w:rPr>
        <w:t>【不良反应】</w:t>
      </w:r>
    </w:p>
    <w:p w14:paraId="166C59D6" w14:textId="77777777" w:rsidR="00644C70" w:rsidRDefault="00644C70" w:rsidP="00644C70">
      <w:pPr>
        <w:spacing w:line="400" w:lineRule="exact"/>
        <w:ind w:firstLineChars="200" w:firstLine="420"/>
        <w:rPr>
          <w:sz w:val="21"/>
          <w:szCs w:val="21"/>
        </w:rPr>
      </w:pPr>
      <w:r>
        <w:rPr>
          <w:sz w:val="21"/>
          <w:szCs w:val="21"/>
        </w:rPr>
        <w:t>据国外文献报道：</w:t>
      </w:r>
    </w:p>
    <w:p w14:paraId="55BF1293" w14:textId="77777777" w:rsidR="00644C70" w:rsidRDefault="00644C70" w:rsidP="00644C70">
      <w:pPr>
        <w:spacing w:line="400" w:lineRule="exact"/>
        <w:ind w:firstLineChars="200" w:firstLine="420"/>
        <w:rPr>
          <w:sz w:val="21"/>
          <w:szCs w:val="21"/>
        </w:rPr>
      </w:pPr>
      <w:r>
        <w:rPr>
          <w:sz w:val="21"/>
          <w:szCs w:val="21"/>
        </w:rPr>
        <w:t>初始治疗时，最常见的不良反应有恶心、呕吐、腹泻、腹痛和食欲不振，大多数患者通常可以自行缓解。以下不良反应可能在服用盐酸二甲双</w:t>
      </w:r>
      <w:proofErr w:type="gramStart"/>
      <w:r>
        <w:rPr>
          <w:sz w:val="21"/>
          <w:szCs w:val="21"/>
        </w:rPr>
        <w:t>胍</w:t>
      </w:r>
      <w:proofErr w:type="gramEnd"/>
      <w:r>
        <w:rPr>
          <w:sz w:val="21"/>
          <w:szCs w:val="21"/>
        </w:rPr>
        <w:t>片时出现。</w:t>
      </w:r>
    </w:p>
    <w:p w14:paraId="1E387536" w14:textId="77777777" w:rsidR="00644C70" w:rsidRDefault="00644C70" w:rsidP="00644C70">
      <w:pPr>
        <w:spacing w:line="400" w:lineRule="exact"/>
        <w:ind w:firstLineChars="200" w:firstLine="420"/>
        <w:rPr>
          <w:sz w:val="21"/>
          <w:szCs w:val="21"/>
        </w:rPr>
      </w:pPr>
      <w:r>
        <w:rPr>
          <w:sz w:val="21"/>
          <w:szCs w:val="21"/>
        </w:rPr>
        <w:t>不良反应发生频率定义如下：十分常见（</w:t>
      </w:r>
      <w:r>
        <w:rPr>
          <w:sz w:val="21"/>
          <w:szCs w:val="21"/>
        </w:rPr>
        <w:t>≥10%</w:t>
      </w:r>
      <w:r>
        <w:rPr>
          <w:sz w:val="21"/>
          <w:szCs w:val="21"/>
        </w:rPr>
        <w:t>）；常见（</w:t>
      </w:r>
      <w:r>
        <w:rPr>
          <w:sz w:val="21"/>
          <w:szCs w:val="21"/>
        </w:rPr>
        <w:t>1%~10%</w:t>
      </w:r>
      <w:r>
        <w:rPr>
          <w:sz w:val="21"/>
          <w:szCs w:val="21"/>
        </w:rPr>
        <w:t>，含</w:t>
      </w:r>
      <w:r>
        <w:rPr>
          <w:sz w:val="21"/>
          <w:szCs w:val="21"/>
        </w:rPr>
        <w:t>1%</w:t>
      </w:r>
      <w:r>
        <w:rPr>
          <w:sz w:val="21"/>
          <w:szCs w:val="21"/>
        </w:rPr>
        <w:t>）</w:t>
      </w:r>
      <w:r>
        <w:rPr>
          <w:sz w:val="21"/>
          <w:szCs w:val="21"/>
        </w:rPr>
        <w:t>,</w:t>
      </w:r>
      <w:r>
        <w:rPr>
          <w:sz w:val="21"/>
          <w:szCs w:val="21"/>
        </w:rPr>
        <w:t>偶见（</w:t>
      </w:r>
      <w:r>
        <w:rPr>
          <w:sz w:val="21"/>
          <w:szCs w:val="21"/>
        </w:rPr>
        <w:t>0.1%~1%</w:t>
      </w:r>
      <w:r>
        <w:rPr>
          <w:sz w:val="21"/>
          <w:szCs w:val="21"/>
        </w:rPr>
        <w:t>，含</w:t>
      </w:r>
      <w:r>
        <w:rPr>
          <w:sz w:val="21"/>
          <w:szCs w:val="21"/>
        </w:rPr>
        <w:t>0.1%</w:t>
      </w:r>
      <w:r>
        <w:rPr>
          <w:sz w:val="21"/>
          <w:szCs w:val="21"/>
        </w:rPr>
        <w:t>），罕见（</w:t>
      </w:r>
      <w:r>
        <w:rPr>
          <w:sz w:val="21"/>
          <w:szCs w:val="21"/>
        </w:rPr>
        <w:t>0.01%~0.1%</w:t>
      </w:r>
      <w:r>
        <w:rPr>
          <w:sz w:val="21"/>
          <w:szCs w:val="21"/>
        </w:rPr>
        <w:t>，含</w:t>
      </w:r>
      <w:r>
        <w:rPr>
          <w:sz w:val="21"/>
          <w:szCs w:val="21"/>
        </w:rPr>
        <w:t>0.01%</w:t>
      </w:r>
      <w:r>
        <w:rPr>
          <w:sz w:val="21"/>
          <w:szCs w:val="21"/>
        </w:rPr>
        <w:t>），十分罕见（</w:t>
      </w:r>
      <w:r>
        <w:rPr>
          <w:sz w:val="21"/>
          <w:szCs w:val="21"/>
        </w:rPr>
        <w:t>&lt;0.01%</w:t>
      </w:r>
      <w:r>
        <w:rPr>
          <w:sz w:val="21"/>
          <w:szCs w:val="21"/>
        </w:rPr>
        <w:t>）。每个频率组中，不良反应是按照严重程度递减的顺序排列的。</w:t>
      </w:r>
    </w:p>
    <w:p w14:paraId="76F549FE" w14:textId="77777777" w:rsidR="00644C70" w:rsidRDefault="00644C70" w:rsidP="00644C70">
      <w:pPr>
        <w:spacing w:line="400" w:lineRule="exact"/>
        <w:ind w:firstLineChars="200" w:firstLine="420"/>
        <w:rPr>
          <w:sz w:val="21"/>
          <w:szCs w:val="21"/>
        </w:rPr>
      </w:pPr>
      <w:r>
        <w:rPr>
          <w:sz w:val="21"/>
          <w:szCs w:val="21"/>
          <w:u w:val="single"/>
        </w:rPr>
        <w:t>代谢和营养障碍</w:t>
      </w:r>
      <w:r>
        <w:rPr>
          <w:sz w:val="21"/>
          <w:szCs w:val="21"/>
        </w:rPr>
        <w:t>：</w:t>
      </w:r>
    </w:p>
    <w:p w14:paraId="3B248A03" w14:textId="77777777" w:rsidR="00644C70" w:rsidRDefault="00644C70" w:rsidP="00644C70">
      <w:pPr>
        <w:spacing w:line="400" w:lineRule="exact"/>
        <w:ind w:firstLineChars="200" w:firstLine="420"/>
        <w:rPr>
          <w:sz w:val="21"/>
          <w:szCs w:val="21"/>
        </w:rPr>
      </w:pPr>
      <w:r>
        <w:rPr>
          <w:i/>
          <w:sz w:val="21"/>
          <w:szCs w:val="21"/>
        </w:rPr>
        <w:t>十分罕见</w:t>
      </w:r>
      <w:r>
        <w:rPr>
          <w:sz w:val="21"/>
          <w:szCs w:val="21"/>
        </w:rPr>
        <w:t>：</w:t>
      </w:r>
    </w:p>
    <w:p w14:paraId="03CF6EEF"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乳酸酸中毒（见【注意事项】）</w:t>
      </w:r>
    </w:p>
    <w:p w14:paraId="47DF7222"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长期服用二甲双</w:t>
      </w:r>
      <w:proofErr w:type="gramStart"/>
      <w:r>
        <w:rPr>
          <w:sz w:val="21"/>
          <w:szCs w:val="21"/>
        </w:rPr>
        <w:t>胍</w:t>
      </w:r>
      <w:proofErr w:type="gramEnd"/>
      <w:r>
        <w:rPr>
          <w:sz w:val="21"/>
          <w:szCs w:val="21"/>
        </w:rPr>
        <w:t>可能减少维生素</w:t>
      </w:r>
      <w:r>
        <w:rPr>
          <w:sz w:val="21"/>
          <w:szCs w:val="21"/>
        </w:rPr>
        <w:t>B12</w:t>
      </w:r>
      <w:r>
        <w:rPr>
          <w:sz w:val="21"/>
          <w:szCs w:val="21"/>
        </w:rPr>
        <w:t>的吸收。若患者出现巨幼红细胞贫血时应考虑该原因。</w:t>
      </w:r>
    </w:p>
    <w:p w14:paraId="622A5BBD" w14:textId="77777777" w:rsidR="00644C70" w:rsidRDefault="00644C70" w:rsidP="00644C70">
      <w:pPr>
        <w:spacing w:line="400" w:lineRule="exact"/>
        <w:ind w:firstLineChars="200" w:firstLine="420"/>
        <w:rPr>
          <w:sz w:val="21"/>
          <w:szCs w:val="21"/>
        </w:rPr>
      </w:pPr>
      <w:r>
        <w:rPr>
          <w:sz w:val="21"/>
          <w:szCs w:val="21"/>
          <w:u w:val="single"/>
        </w:rPr>
        <w:lastRenderedPageBreak/>
        <w:t>神经系统异常</w:t>
      </w:r>
      <w:r>
        <w:rPr>
          <w:sz w:val="21"/>
          <w:szCs w:val="21"/>
        </w:rPr>
        <w:t>：</w:t>
      </w:r>
    </w:p>
    <w:p w14:paraId="0E0E5640" w14:textId="77777777" w:rsidR="00644C70" w:rsidRDefault="00644C70" w:rsidP="00644C70">
      <w:pPr>
        <w:spacing w:line="400" w:lineRule="exact"/>
        <w:ind w:firstLineChars="200" w:firstLine="420"/>
        <w:rPr>
          <w:sz w:val="21"/>
          <w:szCs w:val="21"/>
        </w:rPr>
      </w:pPr>
      <w:r>
        <w:rPr>
          <w:i/>
          <w:sz w:val="21"/>
          <w:szCs w:val="21"/>
        </w:rPr>
        <w:t>常见</w:t>
      </w:r>
      <w:r>
        <w:rPr>
          <w:sz w:val="21"/>
          <w:szCs w:val="21"/>
        </w:rPr>
        <w:t>：</w:t>
      </w:r>
    </w:p>
    <w:p w14:paraId="570FA100"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味觉障碍</w:t>
      </w:r>
    </w:p>
    <w:p w14:paraId="0DA06F58" w14:textId="77777777" w:rsidR="00644C70" w:rsidRDefault="00644C70" w:rsidP="00644C70">
      <w:pPr>
        <w:spacing w:line="400" w:lineRule="exact"/>
        <w:ind w:firstLineChars="200" w:firstLine="420"/>
        <w:rPr>
          <w:sz w:val="21"/>
          <w:szCs w:val="21"/>
        </w:rPr>
      </w:pPr>
      <w:r>
        <w:rPr>
          <w:sz w:val="21"/>
          <w:szCs w:val="21"/>
          <w:u w:val="single"/>
        </w:rPr>
        <w:t>胃肠道异常</w:t>
      </w:r>
      <w:r>
        <w:rPr>
          <w:sz w:val="21"/>
          <w:szCs w:val="21"/>
        </w:rPr>
        <w:t>：</w:t>
      </w:r>
    </w:p>
    <w:p w14:paraId="5EDC3D7C" w14:textId="77777777" w:rsidR="00644C70" w:rsidRDefault="00644C70" w:rsidP="00644C70">
      <w:pPr>
        <w:spacing w:line="400" w:lineRule="exact"/>
        <w:ind w:firstLineChars="200" w:firstLine="420"/>
        <w:rPr>
          <w:sz w:val="21"/>
          <w:szCs w:val="21"/>
        </w:rPr>
      </w:pPr>
      <w:r>
        <w:rPr>
          <w:i/>
          <w:sz w:val="21"/>
          <w:szCs w:val="21"/>
        </w:rPr>
        <w:t>十分常见</w:t>
      </w:r>
      <w:r>
        <w:rPr>
          <w:sz w:val="21"/>
          <w:szCs w:val="21"/>
        </w:rPr>
        <w:t>：</w:t>
      </w:r>
    </w:p>
    <w:p w14:paraId="422FB8EE"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胃肠道异常例如恶心、呕吐、腹泻、腹痛和食欲不振。这些不良反应大多发生在开始治疗时，大多数患者通常可以自行缓解。缓慢增加剂量可提高胃肠道耐受性。</w:t>
      </w:r>
    </w:p>
    <w:p w14:paraId="3BD6581B" w14:textId="77777777" w:rsidR="00644C70" w:rsidRDefault="00644C70" w:rsidP="00644C70">
      <w:pPr>
        <w:spacing w:line="400" w:lineRule="exact"/>
        <w:ind w:firstLineChars="200" w:firstLine="420"/>
        <w:rPr>
          <w:sz w:val="21"/>
          <w:szCs w:val="21"/>
        </w:rPr>
      </w:pPr>
      <w:r>
        <w:rPr>
          <w:sz w:val="21"/>
          <w:szCs w:val="21"/>
          <w:u w:val="single"/>
        </w:rPr>
        <w:t>肝胆功能异常</w:t>
      </w:r>
      <w:r>
        <w:rPr>
          <w:sz w:val="21"/>
          <w:szCs w:val="21"/>
        </w:rPr>
        <w:t>：</w:t>
      </w:r>
    </w:p>
    <w:p w14:paraId="28FECEE3" w14:textId="77777777" w:rsidR="00644C70" w:rsidRDefault="00644C70" w:rsidP="00644C70">
      <w:pPr>
        <w:spacing w:line="400" w:lineRule="exact"/>
        <w:ind w:firstLineChars="200" w:firstLine="420"/>
        <w:rPr>
          <w:sz w:val="21"/>
          <w:szCs w:val="21"/>
        </w:rPr>
      </w:pPr>
      <w:r>
        <w:rPr>
          <w:i/>
          <w:sz w:val="21"/>
          <w:szCs w:val="21"/>
        </w:rPr>
        <w:t>十分罕见</w:t>
      </w:r>
      <w:r>
        <w:rPr>
          <w:sz w:val="21"/>
          <w:szCs w:val="21"/>
        </w:rPr>
        <w:t>：</w:t>
      </w:r>
    </w:p>
    <w:p w14:paraId="5253B474"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有肝功能检查异常或肝炎的个别病例在停止服用二甲双</w:t>
      </w:r>
      <w:proofErr w:type="gramStart"/>
      <w:r>
        <w:rPr>
          <w:sz w:val="21"/>
          <w:szCs w:val="21"/>
        </w:rPr>
        <w:t>胍</w:t>
      </w:r>
      <w:proofErr w:type="gramEnd"/>
      <w:r>
        <w:rPr>
          <w:sz w:val="21"/>
          <w:szCs w:val="21"/>
        </w:rPr>
        <w:t>后恢复正常的报告。</w:t>
      </w:r>
    </w:p>
    <w:p w14:paraId="703EA5BF" w14:textId="77777777" w:rsidR="00644C70" w:rsidRDefault="00644C70" w:rsidP="00644C70">
      <w:pPr>
        <w:spacing w:line="400" w:lineRule="exact"/>
        <w:ind w:firstLineChars="200" w:firstLine="420"/>
        <w:rPr>
          <w:sz w:val="21"/>
          <w:szCs w:val="21"/>
        </w:rPr>
      </w:pPr>
      <w:r>
        <w:rPr>
          <w:sz w:val="21"/>
          <w:szCs w:val="21"/>
          <w:u w:val="single"/>
        </w:rPr>
        <w:t>皮肤和皮下组织异常</w:t>
      </w:r>
      <w:r>
        <w:rPr>
          <w:sz w:val="21"/>
          <w:szCs w:val="21"/>
        </w:rPr>
        <w:t>：</w:t>
      </w:r>
    </w:p>
    <w:p w14:paraId="2E6987E6" w14:textId="77777777" w:rsidR="00644C70" w:rsidRDefault="00644C70" w:rsidP="00644C70">
      <w:pPr>
        <w:spacing w:line="400" w:lineRule="exact"/>
        <w:ind w:firstLineChars="200" w:firstLine="420"/>
        <w:rPr>
          <w:sz w:val="21"/>
          <w:szCs w:val="21"/>
        </w:rPr>
      </w:pPr>
      <w:r>
        <w:rPr>
          <w:i/>
          <w:sz w:val="21"/>
          <w:szCs w:val="21"/>
        </w:rPr>
        <w:t>十分罕见</w:t>
      </w:r>
      <w:r>
        <w:rPr>
          <w:sz w:val="21"/>
          <w:szCs w:val="21"/>
        </w:rPr>
        <w:t>：</w:t>
      </w:r>
    </w:p>
    <w:p w14:paraId="218F519B"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皮肤反应，例如红斑、瘙痒、荨麻疹。</w:t>
      </w:r>
    </w:p>
    <w:p w14:paraId="123A72FD" w14:textId="77777777" w:rsidR="00644C70" w:rsidRDefault="00644C70" w:rsidP="00644C70">
      <w:pPr>
        <w:spacing w:line="400" w:lineRule="exact"/>
        <w:ind w:firstLineChars="200" w:firstLine="420"/>
        <w:rPr>
          <w:sz w:val="21"/>
          <w:szCs w:val="21"/>
        </w:rPr>
      </w:pPr>
      <w:r>
        <w:rPr>
          <w:sz w:val="21"/>
          <w:szCs w:val="21"/>
        </w:rPr>
        <w:t>其他可能出现的不良反应包括：胃胀，乏力，消化不良，腹部不适及头痛，大便异常，便秘，腹胀，低血糖，肌痛，头昏，头晕，指甲异常，皮疹，出汗增加，胸部不适，寒战，流感症状，潮热，心悸，体重减轻等。</w:t>
      </w:r>
    </w:p>
    <w:p w14:paraId="675A18EB" w14:textId="77777777" w:rsidR="00644C70" w:rsidRDefault="00644C70" w:rsidP="00644C70">
      <w:pPr>
        <w:spacing w:line="400" w:lineRule="exact"/>
        <w:ind w:firstLineChars="200" w:firstLine="422"/>
        <w:rPr>
          <w:b/>
          <w:sz w:val="21"/>
          <w:szCs w:val="21"/>
        </w:rPr>
      </w:pPr>
      <w:r>
        <w:rPr>
          <w:b/>
          <w:sz w:val="21"/>
          <w:szCs w:val="21"/>
        </w:rPr>
        <w:t>儿童</w:t>
      </w:r>
    </w:p>
    <w:p w14:paraId="067AD461" w14:textId="77777777" w:rsidR="00644C70" w:rsidRDefault="00644C70" w:rsidP="00644C70">
      <w:pPr>
        <w:spacing w:line="400" w:lineRule="exact"/>
        <w:ind w:firstLineChars="200" w:firstLine="420"/>
        <w:rPr>
          <w:sz w:val="21"/>
          <w:szCs w:val="24"/>
        </w:rPr>
      </w:pPr>
      <w:r>
        <w:rPr>
          <w:sz w:val="21"/>
          <w:szCs w:val="24"/>
        </w:rPr>
        <w:t>在已发表的数据、上市后数据以及在年龄为</w:t>
      </w:r>
      <w:r>
        <w:rPr>
          <w:sz w:val="21"/>
          <w:szCs w:val="24"/>
        </w:rPr>
        <w:t>10-16</w:t>
      </w:r>
      <w:r>
        <w:rPr>
          <w:sz w:val="21"/>
          <w:szCs w:val="24"/>
        </w:rPr>
        <w:t>周岁的数量有限的儿童中开展的为期一年的临床对照研究中，不良事件及其严重程度与成人相似。</w:t>
      </w:r>
    </w:p>
    <w:p w14:paraId="31323B05" w14:textId="77777777" w:rsidR="00644C70" w:rsidRDefault="00644C70" w:rsidP="00644C70">
      <w:pPr>
        <w:spacing w:line="400" w:lineRule="exact"/>
        <w:rPr>
          <w:sz w:val="21"/>
          <w:szCs w:val="21"/>
        </w:rPr>
      </w:pPr>
      <w:r>
        <w:rPr>
          <w:sz w:val="21"/>
          <w:szCs w:val="21"/>
        </w:rPr>
        <w:t>【禁</w:t>
      </w:r>
      <w:r>
        <w:rPr>
          <w:sz w:val="21"/>
          <w:szCs w:val="21"/>
        </w:rPr>
        <w:t xml:space="preserve">    </w:t>
      </w:r>
      <w:r>
        <w:rPr>
          <w:sz w:val="21"/>
          <w:szCs w:val="21"/>
        </w:rPr>
        <w:t>忌】</w:t>
      </w:r>
    </w:p>
    <w:p w14:paraId="6F0F07FB"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严重的肾功能衰竭（</w:t>
      </w:r>
      <w:proofErr w:type="spellStart"/>
      <w:r>
        <w:rPr>
          <w:sz w:val="21"/>
          <w:szCs w:val="21"/>
        </w:rPr>
        <w:t>eGFR</w:t>
      </w:r>
      <w:proofErr w:type="spellEnd"/>
      <w:r>
        <w:rPr>
          <w:sz w:val="21"/>
          <w:szCs w:val="21"/>
        </w:rPr>
        <w:t>&lt;45 mL/min/1.73m</w:t>
      </w:r>
      <w:r>
        <w:rPr>
          <w:sz w:val="21"/>
          <w:szCs w:val="21"/>
          <w:vertAlign w:val="superscript"/>
        </w:rPr>
        <w:t>2</w:t>
      </w:r>
      <w:r>
        <w:rPr>
          <w:sz w:val="21"/>
          <w:szCs w:val="21"/>
        </w:rPr>
        <w:t>）；</w:t>
      </w:r>
    </w:p>
    <w:p w14:paraId="2EB207DE"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可能影响肾功能的急性病情，如：脱水、严重感染、休克；</w:t>
      </w:r>
    </w:p>
    <w:p w14:paraId="7EE4A7D6"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可造成组织缺氧的疾病（尤其是急性疾病或慢性疾病的恶化），例如失代偿性心力衰竭、呼吸衰竭、近期发作的心肌梗死和休克；</w:t>
      </w:r>
    </w:p>
    <w:p w14:paraId="2507B4EE"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严重感染和外伤，外科大手术，临床有低血压和缺氧等；</w:t>
      </w:r>
    </w:p>
    <w:p w14:paraId="33B4CF6D"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已知对盐酸二甲双</w:t>
      </w:r>
      <w:proofErr w:type="gramStart"/>
      <w:r>
        <w:rPr>
          <w:sz w:val="21"/>
          <w:szCs w:val="21"/>
        </w:rPr>
        <w:t>胍</w:t>
      </w:r>
      <w:proofErr w:type="gramEnd"/>
      <w:r>
        <w:rPr>
          <w:sz w:val="21"/>
          <w:szCs w:val="21"/>
        </w:rPr>
        <w:t>和本品中任何成分过敏；</w:t>
      </w:r>
    </w:p>
    <w:p w14:paraId="3A864E95"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任何急性代谢性酸中毒，包括乳酸酸中毒、糖尿病酮症酸中毒；</w:t>
      </w:r>
    </w:p>
    <w:p w14:paraId="4D8176A1"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糖尿病昏迷前驱期；</w:t>
      </w:r>
    </w:p>
    <w:p w14:paraId="7AB0E9C8"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肝功能不全、急性酒精中毒、酗酒；</w:t>
      </w:r>
    </w:p>
    <w:p w14:paraId="7005A20D" w14:textId="77777777" w:rsidR="00644C70" w:rsidRDefault="00644C70" w:rsidP="00644C70">
      <w:pPr>
        <w:spacing w:line="400" w:lineRule="exact"/>
        <w:rPr>
          <w:sz w:val="21"/>
          <w:szCs w:val="21"/>
        </w:rPr>
      </w:pPr>
      <w:r>
        <w:rPr>
          <w:sz w:val="21"/>
          <w:szCs w:val="21"/>
        </w:rPr>
        <w:tab/>
        <w:t>•</w:t>
      </w:r>
      <w:r>
        <w:rPr>
          <w:sz w:val="21"/>
          <w:szCs w:val="21"/>
        </w:rPr>
        <w:tab/>
      </w:r>
      <w:r>
        <w:rPr>
          <w:sz w:val="21"/>
          <w:szCs w:val="21"/>
        </w:rPr>
        <w:t>维生素</w:t>
      </w:r>
      <w:r>
        <w:rPr>
          <w:sz w:val="21"/>
          <w:szCs w:val="21"/>
        </w:rPr>
        <w:t>B12</w:t>
      </w:r>
      <w:r>
        <w:rPr>
          <w:sz w:val="21"/>
          <w:szCs w:val="21"/>
        </w:rPr>
        <w:t>、叶酸缺乏未纠正者</w:t>
      </w:r>
    </w:p>
    <w:p w14:paraId="2326CB6E" w14:textId="77777777" w:rsidR="00644C70" w:rsidRDefault="00644C70" w:rsidP="00644C70">
      <w:pPr>
        <w:spacing w:line="400" w:lineRule="exact"/>
        <w:rPr>
          <w:sz w:val="21"/>
          <w:szCs w:val="21"/>
        </w:rPr>
      </w:pPr>
      <w:r>
        <w:rPr>
          <w:sz w:val="21"/>
          <w:szCs w:val="21"/>
        </w:rPr>
        <w:t>【注意事项】</w:t>
      </w:r>
    </w:p>
    <w:p w14:paraId="2256F46F" w14:textId="77777777" w:rsidR="00644C70" w:rsidRDefault="00644C70" w:rsidP="00644C70">
      <w:pPr>
        <w:spacing w:line="400" w:lineRule="exact"/>
        <w:rPr>
          <w:b/>
          <w:sz w:val="21"/>
          <w:szCs w:val="21"/>
        </w:rPr>
      </w:pPr>
      <w:r>
        <w:rPr>
          <w:b/>
          <w:sz w:val="21"/>
          <w:szCs w:val="21"/>
        </w:rPr>
        <w:t>警告</w:t>
      </w:r>
    </w:p>
    <w:p w14:paraId="7CEC0603" w14:textId="77777777" w:rsidR="00644C70" w:rsidRDefault="00644C70" w:rsidP="00644C70">
      <w:pPr>
        <w:spacing w:line="400" w:lineRule="exact"/>
        <w:ind w:firstLineChars="200" w:firstLine="420"/>
        <w:rPr>
          <w:sz w:val="21"/>
          <w:szCs w:val="21"/>
        </w:rPr>
      </w:pPr>
      <w:r>
        <w:rPr>
          <w:sz w:val="21"/>
          <w:szCs w:val="21"/>
          <w:u w:val="single"/>
        </w:rPr>
        <w:t>乳酸酸中毒</w:t>
      </w:r>
      <w:r>
        <w:rPr>
          <w:sz w:val="21"/>
          <w:szCs w:val="21"/>
        </w:rPr>
        <w:t>：</w:t>
      </w:r>
    </w:p>
    <w:p w14:paraId="05AF8A11" w14:textId="77777777" w:rsidR="00644C70" w:rsidRDefault="00644C70" w:rsidP="00644C70">
      <w:pPr>
        <w:spacing w:line="400" w:lineRule="exact"/>
        <w:ind w:firstLineChars="200" w:firstLine="420"/>
        <w:rPr>
          <w:sz w:val="21"/>
          <w:szCs w:val="21"/>
        </w:rPr>
      </w:pPr>
      <w:r>
        <w:rPr>
          <w:sz w:val="21"/>
          <w:szCs w:val="21"/>
        </w:rPr>
        <w:lastRenderedPageBreak/>
        <w:t>乳酸酸中毒是一种非常罕见但严重的代谢并发症，可由于二甲双</w:t>
      </w:r>
      <w:proofErr w:type="gramStart"/>
      <w:r>
        <w:rPr>
          <w:sz w:val="21"/>
          <w:szCs w:val="21"/>
        </w:rPr>
        <w:t>胍</w:t>
      </w:r>
      <w:proofErr w:type="gramEnd"/>
      <w:r>
        <w:rPr>
          <w:sz w:val="21"/>
          <w:szCs w:val="21"/>
        </w:rPr>
        <w:t>在体内蓄积而诱发，常见于肾功能急性恶化、患有心肺疾病或败血症的患者中。</w:t>
      </w:r>
    </w:p>
    <w:p w14:paraId="3A507416" w14:textId="77777777" w:rsidR="00644C70" w:rsidRDefault="00644C70" w:rsidP="00644C70">
      <w:pPr>
        <w:spacing w:line="400" w:lineRule="exact"/>
        <w:ind w:firstLineChars="200" w:firstLine="420"/>
        <w:rPr>
          <w:sz w:val="21"/>
          <w:szCs w:val="21"/>
        </w:rPr>
      </w:pPr>
      <w:r>
        <w:rPr>
          <w:sz w:val="21"/>
          <w:szCs w:val="21"/>
        </w:rPr>
        <w:t>出现脱水（严重腹泻或呕吐、发热或液体摄入量减少）的患者应暂时停用二甲双</w:t>
      </w:r>
      <w:proofErr w:type="gramStart"/>
      <w:r>
        <w:rPr>
          <w:sz w:val="21"/>
          <w:szCs w:val="21"/>
        </w:rPr>
        <w:t>胍</w:t>
      </w:r>
      <w:proofErr w:type="gramEnd"/>
      <w:r>
        <w:rPr>
          <w:sz w:val="21"/>
          <w:szCs w:val="21"/>
        </w:rPr>
        <w:t>并告知医生。</w:t>
      </w:r>
    </w:p>
    <w:p w14:paraId="3B823587" w14:textId="77777777" w:rsidR="00644C70" w:rsidRDefault="00644C70" w:rsidP="00644C70">
      <w:pPr>
        <w:spacing w:line="400" w:lineRule="exact"/>
        <w:ind w:firstLineChars="200" w:firstLine="420"/>
        <w:rPr>
          <w:sz w:val="21"/>
          <w:szCs w:val="21"/>
        </w:rPr>
      </w:pPr>
      <w:r>
        <w:rPr>
          <w:sz w:val="21"/>
          <w:szCs w:val="21"/>
        </w:rPr>
        <w:t>在服用二甲双</w:t>
      </w:r>
      <w:proofErr w:type="gramStart"/>
      <w:r>
        <w:rPr>
          <w:sz w:val="21"/>
          <w:szCs w:val="21"/>
        </w:rPr>
        <w:t>胍</w:t>
      </w:r>
      <w:proofErr w:type="gramEnd"/>
      <w:r>
        <w:rPr>
          <w:sz w:val="21"/>
          <w:szCs w:val="21"/>
        </w:rPr>
        <w:t>患者中，应警惕使用可以引起肾功能急性受损的药物【包括降压药、利尿剂和非甾体类抗炎药（</w:t>
      </w:r>
      <w:r>
        <w:rPr>
          <w:sz w:val="21"/>
          <w:szCs w:val="21"/>
        </w:rPr>
        <w:t>NSAIDs</w:t>
      </w:r>
      <w:r>
        <w:rPr>
          <w:sz w:val="21"/>
          <w:szCs w:val="21"/>
        </w:rPr>
        <w:t>）】。乳酸酸中毒的风险因素还包括过量饮酒、肝功能不全、糖尿病控制不佳、酮症、长期禁食和任何可能引起缺氧的疾病，以及同时使用可能引起乳酸酸中毒的药物。</w:t>
      </w:r>
    </w:p>
    <w:p w14:paraId="0D4C451A" w14:textId="77777777" w:rsidR="00644C70" w:rsidRDefault="00644C70" w:rsidP="00644C70">
      <w:pPr>
        <w:spacing w:line="400" w:lineRule="exact"/>
        <w:ind w:firstLineChars="200" w:firstLine="420"/>
        <w:rPr>
          <w:sz w:val="21"/>
          <w:szCs w:val="21"/>
        </w:rPr>
      </w:pPr>
      <w:r>
        <w:rPr>
          <w:sz w:val="21"/>
          <w:szCs w:val="21"/>
        </w:rPr>
        <w:t>应告知患者和</w:t>
      </w:r>
      <w:r>
        <w:rPr>
          <w:sz w:val="21"/>
          <w:szCs w:val="21"/>
        </w:rPr>
        <w:t>/</w:t>
      </w:r>
      <w:r>
        <w:rPr>
          <w:sz w:val="21"/>
          <w:szCs w:val="21"/>
        </w:rPr>
        <w:t>或看护者乳酸酸中毒的风险。乳酸酸中毒的特点为酸中毒呼吸困难、腹痛、肌肉痉挛、衰弱和体温降低，进而昏迷。一旦出现可疑症状，患者应立即停用二甲双</w:t>
      </w:r>
      <w:proofErr w:type="gramStart"/>
      <w:r>
        <w:rPr>
          <w:sz w:val="21"/>
          <w:szCs w:val="21"/>
        </w:rPr>
        <w:t>胍</w:t>
      </w:r>
      <w:proofErr w:type="gramEnd"/>
      <w:r>
        <w:rPr>
          <w:sz w:val="21"/>
          <w:szCs w:val="21"/>
        </w:rPr>
        <w:t>并及时告知医生。实验室检查异常包括</w:t>
      </w:r>
      <w:r>
        <w:rPr>
          <w:sz w:val="21"/>
          <w:szCs w:val="21"/>
        </w:rPr>
        <w:t>pH</w:t>
      </w:r>
      <w:r>
        <w:rPr>
          <w:sz w:val="21"/>
          <w:szCs w:val="21"/>
        </w:rPr>
        <w:t>值降低（</w:t>
      </w:r>
      <w:r>
        <w:rPr>
          <w:sz w:val="21"/>
          <w:szCs w:val="21"/>
        </w:rPr>
        <w:t>&lt;7.35</w:t>
      </w:r>
      <w:r>
        <w:rPr>
          <w:sz w:val="21"/>
          <w:szCs w:val="21"/>
        </w:rPr>
        <w:t>）、血浆乳酸水平高于</w:t>
      </w:r>
      <w:r>
        <w:rPr>
          <w:sz w:val="21"/>
          <w:szCs w:val="21"/>
        </w:rPr>
        <w:t xml:space="preserve">5 </w:t>
      </w:r>
      <w:proofErr w:type="spellStart"/>
      <w:r>
        <w:rPr>
          <w:sz w:val="21"/>
          <w:szCs w:val="21"/>
        </w:rPr>
        <w:t>mmol</w:t>
      </w:r>
      <w:proofErr w:type="spellEnd"/>
      <w:r>
        <w:rPr>
          <w:sz w:val="21"/>
          <w:szCs w:val="21"/>
        </w:rPr>
        <w:t>/L</w:t>
      </w:r>
      <w:r>
        <w:rPr>
          <w:sz w:val="21"/>
          <w:szCs w:val="21"/>
        </w:rPr>
        <w:t>和阴离子间隙以及乳酸</w:t>
      </w:r>
      <w:r>
        <w:rPr>
          <w:sz w:val="21"/>
          <w:szCs w:val="21"/>
        </w:rPr>
        <w:t>/</w:t>
      </w:r>
      <w:r>
        <w:rPr>
          <w:sz w:val="21"/>
          <w:szCs w:val="21"/>
        </w:rPr>
        <w:t>丙酮酸比值升高。</w:t>
      </w:r>
    </w:p>
    <w:p w14:paraId="4203ADBE" w14:textId="77777777" w:rsidR="00644C70" w:rsidRPr="002D5DF5" w:rsidRDefault="00644C70" w:rsidP="00644C70">
      <w:pPr>
        <w:spacing w:line="400" w:lineRule="exact"/>
        <w:ind w:firstLineChars="200" w:firstLine="420"/>
        <w:rPr>
          <w:sz w:val="21"/>
          <w:szCs w:val="21"/>
        </w:rPr>
      </w:pPr>
      <w:r>
        <w:rPr>
          <w:sz w:val="21"/>
          <w:szCs w:val="21"/>
        </w:rPr>
        <w:t>乳酸酸中毒是必须在医院治疗的急症。服用本品的乳酸酸中毒患者应立即停药并及时进行支持诊断的检查。</w:t>
      </w:r>
    </w:p>
    <w:p w14:paraId="222D2DD0" w14:textId="77777777" w:rsidR="00644C70" w:rsidRDefault="00644C70" w:rsidP="00644C70">
      <w:pPr>
        <w:spacing w:line="400" w:lineRule="exact"/>
        <w:ind w:firstLineChars="200" w:firstLine="422"/>
        <w:rPr>
          <w:b/>
          <w:sz w:val="21"/>
          <w:szCs w:val="21"/>
        </w:rPr>
      </w:pPr>
      <w:r>
        <w:rPr>
          <w:b/>
          <w:sz w:val="21"/>
          <w:szCs w:val="21"/>
        </w:rPr>
        <w:t>一般注意事项</w:t>
      </w:r>
    </w:p>
    <w:p w14:paraId="3A434B98" w14:textId="77777777" w:rsidR="00644C70" w:rsidRDefault="00644C70" w:rsidP="00644C70">
      <w:pPr>
        <w:spacing w:line="400" w:lineRule="exact"/>
        <w:ind w:firstLineChars="200" w:firstLine="420"/>
        <w:rPr>
          <w:sz w:val="21"/>
          <w:szCs w:val="21"/>
        </w:rPr>
      </w:pPr>
      <w:r>
        <w:rPr>
          <w:sz w:val="21"/>
          <w:szCs w:val="21"/>
          <w:u w:val="single"/>
        </w:rPr>
        <w:t>肾功能</w:t>
      </w:r>
      <w:r>
        <w:rPr>
          <w:sz w:val="21"/>
          <w:szCs w:val="21"/>
        </w:rPr>
        <w:t>:</w:t>
      </w:r>
    </w:p>
    <w:p w14:paraId="42B7E78D" w14:textId="77777777" w:rsidR="00644C70" w:rsidRDefault="00644C70" w:rsidP="00644C70">
      <w:pPr>
        <w:spacing w:line="400" w:lineRule="exact"/>
        <w:ind w:firstLineChars="200" w:firstLine="420"/>
        <w:rPr>
          <w:sz w:val="21"/>
          <w:szCs w:val="21"/>
        </w:rPr>
      </w:pPr>
      <w:r>
        <w:rPr>
          <w:sz w:val="21"/>
          <w:szCs w:val="21"/>
        </w:rPr>
        <w:t>慢性肾脏病变是糖尿病的常见并发症，一旦确诊糖尿病，应常规检查肾功能。二甲双</w:t>
      </w:r>
      <w:proofErr w:type="gramStart"/>
      <w:r>
        <w:rPr>
          <w:sz w:val="21"/>
          <w:szCs w:val="21"/>
        </w:rPr>
        <w:t>胍</w:t>
      </w:r>
      <w:proofErr w:type="gramEnd"/>
      <w:r>
        <w:rPr>
          <w:sz w:val="21"/>
          <w:szCs w:val="21"/>
        </w:rPr>
        <w:t>经过肾脏排泄，随着肾功能受损的程度的增加，二甲双</w:t>
      </w:r>
      <w:proofErr w:type="gramStart"/>
      <w:r>
        <w:rPr>
          <w:sz w:val="21"/>
          <w:szCs w:val="21"/>
        </w:rPr>
        <w:t>胍</w:t>
      </w:r>
      <w:proofErr w:type="gramEnd"/>
      <w:r>
        <w:rPr>
          <w:sz w:val="21"/>
          <w:szCs w:val="21"/>
        </w:rPr>
        <w:t>蓄积和发生乳酸酸中毒的危险性随之增加。开始治疗前以及治疗后应至少每年检查肾功能。</w:t>
      </w:r>
    </w:p>
    <w:p w14:paraId="243AE431" w14:textId="77777777" w:rsidR="00644C70" w:rsidRDefault="00644C70" w:rsidP="00644C70">
      <w:pPr>
        <w:spacing w:line="400" w:lineRule="exact"/>
        <w:ind w:firstLineChars="200" w:firstLine="420"/>
        <w:rPr>
          <w:sz w:val="21"/>
          <w:szCs w:val="21"/>
        </w:rPr>
      </w:pPr>
      <w:r>
        <w:rPr>
          <w:sz w:val="21"/>
          <w:szCs w:val="21"/>
        </w:rPr>
        <w:t>本品禁用于</w:t>
      </w:r>
      <w:proofErr w:type="spellStart"/>
      <w:r>
        <w:rPr>
          <w:sz w:val="21"/>
          <w:szCs w:val="21"/>
        </w:rPr>
        <w:t>eGFR</w:t>
      </w:r>
      <w:proofErr w:type="spellEnd"/>
      <w:r>
        <w:rPr>
          <w:sz w:val="21"/>
          <w:szCs w:val="21"/>
        </w:rPr>
        <w:t>&lt;45 mL/min/1.73m</w:t>
      </w:r>
      <w:r>
        <w:rPr>
          <w:sz w:val="21"/>
          <w:szCs w:val="21"/>
          <w:vertAlign w:val="superscript"/>
        </w:rPr>
        <w:t>2</w:t>
      </w:r>
      <w:r>
        <w:rPr>
          <w:sz w:val="21"/>
          <w:szCs w:val="21"/>
        </w:rPr>
        <w:t>的患者。出现脱水、严重感染或休克等影响肾功能的急性病情的患者应暂时停用本品。（见【禁忌】）</w:t>
      </w:r>
    </w:p>
    <w:p w14:paraId="0250E8B9" w14:textId="77777777" w:rsidR="00644C70" w:rsidRDefault="00644C70" w:rsidP="00644C70">
      <w:pPr>
        <w:spacing w:line="400" w:lineRule="exact"/>
        <w:ind w:firstLineChars="200" w:firstLine="420"/>
        <w:rPr>
          <w:sz w:val="21"/>
          <w:szCs w:val="21"/>
        </w:rPr>
      </w:pPr>
      <w:r>
        <w:rPr>
          <w:sz w:val="21"/>
          <w:szCs w:val="21"/>
          <w:u w:val="single"/>
        </w:rPr>
        <w:t>心功能</w:t>
      </w:r>
      <w:r>
        <w:rPr>
          <w:sz w:val="21"/>
          <w:szCs w:val="21"/>
        </w:rPr>
        <w:t>:</w:t>
      </w:r>
    </w:p>
    <w:p w14:paraId="74FCA82B" w14:textId="77777777" w:rsidR="00644C70" w:rsidRDefault="00644C70" w:rsidP="00644C70">
      <w:pPr>
        <w:spacing w:line="400" w:lineRule="exact"/>
        <w:ind w:firstLineChars="200" w:firstLine="420"/>
        <w:rPr>
          <w:sz w:val="21"/>
          <w:szCs w:val="21"/>
        </w:rPr>
      </w:pPr>
      <w:r>
        <w:rPr>
          <w:sz w:val="21"/>
          <w:szCs w:val="21"/>
        </w:rPr>
        <w:t>心衰患者缺氧和肾功能不全的风险更高。稳定性慢性心衰的患者在定期检查心、肾功能的情况下可以服用二甲双</w:t>
      </w:r>
      <w:proofErr w:type="gramStart"/>
      <w:r>
        <w:rPr>
          <w:sz w:val="21"/>
          <w:szCs w:val="21"/>
        </w:rPr>
        <w:t>胍</w:t>
      </w:r>
      <w:proofErr w:type="gramEnd"/>
      <w:r>
        <w:rPr>
          <w:sz w:val="21"/>
          <w:szCs w:val="21"/>
        </w:rPr>
        <w:t>。</w:t>
      </w:r>
    </w:p>
    <w:p w14:paraId="1BCC64D9"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禁用于急性和不稳定性心衰的患者（见【禁忌】）。</w:t>
      </w:r>
    </w:p>
    <w:p w14:paraId="0B45A08B" w14:textId="77777777" w:rsidR="00644C70" w:rsidRDefault="00644C70" w:rsidP="00644C70">
      <w:pPr>
        <w:spacing w:line="400" w:lineRule="exact"/>
        <w:ind w:firstLineChars="200" w:firstLine="420"/>
        <w:rPr>
          <w:sz w:val="21"/>
          <w:szCs w:val="21"/>
        </w:rPr>
      </w:pPr>
      <w:r>
        <w:rPr>
          <w:sz w:val="21"/>
          <w:szCs w:val="21"/>
          <w:u w:val="single"/>
        </w:rPr>
        <w:t>碘化造影剂的使用</w:t>
      </w:r>
      <w:r>
        <w:rPr>
          <w:sz w:val="21"/>
          <w:szCs w:val="21"/>
        </w:rPr>
        <w:t>:</w:t>
      </w:r>
    </w:p>
    <w:p w14:paraId="092CA175" w14:textId="77777777" w:rsidR="00644C70" w:rsidRDefault="00644C70" w:rsidP="00644C70">
      <w:pPr>
        <w:spacing w:line="400" w:lineRule="exact"/>
        <w:ind w:firstLineChars="200" w:firstLine="420"/>
        <w:rPr>
          <w:sz w:val="21"/>
          <w:szCs w:val="21"/>
        </w:rPr>
      </w:pPr>
      <w:r>
        <w:rPr>
          <w:sz w:val="21"/>
          <w:szCs w:val="21"/>
        </w:rPr>
        <w:t>向血管内注射碘化造影</w:t>
      </w:r>
      <w:proofErr w:type="gramStart"/>
      <w:r>
        <w:rPr>
          <w:sz w:val="21"/>
          <w:szCs w:val="21"/>
        </w:rPr>
        <w:t>剂可能</w:t>
      </w:r>
      <w:proofErr w:type="gramEnd"/>
      <w:r>
        <w:rPr>
          <w:sz w:val="21"/>
          <w:szCs w:val="21"/>
        </w:rPr>
        <w:t>导致造影剂肾病，这可能引起二甲双</w:t>
      </w:r>
      <w:proofErr w:type="gramStart"/>
      <w:r>
        <w:rPr>
          <w:sz w:val="21"/>
          <w:szCs w:val="21"/>
        </w:rPr>
        <w:t>胍</w:t>
      </w:r>
      <w:proofErr w:type="gramEnd"/>
      <w:r>
        <w:rPr>
          <w:sz w:val="21"/>
          <w:szCs w:val="21"/>
        </w:rPr>
        <w:t>蓄积和增加乳酸酸中毒的风险。因此，计划做这类检查的患者，在检查前或检查时必须停止服用二甲双</w:t>
      </w:r>
      <w:proofErr w:type="gramStart"/>
      <w:r>
        <w:rPr>
          <w:sz w:val="21"/>
          <w:szCs w:val="21"/>
        </w:rPr>
        <w:t>胍</w:t>
      </w:r>
      <w:proofErr w:type="gramEnd"/>
      <w:r>
        <w:rPr>
          <w:sz w:val="21"/>
          <w:szCs w:val="21"/>
        </w:rPr>
        <w:t>，在检查完成至少</w:t>
      </w:r>
      <w:r>
        <w:rPr>
          <w:sz w:val="21"/>
          <w:szCs w:val="21"/>
        </w:rPr>
        <w:t>48</w:t>
      </w:r>
      <w:r>
        <w:rPr>
          <w:sz w:val="21"/>
          <w:szCs w:val="21"/>
        </w:rPr>
        <w:t>小时后且仅在再次检查肾功能稳定的情况下才可以恢复用药。</w:t>
      </w:r>
    </w:p>
    <w:p w14:paraId="103AB862" w14:textId="77777777" w:rsidR="00644C70" w:rsidRDefault="00644C70" w:rsidP="00644C70">
      <w:pPr>
        <w:spacing w:line="400" w:lineRule="exact"/>
        <w:ind w:firstLineChars="200" w:firstLine="420"/>
        <w:rPr>
          <w:sz w:val="21"/>
          <w:szCs w:val="21"/>
        </w:rPr>
      </w:pPr>
      <w:r>
        <w:rPr>
          <w:sz w:val="21"/>
          <w:szCs w:val="21"/>
          <w:u w:val="single"/>
        </w:rPr>
        <w:t>外科手术</w:t>
      </w:r>
      <w:r>
        <w:rPr>
          <w:sz w:val="21"/>
          <w:szCs w:val="21"/>
        </w:rPr>
        <w:t>:</w:t>
      </w:r>
    </w:p>
    <w:p w14:paraId="37C047E4" w14:textId="77777777" w:rsidR="00644C70" w:rsidRDefault="00644C70" w:rsidP="00644C70">
      <w:pPr>
        <w:spacing w:line="400" w:lineRule="exact"/>
        <w:ind w:firstLineChars="200" w:firstLine="420"/>
        <w:rPr>
          <w:sz w:val="21"/>
          <w:szCs w:val="21"/>
        </w:rPr>
      </w:pPr>
      <w:r>
        <w:rPr>
          <w:sz w:val="21"/>
          <w:szCs w:val="21"/>
        </w:rPr>
        <w:t>在接受常规、脊髓或硬膜外麻醉的手术时必须停止服用二甲双</w:t>
      </w:r>
      <w:proofErr w:type="gramStart"/>
      <w:r>
        <w:rPr>
          <w:sz w:val="21"/>
          <w:szCs w:val="21"/>
        </w:rPr>
        <w:t>胍</w:t>
      </w:r>
      <w:proofErr w:type="gramEnd"/>
      <w:r>
        <w:rPr>
          <w:sz w:val="21"/>
          <w:szCs w:val="21"/>
        </w:rPr>
        <w:t>。术后至少</w:t>
      </w:r>
      <w:r>
        <w:rPr>
          <w:sz w:val="21"/>
          <w:szCs w:val="21"/>
        </w:rPr>
        <w:t>48</w:t>
      </w:r>
      <w:r>
        <w:rPr>
          <w:sz w:val="21"/>
          <w:szCs w:val="21"/>
        </w:rPr>
        <w:t>小时或恢复进食并且肾功能经评估稳定后才可以重新开始治疗。</w:t>
      </w:r>
    </w:p>
    <w:p w14:paraId="6692C9D2" w14:textId="77777777" w:rsidR="00644C70" w:rsidRDefault="00644C70" w:rsidP="00644C70">
      <w:pPr>
        <w:spacing w:line="400" w:lineRule="exact"/>
        <w:ind w:firstLineChars="200" w:firstLine="420"/>
        <w:rPr>
          <w:sz w:val="21"/>
          <w:szCs w:val="21"/>
        </w:rPr>
      </w:pPr>
      <w:r>
        <w:rPr>
          <w:sz w:val="21"/>
          <w:szCs w:val="21"/>
          <w:u w:val="single"/>
        </w:rPr>
        <w:t>其他注意事项</w:t>
      </w:r>
      <w:r>
        <w:rPr>
          <w:sz w:val="21"/>
          <w:szCs w:val="21"/>
        </w:rPr>
        <w:t>:</w:t>
      </w:r>
    </w:p>
    <w:p w14:paraId="28556EE2" w14:textId="77777777" w:rsidR="00644C70" w:rsidRDefault="00644C70" w:rsidP="00644C70">
      <w:pPr>
        <w:spacing w:line="400" w:lineRule="exact"/>
        <w:ind w:firstLineChars="200" w:firstLine="420"/>
        <w:rPr>
          <w:sz w:val="21"/>
          <w:szCs w:val="21"/>
        </w:rPr>
      </w:pPr>
      <w:r>
        <w:rPr>
          <w:sz w:val="21"/>
          <w:szCs w:val="21"/>
        </w:rPr>
        <w:t>所有患者应继续合理安排碳水化合物的饮食摄入。超重患者应继续热量限制性饮食。</w:t>
      </w:r>
    </w:p>
    <w:p w14:paraId="708B95A9" w14:textId="77777777" w:rsidR="00644C70" w:rsidRDefault="00644C70" w:rsidP="00644C70">
      <w:pPr>
        <w:spacing w:line="400" w:lineRule="exact"/>
        <w:ind w:firstLineChars="200" w:firstLine="420"/>
        <w:rPr>
          <w:sz w:val="21"/>
          <w:szCs w:val="21"/>
        </w:rPr>
      </w:pPr>
      <w:r>
        <w:rPr>
          <w:sz w:val="21"/>
          <w:szCs w:val="21"/>
        </w:rPr>
        <w:lastRenderedPageBreak/>
        <w:t>应定期进行常规实验室检查以监测糖尿病。</w:t>
      </w:r>
    </w:p>
    <w:p w14:paraId="35F97220" w14:textId="77777777" w:rsidR="00644C70" w:rsidRDefault="00644C70" w:rsidP="00644C70">
      <w:pPr>
        <w:spacing w:line="400" w:lineRule="exact"/>
        <w:ind w:firstLineChars="200" w:firstLine="420"/>
        <w:rPr>
          <w:sz w:val="21"/>
          <w:szCs w:val="21"/>
        </w:rPr>
      </w:pPr>
      <w:r>
        <w:rPr>
          <w:sz w:val="21"/>
          <w:szCs w:val="21"/>
        </w:rPr>
        <w:t>维生素</w:t>
      </w:r>
      <w:r>
        <w:rPr>
          <w:sz w:val="21"/>
          <w:szCs w:val="21"/>
        </w:rPr>
        <w:t>B12</w:t>
      </w:r>
      <w:r>
        <w:rPr>
          <w:sz w:val="21"/>
          <w:szCs w:val="21"/>
        </w:rPr>
        <w:t>水平</w:t>
      </w:r>
      <w:r>
        <w:rPr>
          <w:sz w:val="21"/>
          <w:szCs w:val="21"/>
        </w:rPr>
        <w:t>——</w:t>
      </w:r>
      <w:r>
        <w:rPr>
          <w:sz w:val="21"/>
          <w:szCs w:val="21"/>
        </w:rPr>
        <w:t>某些患者</w:t>
      </w:r>
      <w:r>
        <w:rPr>
          <w:sz w:val="21"/>
          <w:szCs w:val="21"/>
        </w:rPr>
        <w:t>(</w:t>
      </w:r>
      <w:r>
        <w:rPr>
          <w:sz w:val="21"/>
          <w:szCs w:val="21"/>
        </w:rPr>
        <w:t>那些摄入或吸收维生素</w:t>
      </w:r>
      <w:r>
        <w:rPr>
          <w:sz w:val="21"/>
          <w:szCs w:val="21"/>
        </w:rPr>
        <w:t>B12</w:t>
      </w:r>
      <w:r>
        <w:rPr>
          <w:sz w:val="21"/>
          <w:szCs w:val="21"/>
        </w:rPr>
        <w:t>和钙不足的患者</w:t>
      </w:r>
      <w:r>
        <w:rPr>
          <w:sz w:val="21"/>
          <w:szCs w:val="21"/>
        </w:rPr>
        <w:t>)</w:t>
      </w:r>
      <w:r>
        <w:rPr>
          <w:sz w:val="21"/>
          <w:szCs w:val="21"/>
        </w:rPr>
        <w:t>可能更容易发生维生素</w:t>
      </w:r>
      <w:r>
        <w:rPr>
          <w:sz w:val="21"/>
          <w:szCs w:val="21"/>
        </w:rPr>
        <w:t>B12</w:t>
      </w:r>
      <w:r>
        <w:rPr>
          <w:sz w:val="21"/>
          <w:szCs w:val="21"/>
        </w:rPr>
        <w:t>水平的降低。这种患者每隔</w:t>
      </w:r>
      <w:r>
        <w:rPr>
          <w:sz w:val="21"/>
          <w:szCs w:val="21"/>
        </w:rPr>
        <w:t>2</w:t>
      </w:r>
      <w:r>
        <w:rPr>
          <w:sz w:val="21"/>
          <w:szCs w:val="21"/>
        </w:rPr>
        <w:t>－</w:t>
      </w:r>
      <w:r>
        <w:rPr>
          <w:sz w:val="21"/>
          <w:szCs w:val="21"/>
        </w:rPr>
        <w:t>3</w:t>
      </w:r>
      <w:r>
        <w:rPr>
          <w:sz w:val="21"/>
          <w:szCs w:val="21"/>
        </w:rPr>
        <w:t>年测定一次血清维生素</w:t>
      </w:r>
      <w:r>
        <w:rPr>
          <w:sz w:val="21"/>
          <w:szCs w:val="21"/>
        </w:rPr>
        <w:t>B12</w:t>
      </w:r>
      <w:r>
        <w:rPr>
          <w:sz w:val="21"/>
          <w:szCs w:val="21"/>
        </w:rPr>
        <w:t>水平是有益的。</w:t>
      </w:r>
    </w:p>
    <w:p w14:paraId="3D9C07AC" w14:textId="77777777" w:rsidR="00644C70" w:rsidRDefault="00644C70" w:rsidP="00644C70">
      <w:pPr>
        <w:spacing w:line="400" w:lineRule="exact"/>
        <w:ind w:firstLineChars="200" w:firstLine="420"/>
        <w:rPr>
          <w:sz w:val="21"/>
          <w:szCs w:val="21"/>
        </w:rPr>
      </w:pPr>
      <w:r>
        <w:rPr>
          <w:sz w:val="21"/>
          <w:szCs w:val="21"/>
        </w:rPr>
        <w:t>低血糖</w:t>
      </w:r>
      <w:r>
        <w:rPr>
          <w:sz w:val="21"/>
          <w:szCs w:val="21"/>
        </w:rPr>
        <w:t>——</w:t>
      </w:r>
      <w:r>
        <w:rPr>
          <w:sz w:val="21"/>
          <w:szCs w:val="21"/>
        </w:rPr>
        <w:t>单独接受本品治疗的患者正常情况下不会产生低血糖，但与胰岛素或其他降糖药物</w:t>
      </w:r>
      <w:r>
        <w:rPr>
          <w:sz w:val="21"/>
          <w:szCs w:val="21"/>
        </w:rPr>
        <w:t>(</w:t>
      </w:r>
      <w:r>
        <w:rPr>
          <w:sz w:val="21"/>
          <w:szCs w:val="21"/>
        </w:rPr>
        <w:t>例如</w:t>
      </w:r>
      <w:proofErr w:type="gramStart"/>
      <w:r>
        <w:rPr>
          <w:sz w:val="21"/>
          <w:szCs w:val="21"/>
        </w:rPr>
        <w:t>磺脲</w:t>
      </w:r>
      <w:proofErr w:type="gramEnd"/>
      <w:r>
        <w:rPr>
          <w:sz w:val="21"/>
          <w:szCs w:val="21"/>
        </w:rPr>
        <w:t>类药物或格</w:t>
      </w:r>
      <w:proofErr w:type="gramStart"/>
      <w:r>
        <w:rPr>
          <w:sz w:val="21"/>
          <w:szCs w:val="21"/>
        </w:rPr>
        <w:t>列奈类</w:t>
      </w:r>
      <w:proofErr w:type="gramEnd"/>
      <w:r>
        <w:rPr>
          <w:sz w:val="21"/>
          <w:szCs w:val="21"/>
        </w:rPr>
        <w:t>药物</w:t>
      </w:r>
      <w:r>
        <w:rPr>
          <w:sz w:val="21"/>
          <w:szCs w:val="21"/>
        </w:rPr>
        <w:t xml:space="preserve">) </w:t>
      </w:r>
      <w:r>
        <w:rPr>
          <w:sz w:val="21"/>
          <w:szCs w:val="21"/>
        </w:rPr>
        <w:t>联合使用应警惕低血糖。老年、衰弱或营养不良的患者，以及肾上腺和垂体功能低减、酒精中毒的患者更易发生低血糖。</w:t>
      </w:r>
    </w:p>
    <w:p w14:paraId="25DF275B" w14:textId="77777777" w:rsidR="00644C70" w:rsidRDefault="00644C70" w:rsidP="00644C70">
      <w:pPr>
        <w:spacing w:line="400" w:lineRule="exact"/>
        <w:ind w:firstLineChars="200" w:firstLine="420"/>
        <w:rPr>
          <w:sz w:val="21"/>
          <w:szCs w:val="21"/>
        </w:rPr>
      </w:pPr>
      <w:r>
        <w:rPr>
          <w:sz w:val="21"/>
          <w:szCs w:val="21"/>
        </w:rPr>
        <w:t>儿童</w:t>
      </w:r>
      <w:r>
        <w:rPr>
          <w:sz w:val="21"/>
          <w:szCs w:val="21"/>
        </w:rPr>
        <w:t>——</w:t>
      </w:r>
      <w:r>
        <w:rPr>
          <w:sz w:val="21"/>
          <w:szCs w:val="21"/>
        </w:rPr>
        <w:t>在开始二甲双</w:t>
      </w:r>
      <w:proofErr w:type="gramStart"/>
      <w:r>
        <w:rPr>
          <w:sz w:val="21"/>
          <w:szCs w:val="21"/>
        </w:rPr>
        <w:t>胍</w:t>
      </w:r>
      <w:proofErr w:type="gramEnd"/>
      <w:r>
        <w:rPr>
          <w:sz w:val="21"/>
          <w:szCs w:val="21"/>
        </w:rPr>
        <w:t>治疗前应确诊</w:t>
      </w:r>
      <w:r>
        <w:rPr>
          <w:sz w:val="21"/>
          <w:szCs w:val="21"/>
        </w:rPr>
        <w:t>2</w:t>
      </w:r>
      <w:r>
        <w:rPr>
          <w:sz w:val="21"/>
          <w:szCs w:val="21"/>
        </w:rPr>
        <w:t>型糖尿病。据国外文献报道，为期</w:t>
      </w:r>
      <w:r>
        <w:rPr>
          <w:sz w:val="21"/>
          <w:szCs w:val="21"/>
        </w:rPr>
        <w:t>1</w:t>
      </w:r>
      <w:r>
        <w:rPr>
          <w:sz w:val="21"/>
          <w:szCs w:val="21"/>
        </w:rPr>
        <w:t>年的临床对照研究尚未发现二甲双</w:t>
      </w:r>
      <w:proofErr w:type="gramStart"/>
      <w:r>
        <w:rPr>
          <w:sz w:val="21"/>
          <w:szCs w:val="21"/>
        </w:rPr>
        <w:t>胍</w:t>
      </w:r>
      <w:proofErr w:type="gramEnd"/>
      <w:r>
        <w:rPr>
          <w:sz w:val="21"/>
          <w:szCs w:val="21"/>
        </w:rPr>
        <w:t>对儿童生长和青春期有影响，但没有这方面的长期数据。因此，应对接受二甲双</w:t>
      </w:r>
      <w:proofErr w:type="gramStart"/>
      <w:r>
        <w:rPr>
          <w:sz w:val="21"/>
          <w:szCs w:val="21"/>
        </w:rPr>
        <w:t>胍</w:t>
      </w:r>
      <w:proofErr w:type="gramEnd"/>
      <w:r>
        <w:rPr>
          <w:sz w:val="21"/>
          <w:szCs w:val="21"/>
        </w:rPr>
        <w:t>治疗的儿童，特别是青春期前儿童，进行仔细随访以确定二甲双</w:t>
      </w:r>
      <w:proofErr w:type="gramStart"/>
      <w:r>
        <w:rPr>
          <w:sz w:val="21"/>
          <w:szCs w:val="21"/>
        </w:rPr>
        <w:t>胍</w:t>
      </w:r>
      <w:proofErr w:type="gramEnd"/>
      <w:r>
        <w:rPr>
          <w:sz w:val="21"/>
          <w:szCs w:val="21"/>
        </w:rPr>
        <w:t>对这些参数的影响。</w:t>
      </w:r>
    </w:p>
    <w:p w14:paraId="7CF587AD" w14:textId="77777777" w:rsidR="00644C70" w:rsidRDefault="00644C70" w:rsidP="00644C70">
      <w:pPr>
        <w:spacing w:line="400" w:lineRule="exact"/>
        <w:ind w:firstLineChars="200" w:firstLine="420"/>
        <w:rPr>
          <w:sz w:val="21"/>
          <w:szCs w:val="21"/>
        </w:rPr>
      </w:pPr>
      <w:r>
        <w:rPr>
          <w:sz w:val="21"/>
          <w:szCs w:val="21"/>
        </w:rPr>
        <w:t>10-12</w:t>
      </w:r>
      <w:r>
        <w:rPr>
          <w:sz w:val="21"/>
          <w:szCs w:val="21"/>
        </w:rPr>
        <w:t>岁的儿童</w:t>
      </w:r>
      <w:r>
        <w:rPr>
          <w:sz w:val="21"/>
          <w:szCs w:val="21"/>
        </w:rPr>
        <w:t>——</w:t>
      </w:r>
      <w:r>
        <w:rPr>
          <w:sz w:val="21"/>
          <w:szCs w:val="21"/>
        </w:rPr>
        <w:t>据国外文献报道，一项在儿童和青少年中开展的临床对照研究仅纳入了</w:t>
      </w:r>
      <w:r>
        <w:rPr>
          <w:sz w:val="21"/>
          <w:szCs w:val="21"/>
        </w:rPr>
        <w:t>15</w:t>
      </w:r>
      <w:r>
        <w:rPr>
          <w:sz w:val="21"/>
          <w:szCs w:val="21"/>
        </w:rPr>
        <w:t>名</w:t>
      </w:r>
      <w:r>
        <w:rPr>
          <w:sz w:val="21"/>
          <w:szCs w:val="21"/>
        </w:rPr>
        <w:t>10-12</w:t>
      </w:r>
      <w:r>
        <w:rPr>
          <w:sz w:val="21"/>
          <w:szCs w:val="21"/>
        </w:rPr>
        <w:t>岁的儿童。虽然二甲双</w:t>
      </w:r>
      <w:proofErr w:type="gramStart"/>
      <w:r>
        <w:rPr>
          <w:sz w:val="21"/>
          <w:szCs w:val="21"/>
        </w:rPr>
        <w:t>胍</w:t>
      </w:r>
      <w:proofErr w:type="gramEnd"/>
      <w:r>
        <w:rPr>
          <w:sz w:val="21"/>
          <w:szCs w:val="21"/>
        </w:rPr>
        <w:t>在这些儿童中与在年长的儿童和青少年中的疗效和安全性数据没有差异，但为</w:t>
      </w:r>
      <w:r>
        <w:rPr>
          <w:sz w:val="21"/>
          <w:szCs w:val="21"/>
        </w:rPr>
        <w:t>10-12</w:t>
      </w:r>
      <w:r>
        <w:rPr>
          <w:sz w:val="21"/>
          <w:szCs w:val="21"/>
        </w:rPr>
        <w:t>岁儿童处方二甲双</w:t>
      </w:r>
      <w:proofErr w:type="gramStart"/>
      <w:r>
        <w:rPr>
          <w:sz w:val="21"/>
          <w:szCs w:val="21"/>
        </w:rPr>
        <w:t>胍</w:t>
      </w:r>
      <w:proofErr w:type="gramEnd"/>
      <w:r>
        <w:rPr>
          <w:sz w:val="21"/>
          <w:szCs w:val="21"/>
        </w:rPr>
        <w:t>时仍应特别谨慎。</w:t>
      </w:r>
    </w:p>
    <w:p w14:paraId="7262EBD5" w14:textId="77777777" w:rsidR="00644C70" w:rsidRDefault="00644C70" w:rsidP="00644C70">
      <w:pPr>
        <w:spacing w:line="400" w:lineRule="exact"/>
        <w:rPr>
          <w:sz w:val="21"/>
          <w:szCs w:val="21"/>
        </w:rPr>
      </w:pPr>
      <w:r>
        <w:rPr>
          <w:sz w:val="21"/>
          <w:szCs w:val="21"/>
        </w:rPr>
        <w:t>【孕妇及哺乳期妇女用药】</w:t>
      </w:r>
    </w:p>
    <w:p w14:paraId="57FE5179" w14:textId="77777777" w:rsidR="00644C70" w:rsidRDefault="00644C70" w:rsidP="00644C70">
      <w:pPr>
        <w:spacing w:line="400" w:lineRule="exact"/>
        <w:ind w:firstLineChars="200" w:firstLine="420"/>
        <w:rPr>
          <w:sz w:val="21"/>
          <w:szCs w:val="21"/>
          <w:u w:val="single"/>
        </w:rPr>
      </w:pPr>
      <w:r>
        <w:rPr>
          <w:sz w:val="21"/>
          <w:szCs w:val="21"/>
          <w:u w:val="single"/>
        </w:rPr>
        <w:t>孕妇</w:t>
      </w:r>
    </w:p>
    <w:p w14:paraId="52887BFA" w14:textId="77777777" w:rsidR="00644C70" w:rsidRDefault="00644C70" w:rsidP="00644C70">
      <w:pPr>
        <w:spacing w:line="400" w:lineRule="exact"/>
        <w:ind w:firstLineChars="200" w:firstLine="420"/>
        <w:rPr>
          <w:sz w:val="21"/>
          <w:szCs w:val="21"/>
        </w:rPr>
      </w:pPr>
      <w:r>
        <w:rPr>
          <w:sz w:val="21"/>
          <w:szCs w:val="21"/>
        </w:rPr>
        <w:t>对于计划怀孕或已经怀孕的患者，不推荐使用二甲双</w:t>
      </w:r>
      <w:proofErr w:type="gramStart"/>
      <w:r>
        <w:rPr>
          <w:sz w:val="21"/>
          <w:szCs w:val="21"/>
        </w:rPr>
        <w:t>胍</w:t>
      </w:r>
      <w:proofErr w:type="gramEnd"/>
      <w:r>
        <w:rPr>
          <w:sz w:val="21"/>
          <w:szCs w:val="21"/>
        </w:rPr>
        <w:t>，但可以使用胰岛素来维持血糖水平，使其尽可能接近正常水平，从而降低胎儿畸形的风险。</w:t>
      </w:r>
    </w:p>
    <w:p w14:paraId="59090AAC" w14:textId="77777777" w:rsidR="00644C70" w:rsidRDefault="00644C70" w:rsidP="00644C70">
      <w:pPr>
        <w:spacing w:line="400" w:lineRule="exact"/>
        <w:ind w:firstLineChars="200" w:firstLine="420"/>
        <w:rPr>
          <w:sz w:val="21"/>
          <w:szCs w:val="21"/>
          <w:u w:val="single"/>
        </w:rPr>
      </w:pPr>
      <w:r>
        <w:rPr>
          <w:sz w:val="21"/>
          <w:szCs w:val="21"/>
          <w:u w:val="single"/>
        </w:rPr>
        <w:t>哺乳期妇女</w:t>
      </w:r>
    </w:p>
    <w:p w14:paraId="4AEB550E"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可以通过乳汁排泄。在二甲双</w:t>
      </w:r>
      <w:proofErr w:type="gramStart"/>
      <w:r>
        <w:rPr>
          <w:sz w:val="21"/>
          <w:szCs w:val="21"/>
        </w:rPr>
        <w:t>胍</w:t>
      </w:r>
      <w:proofErr w:type="gramEnd"/>
      <w:r>
        <w:rPr>
          <w:sz w:val="21"/>
          <w:szCs w:val="21"/>
        </w:rPr>
        <w:t>治疗期间不推荐哺乳。</w:t>
      </w:r>
    </w:p>
    <w:p w14:paraId="412ADB7E" w14:textId="77777777" w:rsidR="00644C70" w:rsidRDefault="00644C70" w:rsidP="00644C70">
      <w:pPr>
        <w:spacing w:line="400" w:lineRule="exact"/>
        <w:rPr>
          <w:sz w:val="21"/>
          <w:szCs w:val="21"/>
        </w:rPr>
      </w:pPr>
      <w:r>
        <w:rPr>
          <w:sz w:val="21"/>
          <w:szCs w:val="21"/>
        </w:rPr>
        <w:t>【儿童用药】</w:t>
      </w:r>
    </w:p>
    <w:p w14:paraId="24334FB6" w14:textId="77777777" w:rsidR="00644C70" w:rsidRDefault="00644C70" w:rsidP="00644C70">
      <w:pPr>
        <w:spacing w:line="400" w:lineRule="exact"/>
        <w:ind w:firstLineChars="200" w:firstLine="420"/>
        <w:rPr>
          <w:sz w:val="21"/>
          <w:szCs w:val="21"/>
        </w:rPr>
      </w:pPr>
      <w:r>
        <w:rPr>
          <w:sz w:val="21"/>
          <w:szCs w:val="21"/>
        </w:rPr>
        <w:t>本品可用于</w:t>
      </w:r>
      <w:r>
        <w:rPr>
          <w:sz w:val="21"/>
          <w:szCs w:val="21"/>
        </w:rPr>
        <w:t>10</w:t>
      </w:r>
      <w:r>
        <w:rPr>
          <w:sz w:val="21"/>
          <w:szCs w:val="21"/>
        </w:rPr>
        <w:t>岁及以上的儿童和青少年，作为单药治疗或与胰岛素联合治疗</w:t>
      </w:r>
      <w:r>
        <w:rPr>
          <w:rFonts w:hint="eastAsia"/>
          <w:sz w:val="21"/>
          <w:szCs w:val="21"/>
        </w:rPr>
        <w:t>，</w:t>
      </w:r>
      <w:r>
        <w:rPr>
          <w:sz w:val="21"/>
          <w:szCs w:val="21"/>
        </w:rPr>
        <w:t>参见【用法用量】</w:t>
      </w:r>
      <w:r>
        <w:rPr>
          <w:rFonts w:hint="eastAsia"/>
          <w:sz w:val="21"/>
          <w:szCs w:val="21"/>
        </w:rPr>
        <w:t>。</w:t>
      </w:r>
    </w:p>
    <w:p w14:paraId="5F85B1E9" w14:textId="77777777" w:rsidR="00644C70" w:rsidRDefault="00644C70" w:rsidP="00644C70">
      <w:pPr>
        <w:spacing w:line="400" w:lineRule="exact"/>
        <w:ind w:firstLineChars="200" w:firstLine="420"/>
        <w:rPr>
          <w:sz w:val="21"/>
          <w:szCs w:val="21"/>
        </w:rPr>
      </w:pPr>
      <w:r>
        <w:rPr>
          <w:sz w:val="21"/>
          <w:szCs w:val="21"/>
        </w:rPr>
        <w:t>不推荐</w:t>
      </w:r>
      <w:r>
        <w:rPr>
          <w:sz w:val="21"/>
          <w:szCs w:val="21"/>
        </w:rPr>
        <w:t>10</w:t>
      </w:r>
      <w:r>
        <w:rPr>
          <w:sz w:val="21"/>
          <w:szCs w:val="21"/>
        </w:rPr>
        <w:t>岁以下儿童使用本品。</w:t>
      </w:r>
    </w:p>
    <w:p w14:paraId="27072BB6" w14:textId="77777777" w:rsidR="00644C70" w:rsidRDefault="00644C70" w:rsidP="00644C70">
      <w:pPr>
        <w:spacing w:line="400" w:lineRule="exact"/>
        <w:rPr>
          <w:sz w:val="21"/>
          <w:szCs w:val="21"/>
        </w:rPr>
      </w:pPr>
      <w:r>
        <w:rPr>
          <w:sz w:val="21"/>
          <w:szCs w:val="21"/>
        </w:rPr>
        <w:t>【老年用药】</w:t>
      </w:r>
    </w:p>
    <w:p w14:paraId="5924A674" w14:textId="77777777" w:rsidR="00644C70" w:rsidRDefault="00644C70" w:rsidP="00644C70">
      <w:pPr>
        <w:spacing w:line="400" w:lineRule="exact"/>
        <w:ind w:firstLineChars="200" w:firstLine="420"/>
        <w:rPr>
          <w:sz w:val="21"/>
          <w:szCs w:val="21"/>
        </w:rPr>
      </w:pPr>
      <w:r>
        <w:rPr>
          <w:sz w:val="21"/>
          <w:szCs w:val="21"/>
        </w:rPr>
        <w:t>由于老年患者可能出现肾功能减退，应定期检查肾功能并根据肾功能进行调整二甲双</w:t>
      </w:r>
      <w:proofErr w:type="gramStart"/>
      <w:r>
        <w:rPr>
          <w:sz w:val="21"/>
          <w:szCs w:val="21"/>
        </w:rPr>
        <w:t>胍</w:t>
      </w:r>
      <w:proofErr w:type="gramEnd"/>
      <w:r>
        <w:rPr>
          <w:sz w:val="21"/>
          <w:szCs w:val="21"/>
        </w:rPr>
        <w:t>的剂量。</w:t>
      </w:r>
    </w:p>
    <w:p w14:paraId="6E1298F6" w14:textId="77777777" w:rsidR="00644C70" w:rsidRDefault="00644C70" w:rsidP="00644C70">
      <w:pPr>
        <w:spacing w:line="400" w:lineRule="exact"/>
        <w:rPr>
          <w:sz w:val="21"/>
          <w:szCs w:val="21"/>
        </w:rPr>
      </w:pPr>
      <w:r>
        <w:rPr>
          <w:sz w:val="21"/>
          <w:szCs w:val="21"/>
        </w:rPr>
        <w:t>【对驾驶和操作机械的能力的影响】</w:t>
      </w:r>
    </w:p>
    <w:p w14:paraId="5A8319FD" w14:textId="77777777" w:rsidR="00644C70" w:rsidRDefault="00644C70" w:rsidP="00644C70">
      <w:pPr>
        <w:spacing w:line="400" w:lineRule="exact"/>
        <w:ind w:firstLineChars="200" w:firstLine="420"/>
        <w:rPr>
          <w:sz w:val="21"/>
          <w:szCs w:val="21"/>
        </w:rPr>
      </w:pPr>
      <w:r>
        <w:rPr>
          <w:sz w:val="21"/>
          <w:szCs w:val="21"/>
        </w:rPr>
        <w:t>单独接受二甲双</w:t>
      </w:r>
      <w:proofErr w:type="gramStart"/>
      <w:r>
        <w:rPr>
          <w:sz w:val="21"/>
          <w:szCs w:val="21"/>
        </w:rPr>
        <w:t>胍</w:t>
      </w:r>
      <w:proofErr w:type="gramEnd"/>
      <w:r>
        <w:rPr>
          <w:sz w:val="21"/>
          <w:szCs w:val="21"/>
        </w:rPr>
        <w:t>治疗的患者正常情况下不会产生低血糖，因此二甲双</w:t>
      </w:r>
      <w:proofErr w:type="gramStart"/>
      <w:r>
        <w:rPr>
          <w:sz w:val="21"/>
          <w:szCs w:val="21"/>
        </w:rPr>
        <w:t>胍</w:t>
      </w:r>
      <w:proofErr w:type="gramEnd"/>
      <w:r>
        <w:rPr>
          <w:sz w:val="21"/>
          <w:szCs w:val="21"/>
        </w:rPr>
        <w:t>对驾驶和操作机械的能力没有影响。但与胰岛素或其他降糖药物（例如</w:t>
      </w:r>
      <w:proofErr w:type="gramStart"/>
      <w:r>
        <w:rPr>
          <w:sz w:val="21"/>
          <w:szCs w:val="21"/>
        </w:rPr>
        <w:t>磺脲</w:t>
      </w:r>
      <w:proofErr w:type="gramEnd"/>
      <w:r>
        <w:rPr>
          <w:sz w:val="21"/>
          <w:szCs w:val="21"/>
        </w:rPr>
        <w:t>类药物）联合使用应警惕低血糖。</w:t>
      </w:r>
    </w:p>
    <w:p w14:paraId="7288EC3A" w14:textId="77777777" w:rsidR="00644C70" w:rsidRDefault="00644C70" w:rsidP="00644C70">
      <w:pPr>
        <w:spacing w:line="400" w:lineRule="exact"/>
        <w:rPr>
          <w:sz w:val="21"/>
          <w:szCs w:val="21"/>
        </w:rPr>
      </w:pPr>
      <w:r>
        <w:rPr>
          <w:sz w:val="21"/>
          <w:szCs w:val="21"/>
        </w:rPr>
        <w:t>【药物相互作用】</w:t>
      </w:r>
    </w:p>
    <w:p w14:paraId="09DB6DCD" w14:textId="77777777" w:rsidR="00644C70" w:rsidRDefault="00644C70" w:rsidP="00644C70">
      <w:pPr>
        <w:spacing w:line="400" w:lineRule="exact"/>
        <w:ind w:firstLineChars="200" w:firstLine="420"/>
        <w:rPr>
          <w:sz w:val="21"/>
          <w:szCs w:val="21"/>
        </w:rPr>
      </w:pPr>
      <w:r>
        <w:rPr>
          <w:sz w:val="21"/>
          <w:szCs w:val="21"/>
        </w:rPr>
        <w:t xml:space="preserve">1. </w:t>
      </w:r>
      <w:r>
        <w:rPr>
          <w:sz w:val="21"/>
          <w:szCs w:val="21"/>
        </w:rPr>
        <w:t>单剂联合使用二甲双</w:t>
      </w:r>
      <w:proofErr w:type="gramStart"/>
      <w:r>
        <w:rPr>
          <w:sz w:val="21"/>
          <w:szCs w:val="21"/>
        </w:rPr>
        <w:t>胍</w:t>
      </w:r>
      <w:proofErr w:type="gramEnd"/>
      <w:r>
        <w:rPr>
          <w:sz w:val="21"/>
          <w:szCs w:val="21"/>
        </w:rPr>
        <w:t>和</w:t>
      </w:r>
      <w:proofErr w:type="gramStart"/>
      <w:r>
        <w:rPr>
          <w:sz w:val="21"/>
          <w:szCs w:val="21"/>
        </w:rPr>
        <w:t>格列</w:t>
      </w:r>
      <w:proofErr w:type="gramEnd"/>
      <w:r>
        <w:rPr>
          <w:sz w:val="21"/>
          <w:szCs w:val="21"/>
        </w:rPr>
        <w:t>本</w:t>
      </w:r>
      <w:proofErr w:type="gramStart"/>
      <w:r>
        <w:rPr>
          <w:sz w:val="21"/>
          <w:szCs w:val="21"/>
        </w:rPr>
        <w:t>脲</w:t>
      </w:r>
      <w:proofErr w:type="gramEnd"/>
      <w:r>
        <w:rPr>
          <w:sz w:val="21"/>
          <w:szCs w:val="21"/>
        </w:rPr>
        <w:t>未发现二甲双</w:t>
      </w:r>
      <w:proofErr w:type="gramStart"/>
      <w:r>
        <w:rPr>
          <w:sz w:val="21"/>
          <w:szCs w:val="21"/>
        </w:rPr>
        <w:t>胍</w:t>
      </w:r>
      <w:proofErr w:type="gramEnd"/>
      <w:r>
        <w:rPr>
          <w:sz w:val="21"/>
          <w:szCs w:val="21"/>
        </w:rPr>
        <w:t>的药代动力学参数改变。</w:t>
      </w:r>
    </w:p>
    <w:p w14:paraId="42100759" w14:textId="77777777" w:rsidR="00644C70" w:rsidRDefault="00644C70" w:rsidP="00644C70">
      <w:pPr>
        <w:spacing w:line="400" w:lineRule="exact"/>
        <w:ind w:firstLineChars="200" w:firstLine="420"/>
        <w:rPr>
          <w:sz w:val="21"/>
          <w:szCs w:val="21"/>
        </w:rPr>
      </w:pPr>
      <w:r>
        <w:rPr>
          <w:sz w:val="21"/>
          <w:szCs w:val="21"/>
        </w:rPr>
        <w:t xml:space="preserve">2. </w:t>
      </w:r>
      <w:r>
        <w:rPr>
          <w:sz w:val="21"/>
          <w:szCs w:val="21"/>
        </w:rPr>
        <w:t>二甲双</w:t>
      </w:r>
      <w:proofErr w:type="gramStart"/>
      <w:r>
        <w:rPr>
          <w:sz w:val="21"/>
          <w:szCs w:val="21"/>
        </w:rPr>
        <w:t>胍</w:t>
      </w:r>
      <w:proofErr w:type="gramEnd"/>
      <w:r>
        <w:rPr>
          <w:sz w:val="21"/>
          <w:szCs w:val="21"/>
        </w:rPr>
        <w:t>与</w:t>
      </w:r>
      <w:proofErr w:type="gramStart"/>
      <w:r>
        <w:rPr>
          <w:sz w:val="21"/>
          <w:szCs w:val="21"/>
        </w:rPr>
        <w:t>呋</w:t>
      </w:r>
      <w:proofErr w:type="gramEnd"/>
      <w:r>
        <w:rPr>
          <w:sz w:val="21"/>
          <w:szCs w:val="21"/>
        </w:rPr>
        <w:t>塞米</w:t>
      </w:r>
      <w:r>
        <w:rPr>
          <w:sz w:val="21"/>
          <w:szCs w:val="21"/>
        </w:rPr>
        <w:t xml:space="preserve"> (</w:t>
      </w:r>
      <w:r>
        <w:rPr>
          <w:sz w:val="21"/>
          <w:szCs w:val="21"/>
        </w:rPr>
        <w:t>速尿</w:t>
      </w:r>
      <w:r>
        <w:rPr>
          <w:sz w:val="21"/>
          <w:szCs w:val="21"/>
        </w:rPr>
        <w:t>)</w:t>
      </w:r>
      <w:r>
        <w:rPr>
          <w:sz w:val="21"/>
          <w:szCs w:val="21"/>
        </w:rPr>
        <w:t>合用，二甲双</w:t>
      </w:r>
      <w:proofErr w:type="gramStart"/>
      <w:r>
        <w:rPr>
          <w:sz w:val="21"/>
          <w:szCs w:val="21"/>
        </w:rPr>
        <w:t>胍</w:t>
      </w:r>
      <w:proofErr w:type="gramEnd"/>
      <w:r>
        <w:rPr>
          <w:sz w:val="21"/>
          <w:szCs w:val="21"/>
        </w:rPr>
        <w:t>的</w:t>
      </w:r>
      <w:r>
        <w:rPr>
          <w:sz w:val="21"/>
          <w:szCs w:val="21"/>
        </w:rPr>
        <w:t>AUC</w:t>
      </w:r>
      <w:r>
        <w:rPr>
          <w:sz w:val="21"/>
          <w:szCs w:val="21"/>
        </w:rPr>
        <w:t>增加，</w:t>
      </w:r>
      <w:proofErr w:type="gramStart"/>
      <w:r>
        <w:rPr>
          <w:sz w:val="21"/>
          <w:szCs w:val="21"/>
        </w:rPr>
        <w:t>但肾清除</w:t>
      </w:r>
      <w:proofErr w:type="gramEnd"/>
      <w:r>
        <w:rPr>
          <w:sz w:val="21"/>
          <w:szCs w:val="21"/>
        </w:rPr>
        <w:t>无变化；同时</w:t>
      </w:r>
      <w:proofErr w:type="gramStart"/>
      <w:r>
        <w:rPr>
          <w:sz w:val="21"/>
          <w:szCs w:val="21"/>
        </w:rPr>
        <w:t>呋</w:t>
      </w:r>
      <w:proofErr w:type="gramEnd"/>
      <w:r>
        <w:rPr>
          <w:sz w:val="21"/>
          <w:szCs w:val="21"/>
        </w:rPr>
        <w:t>塞</w:t>
      </w:r>
      <w:r>
        <w:rPr>
          <w:sz w:val="21"/>
          <w:szCs w:val="21"/>
        </w:rPr>
        <w:lastRenderedPageBreak/>
        <w:t>米的</w:t>
      </w:r>
      <w:proofErr w:type="spellStart"/>
      <w:r>
        <w:rPr>
          <w:sz w:val="21"/>
          <w:szCs w:val="21"/>
        </w:rPr>
        <w:t>C</w:t>
      </w:r>
      <w:r>
        <w:rPr>
          <w:sz w:val="21"/>
          <w:szCs w:val="21"/>
          <w:vertAlign w:val="subscript"/>
        </w:rPr>
        <w:t>max</w:t>
      </w:r>
      <w:proofErr w:type="spellEnd"/>
      <w:r>
        <w:rPr>
          <w:sz w:val="21"/>
          <w:szCs w:val="21"/>
        </w:rPr>
        <w:t>和</w:t>
      </w:r>
      <w:r>
        <w:rPr>
          <w:sz w:val="21"/>
          <w:szCs w:val="21"/>
        </w:rPr>
        <w:t>AUC</w:t>
      </w:r>
      <w:r>
        <w:rPr>
          <w:sz w:val="21"/>
          <w:szCs w:val="21"/>
        </w:rPr>
        <w:t>均下降，终末半衰期缩短，肾清除无改变。</w:t>
      </w:r>
    </w:p>
    <w:p w14:paraId="7BF6ABCF" w14:textId="77777777" w:rsidR="00644C70" w:rsidRDefault="00644C70" w:rsidP="00644C70">
      <w:pPr>
        <w:spacing w:line="400" w:lineRule="exact"/>
        <w:ind w:firstLineChars="200" w:firstLine="420"/>
        <w:rPr>
          <w:sz w:val="21"/>
          <w:szCs w:val="21"/>
        </w:rPr>
      </w:pPr>
      <w:r>
        <w:rPr>
          <w:sz w:val="21"/>
          <w:szCs w:val="21"/>
        </w:rPr>
        <w:t xml:space="preserve">3. </w:t>
      </w:r>
      <w:r>
        <w:rPr>
          <w:sz w:val="21"/>
          <w:szCs w:val="21"/>
        </w:rPr>
        <w:t>经肾小管排</w:t>
      </w:r>
      <w:proofErr w:type="gramStart"/>
      <w:r>
        <w:rPr>
          <w:sz w:val="21"/>
          <w:szCs w:val="21"/>
        </w:rPr>
        <w:t>泌</w:t>
      </w:r>
      <w:proofErr w:type="gramEnd"/>
      <w:r>
        <w:rPr>
          <w:sz w:val="21"/>
          <w:szCs w:val="21"/>
        </w:rPr>
        <w:t>的阳离子药物</w:t>
      </w:r>
      <w:r>
        <w:rPr>
          <w:sz w:val="21"/>
          <w:szCs w:val="21"/>
        </w:rPr>
        <w:t xml:space="preserve"> (</w:t>
      </w:r>
      <w:r>
        <w:rPr>
          <w:sz w:val="21"/>
          <w:szCs w:val="21"/>
        </w:rPr>
        <w:t>例如氨氯</w:t>
      </w:r>
      <w:proofErr w:type="gramStart"/>
      <w:r>
        <w:rPr>
          <w:sz w:val="21"/>
          <w:szCs w:val="21"/>
        </w:rPr>
        <w:t>吡咪</w:t>
      </w:r>
      <w:proofErr w:type="gramEnd"/>
      <w:r>
        <w:rPr>
          <w:sz w:val="21"/>
          <w:szCs w:val="21"/>
        </w:rPr>
        <w:t>、地高辛、吗啡、普鲁卡因胺、奎尼丁、奎宁、雷尼替丁、氨苯</w:t>
      </w:r>
      <w:proofErr w:type="gramStart"/>
      <w:r>
        <w:rPr>
          <w:sz w:val="21"/>
          <w:szCs w:val="21"/>
        </w:rPr>
        <w:t>喋啶</w:t>
      </w:r>
      <w:proofErr w:type="gramEnd"/>
      <w:r>
        <w:rPr>
          <w:sz w:val="21"/>
          <w:szCs w:val="21"/>
        </w:rPr>
        <w:t>、甲氧</w:t>
      </w:r>
      <w:proofErr w:type="gramStart"/>
      <w:r>
        <w:rPr>
          <w:sz w:val="21"/>
          <w:szCs w:val="21"/>
        </w:rPr>
        <w:t>苄</w:t>
      </w:r>
      <w:proofErr w:type="gramEnd"/>
      <w:r>
        <w:rPr>
          <w:sz w:val="21"/>
          <w:szCs w:val="21"/>
        </w:rPr>
        <w:t>氨嘧啶和万古霉素</w:t>
      </w:r>
      <w:r>
        <w:rPr>
          <w:sz w:val="21"/>
          <w:szCs w:val="21"/>
        </w:rPr>
        <w:t>)</w:t>
      </w:r>
      <w:r>
        <w:rPr>
          <w:sz w:val="21"/>
          <w:szCs w:val="21"/>
        </w:rPr>
        <w:t>理论上可能与二甲双</w:t>
      </w:r>
      <w:proofErr w:type="gramStart"/>
      <w:r>
        <w:rPr>
          <w:sz w:val="21"/>
          <w:szCs w:val="21"/>
        </w:rPr>
        <w:t>胍竟争</w:t>
      </w:r>
      <w:proofErr w:type="gramEnd"/>
      <w:r>
        <w:rPr>
          <w:sz w:val="21"/>
          <w:szCs w:val="21"/>
        </w:rPr>
        <w:t>肾小管转运系统，发生相互作用，因此建议密切监测，调整本品及</w:t>
      </w:r>
      <w:r>
        <w:rPr>
          <w:sz w:val="21"/>
          <w:szCs w:val="21"/>
        </w:rPr>
        <w:t>/</w:t>
      </w:r>
      <w:r>
        <w:rPr>
          <w:sz w:val="21"/>
          <w:szCs w:val="21"/>
        </w:rPr>
        <w:t>或相互作用的药物剂量。</w:t>
      </w:r>
    </w:p>
    <w:p w14:paraId="412A132B" w14:textId="77777777" w:rsidR="00644C70" w:rsidRDefault="00644C70" w:rsidP="00644C70">
      <w:pPr>
        <w:spacing w:line="400" w:lineRule="exact"/>
        <w:ind w:firstLineChars="200" w:firstLine="420"/>
        <w:rPr>
          <w:sz w:val="21"/>
          <w:szCs w:val="21"/>
        </w:rPr>
      </w:pPr>
      <w:r>
        <w:rPr>
          <w:sz w:val="21"/>
          <w:szCs w:val="21"/>
        </w:rPr>
        <w:t xml:space="preserve">4. </w:t>
      </w:r>
      <w:r>
        <w:rPr>
          <w:sz w:val="21"/>
          <w:szCs w:val="21"/>
        </w:rPr>
        <w:t>二甲双</w:t>
      </w:r>
      <w:proofErr w:type="gramStart"/>
      <w:r>
        <w:rPr>
          <w:sz w:val="21"/>
          <w:szCs w:val="21"/>
        </w:rPr>
        <w:t>胍</w:t>
      </w:r>
      <w:proofErr w:type="gramEnd"/>
      <w:r>
        <w:rPr>
          <w:sz w:val="21"/>
          <w:szCs w:val="21"/>
        </w:rPr>
        <w:t>与西</w:t>
      </w:r>
      <w:proofErr w:type="gramStart"/>
      <w:r>
        <w:rPr>
          <w:sz w:val="21"/>
          <w:szCs w:val="21"/>
        </w:rPr>
        <w:t>咪</w:t>
      </w:r>
      <w:proofErr w:type="gramEnd"/>
      <w:r>
        <w:rPr>
          <w:sz w:val="21"/>
          <w:szCs w:val="21"/>
        </w:rPr>
        <w:t>替丁合用，二甲双</w:t>
      </w:r>
      <w:proofErr w:type="gramStart"/>
      <w:r>
        <w:rPr>
          <w:sz w:val="21"/>
          <w:szCs w:val="21"/>
        </w:rPr>
        <w:t>胍</w:t>
      </w:r>
      <w:proofErr w:type="gramEnd"/>
      <w:r>
        <w:rPr>
          <w:sz w:val="21"/>
          <w:szCs w:val="21"/>
        </w:rPr>
        <w:t>的血浆和全血</w:t>
      </w:r>
      <w:r>
        <w:rPr>
          <w:sz w:val="21"/>
          <w:szCs w:val="21"/>
        </w:rPr>
        <w:t>AUC</w:t>
      </w:r>
      <w:r>
        <w:rPr>
          <w:sz w:val="21"/>
          <w:szCs w:val="21"/>
        </w:rPr>
        <w:t>增加，但两药单独合用，未见二甲双</w:t>
      </w:r>
      <w:proofErr w:type="gramStart"/>
      <w:r>
        <w:rPr>
          <w:sz w:val="21"/>
          <w:szCs w:val="21"/>
        </w:rPr>
        <w:t>胍</w:t>
      </w:r>
      <w:proofErr w:type="gramEnd"/>
      <w:r>
        <w:rPr>
          <w:sz w:val="21"/>
          <w:szCs w:val="21"/>
        </w:rPr>
        <w:t>清除半衰期改变。西</w:t>
      </w:r>
      <w:proofErr w:type="gramStart"/>
      <w:r>
        <w:rPr>
          <w:sz w:val="21"/>
          <w:szCs w:val="21"/>
        </w:rPr>
        <w:t>咪</w:t>
      </w:r>
      <w:proofErr w:type="gramEnd"/>
      <w:r>
        <w:rPr>
          <w:sz w:val="21"/>
          <w:szCs w:val="21"/>
        </w:rPr>
        <w:t>替丁的药代动力学未见变化。</w:t>
      </w:r>
    </w:p>
    <w:p w14:paraId="062E32EA" w14:textId="77777777" w:rsidR="00644C70" w:rsidRDefault="00644C70" w:rsidP="00644C70">
      <w:pPr>
        <w:spacing w:line="400" w:lineRule="exact"/>
        <w:ind w:firstLineChars="200" w:firstLine="420"/>
        <w:rPr>
          <w:sz w:val="21"/>
          <w:szCs w:val="21"/>
        </w:rPr>
      </w:pPr>
      <w:r>
        <w:rPr>
          <w:sz w:val="21"/>
          <w:szCs w:val="21"/>
        </w:rPr>
        <w:t xml:space="preserve">5. </w:t>
      </w:r>
      <w:r>
        <w:rPr>
          <w:sz w:val="21"/>
          <w:szCs w:val="21"/>
        </w:rPr>
        <w:t>如同时服用某些可引起血糖升高的药物，如</w:t>
      </w:r>
      <w:proofErr w:type="gramStart"/>
      <w:r>
        <w:rPr>
          <w:sz w:val="21"/>
          <w:szCs w:val="21"/>
        </w:rPr>
        <w:t>噻嗪</w:t>
      </w:r>
      <w:proofErr w:type="gramEnd"/>
      <w:r>
        <w:rPr>
          <w:sz w:val="21"/>
          <w:szCs w:val="21"/>
        </w:rPr>
        <w:t>类药物或其他利尿剂、糖皮质激素、</w:t>
      </w:r>
      <w:proofErr w:type="gramStart"/>
      <w:r>
        <w:rPr>
          <w:sz w:val="21"/>
          <w:szCs w:val="21"/>
        </w:rPr>
        <w:t>吩噻嗪</w:t>
      </w:r>
      <w:proofErr w:type="gramEnd"/>
      <w:r>
        <w:rPr>
          <w:sz w:val="21"/>
          <w:szCs w:val="21"/>
        </w:rPr>
        <w:t>、甲状腺制剂，雌激素、口服避孕药、苯妥英、烟碱酸、拟交感神经药、钙离子通道阻滞剂和异烟肼等时要密切监测血糖，而在这些药物停用后，要密切注意低血糖的发生。</w:t>
      </w:r>
    </w:p>
    <w:p w14:paraId="3563E9C4" w14:textId="77777777" w:rsidR="00644C70" w:rsidRDefault="00644C70" w:rsidP="00644C70">
      <w:pPr>
        <w:spacing w:line="400" w:lineRule="exact"/>
        <w:ind w:firstLineChars="200" w:firstLine="420"/>
        <w:rPr>
          <w:sz w:val="21"/>
          <w:szCs w:val="21"/>
        </w:rPr>
      </w:pPr>
      <w:r>
        <w:rPr>
          <w:sz w:val="21"/>
          <w:szCs w:val="21"/>
        </w:rPr>
        <w:t xml:space="preserve">6. </w:t>
      </w:r>
      <w:r>
        <w:rPr>
          <w:sz w:val="21"/>
          <w:szCs w:val="21"/>
        </w:rPr>
        <w:t>二甲双</w:t>
      </w:r>
      <w:proofErr w:type="gramStart"/>
      <w:r>
        <w:rPr>
          <w:sz w:val="21"/>
          <w:szCs w:val="21"/>
        </w:rPr>
        <w:t>胍</w:t>
      </w:r>
      <w:proofErr w:type="gramEnd"/>
      <w:r>
        <w:rPr>
          <w:sz w:val="21"/>
          <w:szCs w:val="21"/>
        </w:rPr>
        <w:t>不与血浆蛋白结合。因此与蛋白高度结合的药物，如水杨酸盐、氨苯磺胺、氯霉素、丙</w:t>
      </w:r>
      <w:proofErr w:type="gramStart"/>
      <w:r>
        <w:rPr>
          <w:sz w:val="21"/>
          <w:szCs w:val="21"/>
        </w:rPr>
        <w:t>磺</w:t>
      </w:r>
      <w:proofErr w:type="gramEnd"/>
      <w:r>
        <w:rPr>
          <w:sz w:val="21"/>
          <w:szCs w:val="21"/>
        </w:rPr>
        <w:t>舒等与</w:t>
      </w:r>
      <w:proofErr w:type="gramStart"/>
      <w:r>
        <w:rPr>
          <w:sz w:val="21"/>
          <w:szCs w:val="21"/>
        </w:rPr>
        <w:t>磺脲</w:t>
      </w:r>
      <w:proofErr w:type="gramEnd"/>
      <w:r>
        <w:rPr>
          <w:sz w:val="21"/>
          <w:szCs w:val="21"/>
        </w:rPr>
        <w:t>类药物相比不易发生相互作用，后者主要与血清蛋白结合。</w:t>
      </w:r>
    </w:p>
    <w:p w14:paraId="550BC4DE" w14:textId="77777777" w:rsidR="00644C70" w:rsidRDefault="00644C70" w:rsidP="00644C70">
      <w:pPr>
        <w:spacing w:line="400" w:lineRule="exact"/>
        <w:ind w:firstLineChars="200" w:firstLine="420"/>
        <w:rPr>
          <w:sz w:val="21"/>
          <w:szCs w:val="21"/>
        </w:rPr>
      </w:pPr>
      <w:r>
        <w:rPr>
          <w:sz w:val="21"/>
          <w:szCs w:val="21"/>
        </w:rPr>
        <w:t xml:space="preserve">7. </w:t>
      </w:r>
      <w:r>
        <w:rPr>
          <w:sz w:val="21"/>
          <w:szCs w:val="21"/>
        </w:rPr>
        <w:t>除氯</w:t>
      </w:r>
      <w:proofErr w:type="gramStart"/>
      <w:r>
        <w:rPr>
          <w:sz w:val="21"/>
          <w:szCs w:val="21"/>
        </w:rPr>
        <w:t>磺</w:t>
      </w:r>
      <w:proofErr w:type="gramEnd"/>
      <w:r>
        <w:rPr>
          <w:sz w:val="21"/>
          <w:szCs w:val="21"/>
        </w:rPr>
        <w:t>丙</w:t>
      </w:r>
      <w:proofErr w:type="gramStart"/>
      <w:r>
        <w:rPr>
          <w:sz w:val="21"/>
          <w:szCs w:val="21"/>
        </w:rPr>
        <w:t>脲</w:t>
      </w:r>
      <w:proofErr w:type="gramEnd"/>
      <w:r>
        <w:rPr>
          <w:sz w:val="21"/>
          <w:szCs w:val="21"/>
        </w:rPr>
        <w:t>，患者从其他口服降糖药转为用本品治疗时，通常不需转换期。服用氯</w:t>
      </w:r>
      <w:proofErr w:type="gramStart"/>
      <w:r>
        <w:rPr>
          <w:sz w:val="21"/>
          <w:szCs w:val="21"/>
        </w:rPr>
        <w:t>磺</w:t>
      </w:r>
      <w:proofErr w:type="gramEnd"/>
      <w:r>
        <w:rPr>
          <w:sz w:val="21"/>
          <w:szCs w:val="21"/>
        </w:rPr>
        <w:t>丙</w:t>
      </w:r>
      <w:proofErr w:type="gramStart"/>
      <w:r>
        <w:rPr>
          <w:sz w:val="21"/>
          <w:szCs w:val="21"/>
        </w:rPr>
        <w:t>脲</w:t>
      </w:r>
      <w:proofErr w:type="gramEnd"/>
      <w:r>
        <w:rPr>
          <w:sz w:val="21"/>
          <w:szCs w:val="21"/>
        </w:rPr>
        <w:t>的患者在换用本品的最初</w:t>
      </w:r>
      <w:r>
        <w:rPr>
          <w:sz w:val="21"/>
          <w:szCs w:val="21"/>
        </w:rPr>
        <w:t>2</w:t>
      </w:r>
      <w:r>
        <w:rPr>
          <w:sz w:val="21"/>
          <w:szCs w:val="21"/>
        </w:rPr>
        <w:t>周要密切注意，因为氯</w:t>
      </w:r>
      <w:proofErr w:type="gramStart"/>
      <w:r>
        <w:rPr>
          <w:sz w:val="21"/>
          <w:szCs w:val="21"/>
        </w:rPr>
        <w:t>磺</w:t>
      </w:r>
      <w:proofErr w:type="gramEnd"/>
      <w:r>
        <w:rPr>
          <w:sz w:val="21"/>
          <w:szCs w:val="21"/>
        </w:rPr>
        <w:t>丙</w:t>
      </w:r>
      <w:proofErr w:type="gramStart"/>
      <w:r>
        <w:rPr>
          <w:sz w:val="21"/>
          <w:szCs w:val="21"/>
        </w:rPr>
        <w:t>脲</w:t>
      </w:r>
      <w:proofErr w:type="gramEnd"/>
      <w:r>
        <w:rPr>
          <w:sz w:val="21"/>
          <w:szCs w:val="21"/>
        </w:rPr>
        <w:t>在体内有较长滞留，易导致药物作用过量，发生低血糖。</w:t>
      </w:r>
    </w:p>
    <w:p w14:paraId="3F8C491F" w14:textId="77777777" w:rsidR="00644C70" w:rsidRDefault="00644C70" w:rsidP="00644C70">
      <w:pPr>
        <w:spacing w:line="400" w:lineRule="exact"/>
        <w:ind w:firstLineChars="200" w:firstLine="420"/>
        <w:rPr>
          <w:sz w:val="21"/>
          <w:szCs w:val="21"/>
        </w:rPr>
      </w:pPr>
      <w:r>
        <w:rPr>
          <w:sz w:val="21"/>
          <w:szCs w:val="21"/>
        </w:rPr>
        <w:t xml:space="preserve">8. </w:t>
      </w:r>
      <w:r>
        <w:rPr>
          <w:sz w:val="21"/>
          <w:szCs w:val="21"/>
        </w:rPr>
        <w:t>健康人单剂联合使用硝苯地平和二甲双</w:t>
      </w:r>
      <w:proofErr w:type="gramStart"/>
      <w:r>
        <w:rPr>
          <w:sz w:val="21"/>
          <w:szCs w:val="21"/>
        </w:rPr>
        <w:t>胍</w:t>
      </w:r>
      <w:proofErr w:type="gramEnd"/>
      <w:r>
        <w:rPr>
          <w:sz w:val="21"/>
          <w:szCs w:val="21"/>
        </w:rPr>
        <w:t>，二甲双</w:t>
      </w:r>
      <w:proofErr w:type="gramStart"/>
      <w:r>
        <w:rPr>
          <w:sz w:val="21"/>
          <w:szCs w:val="21"/>
        </w:rPr>
        <w:t>胍</w:t>
      </w:r>
      <w:proofErr w:type="gramEnd"/>
      <w:r>
        <w:rPr>
          <w:sz w:val="21"/>
          <w:szCs w:val="21"/>
        </w:rPr>
        <w:t>的血浆峰浓度和血浆浓度时间曲线下面积分</w:t>
      </w:r>
      <w:proofErr w:type="gramStart"/>
      <w:r>
        <w:rPr>
          <w:sz w:val="21"/>
          <w:szCs w:val="21"/>
        </w:rPr>
        <w:t>别增加</w:t>
      </w:r>
      <w:proofErr w:type="gramEnd"/>
      <w:r>
        <w:rPr>
          <w:sz w:val="21"/>
          <w:szCs w:val="21"/>
        </w:rPr>
        <w:t>20%</w:t>
      </w:r>
      <w:r>
        <w:rPr>
          <w:sz w:val="21"/>
          <w:szCs w:val="21"/>
        </w:rPr>
        <w:t>和</w:t>
      </w:r>
      <w:r>
        <w:rPr>
          <w:sz w:val="21"/>
          <w:szCs w:val="21"/>
        </w:rPr>
        <w:t>9%</w:t>
      </w:r>
      <w:r>
        <w:rPr>
          <w:sz w:val="21"/>
          <w:szCs w:val="21"/>
        </w:rPr>
        <w:t>，且尿中排泄增加，</w:t>
      </w:r>
      <w:proofErr w:type="spellStart"/>
      <w:r>
        <w:rPr>
          <w:sz w:val="21"/>
          <w:szCs w:val="21"/>
        </w:rPr>
        <w:t>T</w:t>
      </w:r>
      <w:r>
        <w:rPr>
          <w:sz w:val="21"/>
          <w:szCs w:val="21"/>
          <w:vertAlign w:val="subscript"/>
        </w:rPr>
        <w:t>max</w:t>
      </w:r>
      <w:proofErr w:type="spellEnd"/>
      <w:r>
        <w:rPr>
          <w:sz w:val="21"/>
          <w:szCs w:val="21"/>
        </w:rPr>
        <w:t>和半衰期无影响。</w:t>
      </w:r>
    </w:p>
    <w:p w14:paraId="03DE0740" w14:textId="77777777" w:rsidR="00644C70" w:rsidRDefault="00644C70" w:rsidP="00644C70">
      <w:pPr>
        <w:spacing w:line="400" w:lineRule="exact"/>
        <w:ind w:firstLineChars="200" w:firstLine="420"/>
        <w:rPr>
          <w:sz w:val="21"/>
          <w:szCs w:val="21"/>
        </w:rPr>
      </w:pPr>
      <w:r>
        <w:rPr>
          <w:sz w:val="21"/>
          <w:szCs w:val="21"/>
        </w:rPr>
        <w:t xml:space="preserve">9. </w:t>
      </w:r>
      <w:r>
        <w:rPr>
          <w:sz w:val="21"/>
          <w:szCs w:val="21"/>
        </w:rPr>
        <w:t>二甲双</w:t>
      </w:r>
      <w:proofErr w:type="gramStart"/>
      <w:r>
        <w:rPr>
          <w:sz w:val="21"/>
          <w:szCs w:val="21"/>
        </w:rPr>
        <w:t>胍</w:t>
      </w:r>
      <w:proofErr w:type="gramEnd"/>
      <w:r>
        <w:rPr>
          <w:sz w:val="21"/>
          <w:szCs w:val="21"/>
        </w:rPr>
        <w:t>有增加华法林的抗凝血倾向。</w:t>
      </w:r>
    </w:p>
    <w:p w14:paraId="77C8E5AF" w14:textId="77777777" w:rsidR="00644C70" w:rsidRDefault="00644C70" w:rsidP="00644C70">
      <w:pPr>
        <w:spacing w:line="400" w:lineRule="exact"/>
        <w:ind w:firstLineChars="200" w:firstLine="420"/>
        <w:rPr>
          <w:sz w:val="21"/>
          <w:szCs w:val="21"/>
        </w:rPr>
      </w:pPr>
      <w:r>
        <w:rPr>
          <w:sz w:val="21"/>
          <w:szCs w:val="21"/>
        </w:rPr>
        <w:t xml:space="preserve">10. </w:t>
      </w:r>
      <w:r>
        <w:rPr>
          <w:sz w:val="21"/>
          <w:szCs w:val="21"/>
        </w:rPr>
        <w:t>树脂类药物与本品合用，可减少二甲双</w:t>
      </w:r>
      <w:proofErr w:type="gramStart"/>
      <w:r>
        <w:rPr>
          <w:sz w:val="21"/>
          <w:szCs w:val="21"/>
        </w:rPr>
        <w:t>胍</w:t>
      </w:r>
      <w:proofErr w:type="gramEnd"/>
      <w:r>
        <w:rPr>
          <w:sz w:val="21"/>
          <w:szCs w:val="21"/>
        </w:rPr>
        <w:t>吸收。</w:t>
      </w:r>
    </w:p>
    <w:p w14:paraId="712056B1" w14:textId="77777777" w:rsidR="00644C70" w:rsidRDefault="00644C70" w:rsidP="00644C70">
      <w:pPr>
        <w:spacing w:line="400" w:lineRule="exact"/>
        <w:rPr>
          <w:sz w:val="21"/>
          <w:szCs w:val="21"/>
        </w:rPr>
      </w:pPr>
      <w:r>
        <w:rPr>
          <w:sz w:val="21"/>
          <w:szCs w:val="21"/>
        </w:rPr>
        <w:t>【药物过量】</w:t>
      </w:r>
    </w:p>
    <w:p w14:paraId="00AAC8B4" w14:textId="77777777" w:rsidR="00644C70" w:rsidRDefault="00644C70" w:rsidP="00644C70">
      <w:pPr>
        <w:spacing w:line="400" w:lineRule="exact"/>
        <w:ind w:firstLineChars="200" w:firstLine="420"/>
        <w:rPr>
          <w:sz w:val="21"/>
          <w:szCs w:val="21"/>
        </w:rPr>
      </w:pPr>
      <w:r>
        <w:rPr>
          <w:sz w:val="21"/>
          <w:szCs w:val="21"/>
        </w:rPr>
        <w:t>据国外文献报道，即使二甲双</w:t>
      </w:r>
      <w:proofErr w:type="gramStart"/>
      <w:r>
        <w:rPr>
          <w:sz w:val="21"/>
          <w:szCs w:val="21"/>
        </w:rPr>
        <w:t>胍</w:t>
      </w:r>
      <w:proofErr w:type="gramEnd"/>
      <w:r>
        <w:rPr>
          <w:sz w:val="21"/>
          <w:szCs w:val="21"/>
        </w:rPr>
        <w:t>服药量达到</w:t>
      </w:r>
      <w:r>
        <w:rPr>
          <w:sz w:val="21"/>
          <w:szCs w:val="21"/>
        </w:rPr>
        <w:t>85 g</w:t>
      </w:r>
      <w:r>
        <w:rPr>
          <w:sz w:val="21"/>
          <w:szCs w:val="21"/>
        </w:rPr>
        <w:t>都没有发生低血糖，但在这种情况下会发生乳酸酸中毒。在良好的血液动力学的状况下二甲双</w:t>
      </w:r>
      <w:proofErr w:type="gramStart"/>
      <w:r>
        <w:rPr>
          <w:sz w:val="21"/>
          <w:szCs w:val="21"/>
        </w:rPr>
        <w:t>胍</w:t>
      </w:r>
      <w:proofErr w:type="gramEnd"/>
      <w:r>
        <w:rPr>
          <w:sz w:val="21"/>
          <w:szCs w:val="21"/>
        </w:rPr>
        <w:t>可以以</w:t>
      </w:r>
      <w:r>
        <w:rPr>
          <w:sz w:val="21"/>
          <w:szCs w:val="21"/>
        </w:rPr>
        <w:t>170 mL/min</w:t>
      </w:r>
      <w:r>
        <w:rPr>
          <w:sz w:val="21"/>
          <w:szCs w:val="21"/>
        </w:rPr>
        <w:t>的速度透析清除。因此怀疑二甲双</w:t>
      </w:r>
      <w:proofErr w:type="gramStart"/>
      <w:r>
        <w:rPr>
          <w:sz w:val="21"/>
          <w:szCs w:val="21"/>
        </w:rPr>
        <w:t>胍</w:t>
      </w:r>
      <w:proofErr w:type="gramEnd"/>
      <w:r>
        <w:rPr>
          <w:sz w:val="21"/>
          <w:szCs w:val="21"/>
        </w:rPr>
        <w:t>过量的患者，血透可以清除蓄积的药物。</w:t>
      </w:r>
    </w:p>
    <w:p w14:paraId="32E2535E" w14:textId="77777777" w:rsidR="00644C70" w:rsidRDefault="00644C70" w:rsidP="00644C70">
      <w:pPr>
        <w:spacing w:line="400" w:lineRule="exact"/>
        <w:rPr>
          <w:sz w:val="21"/>
          <w:szCs w:val="21"/>
        </w:rPr>
      </w:pPr>
      <w:r>
        <w:rPr>
          <w:sz w:val="21"/>
          <w:szCs w:val="21"/>
        </w:rPr>
        <w:t>【药理毒理】</w:t>
      </w:r>
    </w:p>
    <w:p w14:paraId="2FA51CE9" w14:textId="77777777" w:rsidR="00644C70" w:rsidRDefault="00644C70" w:rsidP="00644C70">
      <w:pPr>
        <w:spacing w:line="400" w:lineRule="exact"/>
        <w:rPr>
          <w:b/>
          <w:sz w:val="21"/>
          <w:szCs w:val="21"/>
        </w:rPr>
      </w:pPr>
      <w:r>
        <w:rPr>
          <w:b/>
          <w:sz w:val="21"/>
          <w:szCs w:val="21"/>
        </w:rPr>
        <w:t>药理作用</w:t>
      </w:r>
    </w:p>
    <w:p w14:paraId="6C52DADD"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可减少肝糖生成，抑制葡萄糖的肠道吸收，并增加外周组织对葡萄糖的摄取和利用，可通过增加</w:t>
      </w:r>
      <w:proofErr w:type="gramStart"/>
      <w:r>
        <w:rPr>
          <w:sz w:val="21"/>
          <w:szCs w:val="21"/>
        </w:rPr>
        <w:t>外周糖的</w:t>
      </w:r>
      <w:proofErr w:type="gramEnd"/>
      <w:r>
        <w:rPr>
          <w:sz w:val="21"/>
          <w:szCs w:val="21"/>
        </w:rPr>
        <w:t>摄取和利用而提高胰岛素的敏感性。</w:t>
      </w:r>
    </w:p>
    <w:p w14:paraId="41A34C08" w14:textId="77777777" w:rsidR="00644C70" w:rsidRDefault="00644C70" w:rsidP="00644C70">
      <w:pPr>
        <w:spacing w:line="400" w:lineRule="exact"/>
        <w:rPr>
          <w:b/>
          <w:sz w:val="21"/>
          <w:szCs w:val="21"/>
        </w:rPr>
      </w:pPr>
      <w:r>
        <w:rPr>
          <w:b/>
          <w:sz w:val="21"/>
          <w:szCs w:val="21"/>
        </w:rPr>
        <w:t>毒理研究</w:t>
      </w:r>
    </w:p>
    <w:p w14:paraId="30A894D1" w14:textId="77777777" w:rsidR="00644C70" w:rsidRDefault="00644C70" w:rsidP="00644C70">
      <w:pPr>
        <w:spacing w:line="400" w:lineRule="exact"/>
        <w:ind w:firstLineChars="200" w:firstLine="420"/>
        <w:rPr>
          <w:sz w:val="21"/>
          <w:szCs w:val="21"/>
        </w:rPr>
      </w:pPr>
      <w:r>
        <w:rPr>
          <w:sz w:val="21"/>
          <w:szCs w:val="21"/>
        </w:rPr>
        <w:t>遗传毒性</w:t>
      </w:r>
    </w:p>
    <w:p w14:paraId="4E61DB75" w14:textId="77777777" w:rsidR="00644C70" w:rsidRDefault="00644C70" w:rsidP="00644C70">
      <w:pPr>
        <w:spacing w:line="400" w:lineRule="exact"/>
        <w:ind w:firstLineChars="200" w:firstLine="420"/>
        <w:rPr>
          <w:sz w:val="21"/>
          <w:szCs w:val="21"/>
        </w:rPr>
      </w:pPr>
      <w:r>
        <w:rPr>
          <w:sz w:val="21"/>
          <w:szCs w:val="21"/>
        </w:rPr>
        <w:t>本品</w:t>
      </w:r>
      <w:r>
        <w:rPr>
          <w:sz w:val="21"/>
          <w:szCs w:val="21"/>
        </w:rPr>
        <w:t>Ames</w:t>
      </w:r>
      <w:r>
        <w:rPr>
          <w:sz w:val="21"/>
          <w:szCs w:val="21"/>
        </w:rPr>
        <w:t>试验、小鼠淋巴细胞基因突变试验、人淋巴细胞染色体畸变试验和小鼠微核试验结果均为阴性。</w:t>
      </w:r>
    </w:p>
    <w:p w14:paraId="1B2D06ED" w14:textId="77777777" w:rsidR="00644C70" w:rsidRDefault="00644C70" w:rsidP="00644C70">
      <w:pPr>
        <w:spacing w:line="400" w:lineRule="exact"/>
        <w:ind w:firstLineChars="200" w:firstLine="420"/>
        <w:rPr>
          <w:sz w:val="21"/>
          <w:szCs w:val="21"/>
        </w:rPr>
      </w:pPr>
      <w:r>
        <w:rPr>
          <w:sz w:val="21"/>
          <w:szCs w:val="21"/>
        </w:rPr>
        <w:t>生殖毒性</w:t>
      </w:r>
    </w:p>
    <w:p w14:paraId="296F6965" w14:textId="77777777" w:rsidR="00644C70" w:rsidRDefault="00644C70" w:rsidP="00644C70">
      <w:pPr>
        <w:spacing w:line="400" w:lineRule="exact"/>
        <w:ind w:firstLineChars="200" w:firstLine="420"/>
        <w:rPr>
          <w:sz w:val="21"/>
          <w:szCs w:val="21"/>
        </w:rPr>
      </w:pPr>
      <w:r>
        <w:rPr>
          <w:sz w:val="21"/>
          <w:szCs w:val="21"/>
        </w:rPr>
        <w:t>雄性大鼠和雌性大</w:t>
      </w:r>
      <w:proofErr w:type="gramStart"/>
      <w:r>
        <w:rPr>
          <w:sz w:val="21"/>
          <w:szCs w:val="21"/>
        </w:rPr>
        <w:t>鼠给予</w:t>
      </w:r>
      <w:proofErr w:type="gramEnd"/>
      <w:r>
        <w:rPr>
          <w:sz w:val="21"/>
          <w:szCs w:val="21"/>
        </w:rPr>
        <w:t>盐酸二甲双</w:t>
      </w:r>
      <w:proofErr w:type="gramStart"/>
      <w:r>
        <w:rPr>
          <w:sz w:val="21"/>
          <w:szCs w:val="21"/>
        </w:rPr>
        <w:t>胍</w:t>
      </w:r>
      <w:proofErr w:type="gramEnd"/>
      <w:r>
        <w:rPr>
          <w:sz w:val="21"/>
          <w:szCs w:val="21"/>
        </w:rPr>
        <w:t>，剂量高达</w:t>
      </w:r>
      <w:r>
        <w:rPr>
          <w:sz w:val="21"/>
          <w:szCs w:val="21"/>
        </w:rPr>
        <w:t>600 mg/kg/</w:t>
      </w:r>
      <w:r>
        <w:rPr>
          <w:sz w:val="21"/>
          <w:szCs w:val="21"/>
        </w:rPr>
        <w:t>日（按体表面积折算相当于人临床推荐最大日剂量的</w:t>
      </w:r>
      <w:r>
        <w:rPr>
          <w:sz w:val="21"/>
          <w:szCs w:val="21"/>
        </w:rPr>
        <w:t>3</w:t>
      </w:r>
      <w:r>
        <w:rPr>
          <w:sz w:val="21"/>
          <w:szCs w:val="21"/>
        </w:rPr>
        <w:t>倍），未见对生育能力的影响。大鼠和</w:t>
      </w:r>
      <w:proofErr w:type="gramStart"/>
      <w:r>
        <w:rPr>
          <w:sz w:val="21"/>
          <w:szCs w:val="21"/>
        </w:rPr>
        <w:t>兔给予</w:t>
      </w:r>
      <w:proofErr w:type="gramEnd"/>
      <w:r>
        <w:rPr>
          <w:sz w:val="21"/>
          <w:szCs w:val="21"/>
        </w:rPr>
        <w:t>盐酸二甲双</w:t>
      </w:r>
      <w:proofErr w:type="gramStart"/>
      <w:r>
        <w:rPr>
          <w:sz w:val="21"/>
          <w:szCs w:val="21"/>
        </w:rPr>
        <w:t>胍</w:t>
      </w:r>
      <w:proofErr w:type="gramEnd"/>
      <w:r>
        <w:rPr>
          <w:sz w:val="21"/>
          <w:szCs w:val="21"/>
        </w:rPr>
        <w:t>，剂量高达</w:t>
      </w:r>
      <w:r>
        <w:rPr>
          <w:sz w:val="21"/>
          <w:szCs w:val="21"/>
        </w:rPr>
        <w:t>600 mg/kg/</w:t>
      </w:r>
      <w:r>
        <w:rPr>
          <w:sz w:val="21"/>
          <w:szCs w:val="21"/>
        </w:rPr>
        <w:t>日（按体表面积折算相当于人临床推荐最大日剂量的</w:t>
      </w:r>
      <w:r>
        <w:rPr>
          <w:sz w:val="21"/>
          <w:szCs w:val="21"/>
        </w:rPr>
        <w:t>2</w:t>
      </w:r>
      <w:r>
        <w:rPr>
          <w:sz w:val="21"/>
          <w:szCs w:val="21"/>
        </w:rPr>
        <w:t>倍和</w:t>
      </w:r>
      <w:r>
        <w:rPr>
          <w:sz w:val="21"/>
          <w:szCs w:val="21"/>
        </w:rPr>
        <w:t>6</w:t>
      </w:r>
      <w:r>
        <w:rPr>
          <w:sz w:val="21"/>
          <w:szCs w:val="21"/>
        </w:rPr>
        <w:t>倍）时，</w:t>
      </w:r>
      <w:r>
        <w:rPr>
          <w:sz w:val="21"/>
          <w:szCs w:val="21"/>
        </w:rPr>
        <w:lastRenderedPageBreak/>
        <w:t>无致畸胎作用。哺乳期大鼠的研究结果显示，盐酸二甲双</w:t>
      </w:r>
      <w:proofErr w:type="gramStart"/>
      <w:r>
        <w:rPr>
          <w:sz w:val="21"/>
          <w:szCs w:val="21"/>
        </w:rPr>
        <w:t>胍</w:t>
      </w:r>
      <w:proofErr w:type="gramEnd"/>
      <w:r>
        <w:rPr>
          <w:sz w:val="21"/>
          <w:szCs w:val="21"/>
        </w:rPr>
        <w:t>可分泌入乳汁，并可达到在血浆的水平。</w:t>
      </w:r>
    </w:p>
    <w:p w14:paraId="322B237B" w14:textId="77777777" w:rsidR="00644C70" w:rsidRDefault="00644C70" w:rsidP="00644C70">
      <w:pPr>
        <w:spacing w:line="400" w:lineRule="exact"/>
        <w:ind w:firstLineChars="200" w:firstLine="420"/>
        <w:rPr>
          <w:sz w:val="21"/>
          <w:szCs w:val="21"/>
        </w:rPr>
      </w:pPr>
      <w:r>
        <w:rPr>
          <w:sz w:val="21"/>
          <w:szCs w:val="21"/>
        </w:rPr>
        <w:t>致癌性</w:t>
      </w:r>
    </w:p>
    <w:p w14:paraId="3BFCECB7" w14:textId="77777777" w:rsidR="00644C70" w:rsidRDefault="00644C70" w:rsidP="00644C70">
      <w:pPr>
        <w:spacing w:line="400" w:lineRule="exact"/>
        <w:ind w:firstLineChars="200" w:firstLine="420"/>
        <w:rPr>
          <w:sz w:val="21"/>
          <w:szCs w:val="21"/>
        </w:rPr>
      </w:pPr>
      <w:r>
        <w:rPr>
          <w:sz w:val="21"/>
          <w:szCs w:val="21"/>
        </w:rPr>
        <w:t>大</w:t>
      </w:r>
      <w:proofErr w:type="gramStart"/>
      <w:r>
        <w:rPr>
          <w:sz w:val="21"/>
          <w:szCs w:val="21"/>
        </w:rPr>
        <w:t>鼠给予</w:t>
      </w:r>
      <w:proofErr w:type="gramEnd"/>
      <w:r>
        <w:rPr>
          <w:sz w:val="21"/>
          <w:szCs w:val="21"/>
        </w:rPr>
        <w:t>二甲双</w:t>
      </w:r>
      <w:proofErr w:type="gramStart"/>
      <w:r>
        <w:rPr>
          <w:sz w:val="21"/>
          <w:szCs w:val="21"/>
        </w:rPr>
        <w:t>胍</w:t>
      </w:r>
      <w:proofErr w:type="gramEnd"/>
      <w:r>
        <w:rPr>
          <w:sz w:val="21"/>
          <w:szCs w:val="21"/>
        </w:rPr>
        <w:t>900 mg/kg/</w:t>
      </w:r>
      <w:r>
        <w:rPr>
          <w:sz w:val="21"/>
          <w:szCs w:val="21"/>
        </w:rPr>
        <w:t>日</w:t>
      </w:r>
      <w:r>
        <w:rPr>
          <w:sz w:val="21"/>
          <w:szCs w:val="21"/>
        </w:rPr>
        <w:t>104</w:t>
      </w:r>
      <w:r>
        <w:rPr>
          <w:sz w:val="21"/>
          <w:szCs w:val="21"/>
        </w:rPr>
        <w:t>周，小鼠给予二甲双</w:t>
      </w:r>
      <w:proofErr w:type="gramStart"/>
      <w:r>
        <w:rPr>
          <w:sz w:val="21"/>
          <w:szCs w:val="21"/>
        </w:rPr>
        <w:t>胍</w:t>
      </w:r>
      <w:proofErr w:type="gramEnd"/>
      <w:r>
        <w:rPr>
          <w:sz w:val="21"/>
          <w:szCs w:val="21"/>
        </w:rPr>
        <w:t>1500 mg/kg/</w:t>
      </w:r>
      <w:r>
        <w:rPr>
          <w:sz w:val="21"/>
          <w:szCs w:val="21"/>
        </w:rPr>
        <w:t>日</w:t>
      </w:r>
      <w:r>
        <w:rPr>
          <w:sz w:val="21"/>
          <w:szCs w:val="21"/>
        </w:rPr>
        <w:t xml:space="preserve"> 91</w:t>
      </w:r>
      <w:r>
        <w:rPr>
          <w:sz w:val="21"/>
          <w:szCs w:val="21"/>
        </w:rPr>
        <w:t>周致癌性研究（这些剂量按体表面积计算相当于二甲双</w:t>
      </w:r>
      <w:proofErr w:type="gramStart"/>
      <w:r>
        <w:rPr>
          <w:sz w:val="21"/>
          <w:szCs w:val="21"/>
        </w:rPr>
        <w:t>胍</w:t>
      </w:r>
      <w:proofErr w:type="gramEnd"/>
      <w:r>
        <w:rPr>
          <w:sz w:val="21"/>
          <w:szCs w:val="21"/>
        </w:rPr>
        <w:t>临床每日最大推荐剂量</w:t>
      </w:r>
      <w:r>
        <w:rPr>
          <w:sz w:val="21"/>
          <w:szCs w:val="21"/>
        </w:rPr>
        <w:t>2000 mg</w:t>
      </w:r>
      <w:r>
        <w:rPr>
          <w:sz w:val="21"/>
          <w:szCs w:val="21"/>
        </w:rPr>
        <w:t>的</w:t>
      </w:r>
      <w:r>
        <w:rPr>
          <w:sz w:val="21"/>
          <w:szCs w:val="21"/>
        </w:rPr>
        <w:t>4</w:t>
      </w:r>
      <w:r>
        <w:rPr>
          <w:sz w:val="21"/>
          <w:szCs w:val="21"/>
        </w:rPr>
        <w:t>倍），雄性和雌性小鼠中均未发现二甲双</w:t>
      </w:r>
      <w:proofErr w:type="gramStart"/>
      <w:r>
        <w:rPr>
          <w:sz w:val="21"/>
          <w:szCs w:val="21"/>
        </w:rPr>
        <w:t>胍</w:t>
      </w:r>
      <w:proofErr w:type="gramEnd"/>
      <w:r>
        <w:rPr>
          <w:sz w:val="21"/>
          <w:szCs w:val="21"/>
        </w:rPr>
        <w:t>致癌作用的证据。二甲双</w:t>
      </w:r>
      <w:proofErr w:type="gramStart"/>
      <w:r>
        <w:rPr>
          <w:sz w:val="21"/>
          <w:szCs w:val="21"/>
        </w:rPr>
        <w:t>胍</w:t>
      </w:r>
      <w:proofErr w:type="gramEnd"/>
      <w:r>
        <w:rPr>
          <w:sz w:val="21"/>
          <w:szCs w:val="21"/>
        </w:rPr>
        <w:t>在雄性大鼠中也未发现致癌作用，但在</w:t>
      </w:r>
      <w:r>
        <w:rPr>
          <w:sz w:val="21"/>
          <w:szCs w:val="21"/>
        </w:rPr>
        <w:t>900 mg/kg/</w:t>
      </w:r>
      <w:r>
        <w:rPr>
          <w:sz w:val="21"/>
          <w:szCs w:val="21"/>
        </w:rPr>
        <w:t>日的雌性大鼠中，有良性间质子宫息肉发生的增加。</w:t>
      </w:r>
    </w:p>
    <w:p w14:paraId="711209CF" w14:textId="77777777" w:rsidR="00644C70" w:rsidRDefault="00644C70" w:rsidP="00644C70">
      <w:pPr>
        <w:spacing w:line="400" w:lineRule="exact"/>
        <w:rPr>
          <w:sz w:val="21"/>
          <w:szCs w:val="21"/>
        </w:rPr>
      </w:pPr>
      <w:r>
        <w:rPr>
          <w:sz w:val="21"/>
          <w:szCs w:val="21"/>
        </w:rPr>
        <w:t>【药代动力学】</w:t>
      </w:r>
      <w:r>
        <w:rPr>
          <w:rFonts w:hint="eastAsia"/>
          <w:sz w:val="21"/>
          <w:szCs w:val="21"/>
        </w:rPr>
        <w:t>据</w:t>
      </w:r>
      <w:r>
        <w:rPr>
          <w:sz w:val="21"/>
          <w:szCs w:val="21"/>
        </w:rPr>
        <w:t>国外文献</w:t>
      </w:r>
      <w:r>
        <w:rPr>
          <w:rFonts w:hint="eastAsia"/>
          <w:sz w:val="21"/>
          <w:szCs w:val="21"/>
        </w:rPr>
        <w:t>报道</w:t>
      </w:r>
      <w:r>
        <w:rPr>
          <w:sz w:val="21"/>
          <w:szCs w:val="21"/>
        </w:rPr>
        <w:t>：</w:t>
      </w:r>
    </w:p>
    <w:p w14:paraId="5C0F4887" w14:textId="77777777" w:rsidR="00644C70" w:rsidRDefault="00644C70" w:rsidP="00644C70">
      <w:pPr>
        <w:spacing w:line="400" w:lineRule="exact"/>
        <w:ind w:firstLineChars="200" w:firstLine="420"/>
        <w:rPr>
          <w:sz w:val="21"/>
          <w:szCs w:val="21"/>
          <w:u w:val="single"/>
        </w:rPr>
      </w:pPr>
      <w:r>
        <w:rPr>
          <w:sz w:val="21"/>
          <w:szCs w:val="21"/>
          <w:u w:val="single"/>
        </w:rPr>
        <w:t>吸收</w:t>
      </w:r>
    </w:p>
    <w:p w14:paraId="515E4679" w14:textId="77777777" w:rsidR="00644C70" w:rsidRDefault="00644C70" w:rsidP="00644C70">
      <w:pPr>
        <w:spacing w:line="400" w:lineRule="exact"/>
        <w:ind w:firstLineChars="200" w:firstLine="420"/>
        <w:rPr>
          <w:sz w:val="21"/>
          <w:szCs w:val="21"/>
        </w:rPr>
      </w:pPr>
      <w:r>
        <w:rPr>
          <w:sz w:val="21"/>
          <w:szCs w:val="21"/>
        </w:rPr>
        <w:t>口服盐酸二甲双</w:t>
      </w:r>
      <w:proofErr w:type="gramStart"/>
      <w:r>
        <w:rPr>
          <w:sz w:val="21"/>
          <w:szCs w:val="21"/>
        </w:rPr>
        <w:t>胍</w:t>
      </w:r>
      <w:proofErr w:type="gramEnd"/>
      <w:r>
        <w:rPr>
          <w:sz w:val="21"/>
          <w:szCs w:val="21"/>
        </w:rPr>
        <w:t>后，血药浓度在约</w:t>
      </w:r>
      <w:r>
        <w:rPr>
          <w:sz w:val="21"/>
          <w:szCs w:val="21"/>
        </w:rPr>
        <w:t>2.5</w:t>
      </w:r>
      <w:r>
        <w:rPr>
          <w:sz w:val="21"/>
          <w:szCs w:val="21"/>
        </w:rPr>
        <w:t>小时（</w:t>
      </w:r>
      <w:proofErr w:type="spellStart"/>
      <w:r>
        <w:rPr>
          <w:sz w:val="21"/>
          <w:szCs w:val="21"/>
        </w:rPr>
        <w:t>T</w:t>
      </w:r>
      <w:r>
        <w:rPr>
          <w:sz w:val="21"/>
          <w:szCs w:val="21"/>
          <w:vertAlign w:val="subscript"/>
        </w:rPr>
        <w:t>max</w:t>
      </w:r>
      <w:proofErr w:type="spellEnd"/>
      <w:r>
        <w:rPr>
          <w:sz w:val="21"/>
          <w:szCs w:val="21"/>
        </w:rPr>
        <w:t>）后达到峰值（</w:t>
      </w:r>
      <w:proofErr w:type="spellStart"/>
      <w:r>
        <w:rPr>
          <w:sz w:val="21"/>
          <w:szCs w:val="21"/>
        </w:rPr>
        <w:t>C</w:t>
      </w:r>
      <w:r>
        <w:rPr>
          <w:sz w:val="21"/>
          <w:szCs w:val="21"/>
          <w:vertAlign w:val="subscript"/>
        </w:rPr>
        <w:t>max</w:t>
      </w:r>
      <w:proofErr w:type="spellEnd"/>
      <w:r>
        <w:rPr>
          <w:sz w:val="21"/>
          <w:szCs w:val="21"/>
        </w:rPr>
        <w:t>）。在健康人群中，口服盐酸二甲双</w:t>
      </w:r>
      <w:proofErr w:type="gramStart"/>
      <w:r>
        <w:rPr>
          <w:sz w:val="21"/>
          <w:szCs w:val="21"/>
        </w:rPr>
        <w:t>胍</w:t>
      </w:r>
      <w:proofErr w:type="gramEnd"/>
      <w:r>
        <w:rPr>
          <w:sz w:val="21"/>
          <w:szCs w:val="21"/>
        </w:rPr>
        <w:t>片的绝对生物利用度约为</w:t>
      </w:r>
      <w:r>
        <w:rPr>
          <w:sz w:val="21"/>
          <w:szCs w:val="21"/>
        </w:rPr>
        <w:t>50-60%</w:t>
      </w:r>
      <w:r>
        <w:rPr>
          <w:sz w:val="21"/>
          <w:szCs w:val="21"/>
        </w:rPr>
        <w:t>。</w:t>
      </w:r>
    </w:p>
    <w:p w14:paraId="28C26B39" w14:textId="77777777" w:rsidR="00644C70" w:rsidRDefault="00644C70" w:rsidP="00644C70">
      <w:pPr>
        <w:spacing w:line="400" w:lineRule="exact"/>
        <w:ind w:firstLineChars="200" w:firstLine="420"/>
        <w:rPr>
          <w:sz w:val="21"/>
          <w:szCs w:val="21"/>
        </w:rPr>
      </w:pPr>
      <w:r>
        <w:rPr>
          <w:sz w:val="21"/>
          <w:szCs w:val="21"/>
        </w:rPr>
        <w:t>进食会减少药物的吸收程度并稍微延缓其吸收速度。进食后口服盐酸二甲双</w:t>
      </w:r>
      <w:proofErr w:type="gramStart"/>
      <w:r>
        <w:rPr>
          <w:sz w:val="21"/>
          <w:szCs w:val="21"/>
        </w:rPr>
        <w:t>胍</w:t>
      </w:r>
      <w:proofErr w:type="gramEnd"/>
      <w:r>
        <w:rPr>
          <w:sz w:val="21"/>
          <w:szCs w:val="21"/>
        </w:rPr>
        <w:t>片，观察到峰值血药浓度降低</w:t>
      </w:r>
      <w:r>
        <w:rPr>
          <w:sz w:val="21"/>
          <w:szCs w:val="21"/>
        </w:rPr>
        <w:t>40%</w:t>
      </w:r>
      <w:r>
        <w:rPr>
          <w:sz w:val="21"/>
          <w:szCs w:val="21"/>
        </w:rPr>
        <w:t>，浓度曲线下面积（</w:t>
      </w:r>
      <w:r>
        <w:rPr>
          <w:sz w:val="21"/>
          <w:szCs w:val="21"/>
        </w:rPr>
        <w:t>AUC</w:t>
      </w:r>
      <w:r>
        <w:rPr>
          <w:sz w:val="21"/>
          <w:szCs w:val="21"/>
        </w:rPr>
        <w:t>）减少</w:t>
      </w:r>
      <w:r>
        <w:rPr>
          <w:sz w:val="21"/>
          <w:szCs w:val="21"/>
        </w:rPr>
        <w:t>25%</w:t>
      </w:r>
      <w:r>
        <w:rPr>
          <w:sz w:val="21"/>
          <w:szCs w:val="21"/>
        </w:rPr>
        <w:t>。</w:t>
      </w:r>
    </w:p>
    <w:p w14:paraId="45982653" w14:textId="77777777" w:rsidR="00644C70" w:rsidRDefault="00644C70" w:rsidP="00644C70">
      <w:pPr>
        <w:spacing w:line="400" w:lineRule="exact"/>
        <w:ind w:firstLineChars="200" w:firstLine="420"/>
        <w:rPr>
          <w:sz w:val="21"/>
          <w:szCs w:val="21"/>
          <w:u w:val="single"/>
        </w:rPr>
      </w:pPr>
      <w:r>
        <w:rPr>
          <w:sz w:val="21"/>
          <w:szCs w:val="21"/>
          <w:u w:val="single"/>
        </w:rPr>
        <w:t>分布</w:t>
      </w:r>
    </w:p>
    <w:p w14:paraId="790315F7"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几乎不与血浆蛋白结合。二甲双</w:t>
      </w:r>
      <w:proofErr w:type="gramStart"/>
      <w:r>
        <w:rPr>
          <w:sz w:val="21"/>
          <w:szCs w:val="21"/>
        </w:rPr>
        <w:t>胍</w:t>
      </w:r>
      <w:proofErr w:type="gramEnd"/>
      <w:r>
        <w:rPr>
          <w:sz w:val="21"/>
          <w:szCs w:val="21"/>
        </w:rPr>
        <w:t>部分进入红细胞。二甲双</w:t>
      </w:r>
      <w:proofErr w:type="gramStart"/>
      <w:r>
        <w:rPr>
          <w:sz w:val="21"/>
          <w:szCs w:val="21"/>
        </w:rPr>
        <w:t>胍</w:t>
      </w:r>
      <w:proofErr w:type="gramEnd"/>
      <w:r>
        <w:rPr>
          <w:sz w:val="21"/>
          <w:szCs w:val="21"/>
        </w:rPr>
        <w:t>全血浓度峰值低于血浆浓度峰值，但出现时间大致相同。红细胞可能是二甲双</w:t>
      </w:r>
      <w:proofErr w:type="gramStart"/>
      <w:r>
        <w:rPr>
          <w:sz w:val="21"/>
          <w:szCs w:val="21"/>
        </w:rPr>
        <w:t>胍</w:t>
      </w:r>
      <w:proofErr w:type="gramEnd"/>
      <w:r>
        <w:rPr>
          <w:sz w:val="21"/>
          <w:szCs w:val="21"/>
        </w:rPr>
        <w:t>的第二分布腔室，平均分布容积（</w:t>
      </w:r>
      <w:proofErr w:type="spellStart"/>
      <w:r>
        <w:rPr>
          <w:sz w:val="21"/>
          <w:szCs w:val="21"/>
        </w:rPr>
        <w:t>V</w:t>
      </w:r>
      <w:r>
        <w:rPr>
          <w:sz w:val="21"/>
          <w:szCs w:val="21"/>
          <w:vertAlign w:val="subscript"/>
        </w:rPr>
        <w:t>d</w:t>
      </w:r>
      <w:proofErr w:type="spellEnd"/>
      <w:r>
        <w:rPr>
          <w:sz w:val="21"/>
          <w:szCs w:val="21"/>
        </w:rPr>
        <w:t>）</w:t>
      </w:r>
      <w:r>
        <w:rPr>
          <w:szCs w:val="24"/>
        </w:rPr>
        <w:t>约为</w:t>
      </w:r>
      <w:r>
        <w:rPr>
          <w:sz w:val="21"/>
          <w:szCs w:val="21"/>
        </w:rPr>
        <w:t>1.12 L/kg</w:t>
      </w:r>
      <w:r>
        <w:rPr>
          <w:sz w:val="21"/>
          <w:szCs w:val="21"/>
        </w:rPr>
        <w:t>。</w:t>
      </w:r>
    </w:p>
    <w:p w14:paraId="066EA071" w14:textId="77777777" w:rsidR="00644C70" w:rsidRDefault="00644C70" w:rsidP="00644C70">
      <w:pPr>
        <w:spacing w:line="400" w:lineRule="exact"/>
        <w:ind w:firstLineChars="200" w:firstLine="420"/>
        <w:rPr>
          <w:sz w:val="21"/>
          <w:szCs w:val="21"/>
          <w:u w:val="single"/>
        </w:rPr>
      </w:pPr>
      <w:r>
        <w:rPr>
          <w:sz w:val="21"/>
          <w:szCs w:val="21"/>
          <w:u w:val="single"/>
        </w:rPr>
        <w:t>代谢</w:t>
      </w:r>
    </w:p>
    <w:p w14:paraId="5D0DBE54"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以原型从尿液排出。在人体中未检测到相关代谢产物。</w:t>
      </w:r>
    </w:p>
    <w:p w14:paraId="734B8DF4" w14:textId="77777777" w:rsidR="00644C70" w:rsidRDefault="00644C70" w:rsidP="00644C70">
      <w:pPr>
        <w:spacing w:line="400" w:lineRule="exact"/>
        <w:ind w:firstLineChars="200" w:firstLine="420"/>
        <w:rPr>
          <w:sz w:val="21"/>
          <w:szCs w:val="21"/>
          <w:u w:val="single"/>
        </w:rPr>
      </w:pPr>
      <w:r>
        <w:rPr>
          <w:sz w:val="21"/>
          <w:szCs w:val="21"/>
          <w:u w:val="single"/>
        </w:rPr>
        <w:t>排泄</w:t>
      </w:r>
    </w:p>
    <w:p w14:paraId="3491C9FE" w14:textId="77777777" w:rsidR="00644C70" w:rsidRDefault="00644C70" w:rsidP="00644C70">
      <w:pPr>
        <w:spacing w:line="400" w:lineRule="exact"/>
        <w:ind w:firstLineChars="200" w:firstLine="420"/>
        <w:rPr>
          <w:sz w:val="21"/>
          <w:szCs w:val="21"/>
        </w:rPr>
      </w:pPr>
      <w:r>
        <w:rPr>
          <w:sz w:val="21"/>
          <w:szCs w:val="21"/>
        </w:rPr>
        <w:t>二甲双</w:t>
      </w:r>
      <w:proofErr w:type="gramStart"/>
      <w:r>
        <w:rPr>
          <w:sz w:val="21"/>
          <w:szCs w:val="21"/>
        </w:rPr>
        <w:t>胍</w:t>
      </w:r>
      <w:proofErr w:type="gramEnd"/>
      <w:r>
        <w:rPr>
          <w:sz w:val="21"/>
          <w:szCs w:val="21"/>
        </w:rPr>
        <w:t>的肾脏清除率</w:t>
      </w:r>
      <w:r>
        <w:rPr>
          <w:sz w:val="21"/>
          <w:szCs w:val="21"/>
        </w:rPr>
        <w:t>&gt;400 mL/min</w:t>
      </w:r>
      <w:r>
        <w:rPr>
          <w:sz w:val="21"/>
          <w:szCs w:val="21"/>
        </w:rPr>
        <w:t>，提示肾小球滤过和肾小管分泌是二甲双</w:t>
      </w:r>
      <w:proofErr w:type="gramStart"/>
      <w:r>
        <w:rPr>
          <w:sz w:val="21"/>
          <w:szCs w:val="21"/>
        </w:rPr>
        <w:t>胍</w:t>
      </w:r>
      <w:proofErr w:type="gramEnd"/>
      <w:r>
        <w:rPr>
          <w:sz w:val="21"/>
          <w:szCs w:val="21"/>
        </w:rPr>
        <w:t>排泄的途径。口服给药后，二甲双</w:t>
      </w:r>
      <w:proofErr w:type="gramStart"/>
      <w:r>
        <w:rPr>
          <w:sz w:val="21"/>
          <w:szCs w:val="21"/>
        </w:rPr>
        <w:t>胍</w:t>
      </w:r>
      <w:proofErr w:type="gramEnd"/>
      <w:r>
        <w:rPr>
          <w:sz w:val="21"/>
          <w:szCs w:val="21"/>
        </w:rPr>
        <w:t>的终末血浆清除半衰期约为</w:t>
      </w:r>
      <w:r>
        <w:rPr>
          <w:sz w:val="21"/>
          <w:szCs w:val="21"/>
        </w:rPr>
        <w:t>3.6</w:t>
      </w:r>
      <w:r>
        <w:rPr>
          <w:sz w:val="21"/>
          <w:szCs w:val="21"/>
        </w:rPr>
        <w:t>小时。肾功能不全时，肾脏清除率会随肌酐清除率下降而下降，因此二甲双</w:t>
      </w:r>
      <w:proofErr w:type="gramStart"/>
      <w:r>
        <w:rPr>
          <w:sz w:val="21"/>
          <w:szCs w:val="21"/>
        </w:rPr>
        <w:t>胍</w:t>
      </w:r>
      <w:proofErr w:type="gramEnd"/>
      <w:r>
        <w:rPr>
          <w:sz w:val="21"/>
          <w:szCs w:val="21"/>
        </w:rPr>
        <w:t>的清除半衰期延长，导致血浆二甲双</w:t>
      </w:r>
      <w:proofErr w:type="gramStart"/>
      <w:r>
        <w:rPr>
          <w:sz w:val="21"/>
          <w:szCs w:val="21"/>
        </w:rPr>
        <w:t>胍</w:t>
      </w:r>
      <w:proofErr w:type="gramEnd"/>
      <w:r>
        <w:rPr>
          <w:sz w:val="21"/>
          <w:szCs w:val="21"/>
        </w:rPr>
        <w:t>浓度上升。</w:t>
      </w:r>
    </w:p>
    <w:p w14:paraId="57FEF4F5" w14:textId="77777777" w:rsidR="00644C70" w:rsidRDefault="00644C70" w:rsidP="00644C70">
      <w:pPr>
        <w:spacing w:line="400" w:lineRule="exact"/>
        <w:ind w:firstLineChars="200" w:firstLine="420"/>
        <w:rPr>
          <w:sz w:val="21"/>
          <w:szCs w:val="21"/>
          <w:u w:val="single"/>
        </w:rPr>
      </w:pPr>
      <w:r>
        <w:rPr>
          <w:sz w:val="21"/>
          <w:szCs w:val="21"/>
          <w:u w:val="single"/>
        </w:rPr>
        <w:t>在特殊人群中的特征</w:t>
      </w:r>
    </w:p>
    <w:p w14:paraId="6B08331E" w14:textId="77777777" w:rsidR="00644C70" w:rsidRDefault="00644C70" w:rsidP="00644C70">
      <w:pPr>
        <w:spacing w:line="400" w:lineRule="exact"/>
        <w:ind w:firstLineChars="200" w:firstLine="420"/>
        <w:rPr>
          <w:sz w:val="21"/>
          <w:szCs w:val="21"/>
          <w:u w:val="single"/>
        </w:rPr>
      </w:pPr>
      <w:r>
        <w:rPr>
          <w:sz w:val="21"/>
          <w:szCs w:val="21"/>
          <w:u w:val="single"/>
        </w:rPr>
        <w:t>肾功能不全</w:t>
      </w:r>
    </w:p>
    <w:p w14:paraId="349DF71E" w14:textId="77777777" w:rsidR="00644C70" w:rsidRDefault="00644C70" w:rsidP="00644C70">
      <w:pPr>
        <w:spacing w:line="400" w:lineRule="exact"/>
        <w:ind w:firstLineChars="200" w:firstLine="420"/>
        <w:rPr>
          <w:sz w:val="21"/>
          <w:szCs w:val="21"/>
        </w:rPr>
      </w:pPr>
      <w:r>
        <w:rPr>
          <w:sz w:val="21"/>
          <w:szCs w:val="21"/>
        </w:rPr>
        <w:t>目前在中度肾功能不全患者中治疗的数据较少，且在这些人群中也没有与肾功能正常患者比较的二甲双</w:t>
      </w:r>
      <w:proofErr w:type="gramStart"/>
      <w:r>
        <w:rPr>
          <w:sz w:val="21"/>
          <w:szCs w:val="21"/>
        </w:rPr>
        <w:t>胍</w:t>
      </w:r>
      <w:proofErr w:type="gramEnd"/>
      <w:r>
        <w:rPr>
          <w:sz w:val="21"/>
          <w:szCs w:val="21"/>
        </w:rPr>
        <w:t>全身暴露量的可靠估计。因此，应考虑临床疗效</w:t>
      </w:r>
      <w:r>
        <w:rPr>
          <w:sz w:val="21"/>
          <w:szCs w:val="21"/>
        </w:rPr>
        <w:t>/</w:t>
      </w:r>
      <w:r>
        <w:rPr>
          <w:sz w:val="21"/>
          <w:szCs w:val="21"/>
        </w:rPr>
        <w:t>耐受性以调整剂量。</w:t>
      </w:r>
    </w:p>
    <w:p w14:paraId="2B1DFF0F" w14:textId="77777777" w:rsidR="00644C70" w:rsidRDefault="00644C70" w:rsidP="00644C70">
      <w:pPr>
        <w:spacing w:line="400" w:lineRule="exact"/>
        <w:ind w:firstLineChars="200" w:firstLine="420"/>
        <w:rPr>
          <w:sz w:val="21"/>
          <w:szCs w:val="21"/>
          <w:u w:val="single"/>
        </w:rPr>
      </w:pPr>
      <w:r>
        <w:rPr>
          <w:sz w:val="21"/>
          <w:szCs w:val="21"/>
          <w:u w:val="single"/>
        </w:rPr>
        <w:t>儿童</w:t>
      </w:r>
    </w:p>
    <w:p w14:paraId="38CEAF07" w14:textId="77777777" w:rsidR="00644C70" w:rsidRDefault="00644C70" w:rsidP="00644C70">
      <w:pPr>
        <w:spacing w:line="400" w:lineRule="exact"/>
        <w:ind w:firstLineChars="200" w:firstLine="420"/>
        <w:rPr>
          <w:sz w:val="21"/>
          <w:szCs w:val="21"/>
        </w:rPr>
      </w:pPr>
      <w:r>
        <w:rPr>
          <w:sz w:val="21"/>
          <w:szCs w:val="21"/>
        </w:rPr>
        <w:t>据国外文献报道：</w:t>
      </w:r>
    </w:p>
    <w:p w14:paraId="6C1D6B71" w14:textId="77777777" w:rsidR="00644C70" w:rsidRDefault="00644C70" w:rsidP="00644C70">
      <w:pPr>
        <w:spacing w:line="400" w:lineRule="exact"/>
        <w:ind w:firstLineChars="200" w:firstLine="420"/>
        <w:rPr>
          <w:sz w:val="21"/>
          <w:szCs w:val="21"/>
        </w:rPr>
      </w:pPr>
      <w:r>
        <w:rPr>
          <w:sz w:val="21"/>
          <w:szCs w:val="21"/>
        </w:rPr>
        <w:t>单剂量研究：儿童患者单次口服盐酸二甲双</w:t>
      </w:r>
      <w:proofErr w:type="gramStart"/>
      <w:r>
        <w:rPr>
          <w:sz w:val="21"/>
          <w:szCs w:val="21"/>
        </w:rPr>
        <w:t>胍</w:t>
      </w:r>
      <w:proofErr w:type="gramEnd"/>
      <w:r>
        <w:rPr>
          <w:sz w:val="21"/>
          <w:szCs w:val="21"/>
        </w:rPr>
        <w:t>片</w:t>
      </w:r>
      <w:r>
        <w:rPr>
          <w:sz w:val="21"/>
          <w:szCs w:val="21"/>
        </w:rPr>
        <w:t>0.5 g</w:t>
      </w:r>
      <w:r>
        <w:rPr>
          <w:sz w:val="21"/>
          <w:szCs w:val="21"/>
        </w:rPr>
        <w:t>显示出与健康成人相似的药代动力学特征。</w:t>
      </w:r>
    </w:p>
    <w:p w14:paraId="3FAFCE54" w14:textId="77777777" w:rsidR="00644C70" w:rsidRDefault="00644C70" w:rsidP="00644C70">
      <w:pPr>
        <w:spacing w:line="400" w:lineRule="exact"/>
        <w:ind w:firstLineChars="200" w:firstLine="420"/>
        <w:rPr>
          <w:sz w:val="21"/>
          <w:szCs w:val="21"/>
        </w:rPr>
      </w:pPr>
      <w:r>
        <w:rPr>
          <w:sz w:val="21"/>
          <w:szCs w:val="21"/>
        </w:rPr>
        <w:t>多剂量研究：数据仅来源于一项研究。儿童患者一天</w:t>
      </w:r>
      <w:r>
        <w:rPr>
          <w:sz w:val="21"/>
          <w:szCs w:val="21"/>
        </w:rPr>
        <w:t>2</w:t>
      </w:r>
      <w:r>
        <w:rPr>
          <w:sz w:val="21"/>
          <w:szCs w:val="21"/>
        </w:rPr>
        <w:t>次口服盐酸二甲双</w:t>
      </w:r>
      <w:proofErr w:type="gramStart"/>
      <w:r>
        <w:rPr>
          <w:sz w:val="21"/>
          <w:szCs w:val="21"/>
        </w:rPr>
        <w:t>胍</w:t>
      </w:r>
      <w:proofErr w:type="gramEnd"/>
      <w:r>
        <w:rPr>
          <w:sz w:val="21"/>
          <w:szCs w:val="21"/>
        </w:rPr>
        <w:t>片</w:t>
      </w:r>
      <w:r>
        <w:rPr>
          <w:sz w:val="21"/>
          <w:szCs w:val="21"/>
        </w:rPr>
        <w:t>0.5 g</w:t>
      </w:r>
      <w:r>
        <w:rPr>
          <w:sz w:val="21"/>
          <w:szCs w:val="21"/>
        </w:rPr>
        <w:t>，连续服用</w:t>
      </w:r>
      <w:r>
        <w:rPr>
          <w:sz w:val="21"/>
          <w:szCs w:val="21"/>
        </w:rPr>
        <w:t>7</w:t>
      </w:r>
      <w:r>
        <w:rPr>
          <w:sz w:val="21"/>
          <w:szCs w:val="21"/>
        </w:rPr>
        <w:t>天，血药浓度峰值和全身暴露量（</w:t>
      </w:r>
      <w:r>
        <w:rPr>
          <w:sz w:val="21"/>
          <w:szCs w:val="21"/>
        </w:rPr>
        <w:t>AUC</w:t>
      </w:r>
      <w:r>
        <w:rPr>
          <w:sz w:val="21"/>
          <w:szCs w:val="21"/>
          <w:vertAlign w:val="subscript"/>
        </w:rPr>
        <w:t>0-t</w:t>
      </w:r>
      <w:r>
        <w:rPr>
          <w:sz w:val="21"/>
          <w:szCs w:val="21"/>
        </w:rPr>
        <w:t>）相比服用相同剂量治疗</w:t>
      </w:r>
      <w:r>
        <w:rPr>
          <w:sz w:val="21"/>
          <w:szCs w:val="21"/>
        </w:rPr>
        <w:t>14</w:t>
      </w:r>
      <w:r>
        <w:rPr>
          <w:sz w:val="21"/>
          <w:szCs w:val="21"/>
        </w:rPr>
        <w:t>天的成年</w:t>
      </w:r>
      <w:r>
        <w:rPr>
          <w:sz w:val="21"/>
          <w:szCs w:val="21"/>
        </w:rPr>
        <w:lastRenderedPageBreak/>
        <w:t>糖尿病患者分别降低了约</w:t>
      </w:r>
      <w:r>
        <w:rPr>
          <w:sz w:val="21"/>
          <w:szCs w:val="21"/>
        </w:rPr>
        <w:t>33%</w:t>
      </w:r>
      <w:r>
        <w:rPr>
          <w:sz w:val="21"/>
          <w:szCs w:val="21"/>
        </w:rPr>
        <w:t>和</w:t>
      </w:r>
      <w:r>
        <w:rPr>
          <w:sz w:val="21"/>
          <w:szCs w:val="21"/>
        </w:rPr>
        <w:t>40%</w:t>
      </w:r>
      <w:r>
        <w:rPr>
          <w:sz w:val="21"/>
          <w:szCs w:val="21"/>
        </w:rPr>
        <w:t>。由于药物剂量依据个人的血糖水平进行调整滴定，临床相关性有限。</w:t>
      </w:r>
    </w:p>
    <w:p w14:paraId="568B4528" w14:textId="77777777" w:rsidR="00644C70" w:rsidRDefault="00644C70" w:rsidP="00644C70">
      <w:pPr>
        <w:spacing w:line="400" w:lineRule="exact"/>
        <w:rPr>
          <w:sz w:val="21"/>
          <w:szCs w:val="21"/>
        </w:rPr>
      </w:pPr>
      <w:r>
        <w:rPr>
          <w:sz w:val="21"/>
          <w:szCs w:val="21"/>
        </w:rPr>
        <w:t>【贮</w:t>
      </w:r>
      <w:r>
        <w:rPr>
          <w:sz w:val="21"/>
          <w:szCs w:val="21"/>
        </w:rPr>
        <w:t xml:space="preserve">    </w:t>
      </w:r>
      <w:r>
        <w:rPr>
          <w:sz w:val="21"/>
          <w:szCs w:val="21"/>
        </w:rPr>
        <w:t>藏】</w:t>
      </w:r>
    </w:p>
    <w:p w14:paraId="37E8E4CD" w14:textId="77777777" w:rsidR="00644C70" w:rsidRDefault="00644C70" w:rsidP="00644C70">
      <w:pPr>
        <w:spacing w:line="400" w:lineRule="exact"/>
        <w:ind w:firstLineChars="200" w:firstLine="420"/>
        <w:rPr>
          <w:sz w:val="21"/>
          <w:szCs w:val="21"/>
        </w:rPr>
      </w:pPr>
      <w:r>
        <w:rPr>
          <w:sz w:val="21"/>
          <w:szCs w:val="21"/>
        </w:rPr>
        <w:t>密封保存。</w:t>
      </w:r>
    </w:p>
    <w:p w14:paraId="7C9E5B12" w14:textId="77777777" w:rsidR="00644C70" w:rsidRDefault="00644C70" w:rsidP="00644C70">
      <w:pPr>
        <w:spacing w:line="400" w:lineRule="exact"/>
        <w:rPr>
          <w:sz w:val="21"/>
          <w:szCs w:val="21"/>
        </w:rPr>
      </w:pPr>
      <w:r>
        <w:rPr>
          <w:sz w:val="21"/>
          <w:szCs w:val="21"/>
        </w:rPr>
        <w:t>【包</w:t>
      </w:r>
      <w:r>
        <w:rPr>
          <w:sz w:val="21"/>
          <w:szCs w:val="21"/>
        </w:rPr>
        <w:t xml:space="preserve">    </w:t>
      </w:r>
      <w:r>
        <w:rPr>
          <w:sz w:val="21"/>
          <w:szCs w:val="21"/>
        </w:rPr>
        <w:t>装】</w:t>
      </w:r>
    </w:p>
    <w:p w14:paraId="6218B022" w14:textId="77777777" w:rsidR="00644C70" w:rsidRPr="00A92626"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铝塑包装，</w:t>
      </w:r>
      <w:r w:rsidRPr="00530632">
        <w:rPr>
          <w:rFonts w:ascii="宋体" w:hAnsi="宋体"/>
          <w:sz w:val="21"/>
          <w:szCs w:val="21"/>
        </w:rPr>
        <w:t>10 片/板×10板/盒</w:t>
      </w:r>
      <w:r>
        <w:rPr>
          <w:rFonts w:ascii="宋体" w:hAnsi="宋体" w:hint="eastAsia"/>
          <w:sz w:val="21"/>
          <w:szCs w:val="21"/>
        </w:rPr>
        <w:t>。</w:t>
      </w:r>
    </w:p>
    <w:p w14:paraId="6829E616" w14:textId="77777777" w:rsidR="00644C70" w:rsidRDefault="00644C70" w:rsidP="00644C70">
      <w:pPr>
        <w:spacing w:line="400" w:lineRule="exact"/>
        <w:rPr>
          <w:sz w:val="21"/>
          <w:szCs w:val="21"/>
        </w:rPr>
      </w:pPr>
      <w:r>
        <w:rPr>
          <w:sz w:val="21"/>
          <w:szCs w:val="21"/>
        </w:rPr>
        <w:t>【有</w:t>
      </w:r>
      <w:r>
        <w:rPr>
          <w:sz w:val="21"/>
          <w:szCs w:val="21"/>
        </w:rPr>
        <w:t xml:space="preserve"> </w:t>
      </w:r>
      <w:r>
        <w:rPr>
          <w:sz w:val="21"/>
          <w:szCs w:val="21"/>
        </w:rPr>
        <w:t>效</w:t>
      </w:r>
      <w:r>
        <w:rPr>
          <w:sz w:val="21"/>
          <w:szCs w:val="21"/>
        </w:rPr>
        <w:t xml:space="preserve"> </w:t>
      </w:r>
      <w:r>
        <w:rPr>
          <w:sz w:val="21"/>
          <w:szCs w:val="21"/>
        </w:rPr>
        <w:t>期】</w:t>
      </w:r>
    </w:p>
    <w:p w14:paraId="2A6CBCC0" w14:textId="77777777" w:rsidR="00644C70" w:rsidRPr="00746C04" w:rsidRDefault="00644C70" w:rsidP="00644C70">
      <w:pPr>
        <w:spacing w:line="400" w:lineRule="exact"/>
        <w:ind w:firstLineChars="200" w:firstLine="420"/>
        <w:rPr>
          <w:sz w:val="21"/>
          <w:szCs w:val="21"/>
        </w:rPr>
      </w:pPr>
      <w:r w:rsidRPr="00A92626">
        <w:rPr>
          <w:color w:val="000000"/>
          <w:kern w:val="0"/>
          <w:sz w:val="21"/>
          <w:szCs w:val="21"/>
        </w:rPr>
        <w:t>18</w:t>
      </w:r>
      <w:r w:rsidRPr="00746C04">
        <w:rPr>
          <w:color w:val="000000"/>
          <w:kern w:val="0"/>
          <w:sz w:val="21"/>
          <w:szCs w:val="21"/>
        </w:rPr>
        <w:t>个月</w:t>
      </w:r>
    </w:p>
    <w:p w14:paraId="2891D4AA" w14:textId="77777777" w:rsidR="00644C70" w:rsidRDefault="00644C70" w:rsidP="00644C70">
      <w:pPr>
        <w:spacing w:line="400" w:lineRule="exact"/>
        <w:rPr>
          <w:sz w:val="21"/>
          <w:szCs w:val="21"/>
        </w:rPr>
      </w:pPr>
      <w:r>
        <w:rPr>
          <w:sz w:val="21"/>
          <w:szCs w:val="21"/>
        </w:rPr>
        <w:t>【执行标准】</w:t>
      </w:r>
    </w:p>
    <w:p w14:paraId="7D983919" w14:textId="77777777" w:rsidR="00644C70" w:rsidRDefault="00644C70" w:rsidP="00644C70">
      <w:pPr>
        <w:spacing w:line="400" w:lineRule="exact"/>
        <w:rPr>
          <w:sz w:val="21"/>
          <w:szCs w:val="21"/>
        </w:rPr>
      </w:pPr>
    </w:p>
    <w:p w14:paraId="53D36EE3" w14:textId="77777777" w:rsidR="00644C70" w:rsidRDefault="00644C70" w:rsidP="00644C70">
      <w:pPr>
        <w:spacing w:line="400" w:lineRule="exact"/>
        <w:rPr>
          <w:sz w:val="21"/>
          <w:szCs w:val="21"/>
        </w:rPr>
      </w:pPr>
      <w:r>
        <w:rPr>
          <w:sz w:val="21"/>
          <w:szCs w:val="21"/>
        </w:rPr>
        <w:t>【批准文号】</w:t>
      </w:r>
    </w:p>
    <w:p w14:paraId="7151EF93"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国药准字</w:t>
      </w:r>
      <w:r w:rsidRPr="00530632">
        <w:rPr>
          <w:rFonts w:ascii="宋体" w:hAnsi="宋体"/>
          <w:sz w:val="21"/>
          <w:szCs w:val="21"/>
        </w:rPr>
        <w:t>H3702055</w:t>
      </w:r>
      <w:r>
        <w:rPr>
          <w:rFonts w:ascii="宋体" w:hAnsi="宋体"/>
          <w:sz w:val="21"/>
          <w:szCs w:val="21"/>
        </w:rPr>
        <w:t>0</w:t>
      </w:r>
    </w:p>
    <w:p w14:paraId="6F60D6EE" w14:textId="77777777" w:rsidR="00644C70" w:rsidRDefault="00644C70" w:rsidP="00644C70">
      <w:pPr>
        <w:spacing w:line="400" w:lineRule="exact"/>
        <w:rPr>
          <w:sz w:val="21"/>
          <w:szCs w:val="21"/>
        </w:rPr>
      </w:pPr>
      <w:r>
        <w:rPr>
          <w:sz w:val="21"/>
          <w:szCs w:val="21"/>
        </w:rPr>
        <w:t>【生产企业】</w:t>
      </w:r>
    </w:p>
    <w:p w14:paraId="71226477"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企业名称：蓬莱诺康药业有限公司</w:t>
      </w:r>
    </w:p>
    <w:p w14:paraId="4F751ABF"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生产地址：山东省蓬莱市南关路136号</w:t>
      </w:r>
    </w:p>
    <w:p w14:paraId="5A8FF26B"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邮政编码：265600</w:t>
      </w:r>
    </w:p>
    <w:p w14:paraId="5F53D553"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电话号码：0535-5656259</w:t>
      </w:r>
    </w:p>
    <w:p w14:paraId="2E2BC4EB" w14:textId="77777777" w:rsidR="00644C70" w:rsidRPr="00530632" w:rsidRDefault="00644C70" w:rsidP="00644C70">
      <w:pPr>
        <w:spacing w:line="400" w:lineRule="exact"/>
        <w:ind w:firstLineChars="200" w:firstLine="420"/>
        <w:rPr>
          <w:rFonts w:ascii="宋体" w:hAnsi="宋体"/>
          <w:sz w:val="21"/>
          <w:szCs w:val="21"/>
        </w:rPr>
      </w:pPr>
      <w:r w:rsidRPr="00530632">
        <w:rPr>
          <w:rFonts w:ascii="宋体" w:hAnsi="宋体" w:hint="eastAsia"/>
          <w:sz w:val="21"/>
          <w:szCs w:val="21"/>
        </w:rPr>
        <w:t>传真号码：0535-5656259</w:t>
      </w:r>
    </w:p>
    <w:p w14:paraId="602E3732" w14:textId="77777777" w:rsidR="00644C70" w:rsidRDefault="00644C70" w:rsidP="00644C70">
      <w:pPr>
        <w:rPr>
          <w:highlight w:val="yellow"/>
        </w:rPr>
      </w:pPr>
    </w:p>
    <w:p w14:paraId="77A045BE" w14:textId="6BB76FCA" w:rsidR="002A6C5C" w:rsidRPr="00410F17" w:rsidRDefault="002A6C5C" w:rsidP="00410F17">
      <w:bookmarkStart w:id="0" w:name="_GoBack"/>
      <w:bookmarkEnd w:id="0"/>
    </w:p>
    <w:sectPr w:rsidR="002A6C5C" w:rsidRPr="00410F17" w:rsidSect="00906576">
      <w:footerReference w:type="default" r:id="rId13"/>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E7453" w14:textId="77777777" w:rsidR="001122A0" w:rsidRDefault="001122A0" w:rsidP="004C5395">
      <w:r>
        <w:separator/>
      </w:r>
    </w:p>
  </w:endnote>
  <w:endnote w:type="continuationSeparator" w:id="0">
    <w:p w14:paraId="65B32E28" w14:textId="77777777" w:rsidR="001122A0" w:rsidRDefault="001122A0" w:rsidP="004C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sz w:val="22"/>
        <w:szCs w:val="22"/>
      </w:rPr>
      <w:id w:val="-1227135373"/>
      <w:docPartObj>
        <w:docPartGallery w:val="Page Numbers (Bottom of Page)"/>
        <w:docPartUnique/>
      </w:docPartObj>
    </w:sdtPr>
    <w:sdtEndPr>
      <w:rPr>
        <w:rFonts w:ascii="Times New Roman" w:hAnsi="Times New Roman"/>
        <w:sz w:val="24"/>
        <w:szCs w:val="24"/>
      </w:rPr>
    </w:sdtEndPr>
    <w:sdtContent>
      <w:sdt>
        <w:sdtPr>
          <w:rPr>
            <w:rFonts w:ascii="Times New Roman" w:eastAsia="宋体" w:hAnsi="Times New Roman"/>
            <w:sz w:val="22"/>
            <w:szCs w:val="22"/>
          </w:rPr>
          <w:id w:val="1728636285"/>
          <w:docPartObj>
            <w:docPartGallery w:val="Page Numbers (Top of Page)"/>
            <w:docPartUnique/>
          </w:docPartObj>
        </w:sdtPr>
        <w:sdtEndPr>
          <w:rPr>
            <w:sz w:val="24"/>
            <w:szCs w:val="24"/>
          </w:rPr>
        </w:sdtEndPr>
        <w:sdtContent>
          <w:p w14:paraId="3F57DC20" w14:textId="7A45FEB8" w:rsidR="0049006A" w:rsidRPr="005F5071" w:rsidRDefault="0049006A" w:rsidP="005F5071">
            <w:pPr>
              <w:pStyle w:val="a5"/>
              <w:jc w:val="center"/>
              <w:rPr>
                <w:rFonts w:ascii="Times New Roman" w:eastAsia="宋体" w:hAnsi="Times New Roman"/>
                <w:sz w:val="24"/>
                <w:szCs w:val="24"/>
              </w:rPr>
            </w:pPr>
            <w:r w:rsidRPr="005F5071">
              <w:rPr>
                <w:rFonts w:ascii="Times New Roman" w:eastAsia="宋体" w:hAnsi="Times New Roman"/>
                <w:sz w:val="24"/>
                <w:szCs w:val="24"/>
              </w:rPr>
              <w:t>第</w:t>
            </w:r>
            <w:r w:rsidRPr="005F5071">
              <w:rPr>
                <w:rFonts w:ascii="Times New Roman" w:eastAsia="宋体" w:hAnsi="Times New Roman"/>
                <w:bCs/>
                <w:sz w:val="24"/>
                <w:szCs w:val="24"/>
              </w:rPr>
              <w:fldChar w:fldCharType="begin"/>
            </w:r>
            <w:r w:rsidRPr="005F5071">
              <w:rPr>
                <w:rFonts w:ascii="Times New Roman" w:eastAsia="宋体" w:hAnsi="Times New Roman"/>
                <w:bCs/>
                <w:sz w:val="24"/>
                <w:szCs w:val="24"/>
              </w:rPr>
              <w:instrText>PAGE</w:instrText>
            </w:r>
            <w:r w:rsidRPr="005F5071">
              <w:rPr>
                <w:rFonts w:ascii="Times New Roman" w:eastAsia="宋体" w:hAnsi="Times New Roman"/>
                <w:bCs/>
                <w:sz w:val="24"/>
                <w:szCs w:val="24"/>
              </w:rPr>
              <w:fldChar w:fldCharType="separate"/>
            </w:r>
            <w:r w:rsidR="00644C70">
              <w:rPr>
                <w:rFonts w:ascii="Times New Roman" w:eastAsia="宋体" w:hAnsi="Times New Roman"/>
                <w:bCs/>
                <w:noProof/>
                <w:sz w:val="24"/>
                <w:szCs w:val="24"/>
              </w:rPr>
              <w:t>7</w:t>
            </w:r>
            <w:r w:rsidRPr="005F5071">
              <w:rPr>
                <w:rFonts w:ascii="Times New Roman" w:eastAsia="宋体" w:hAnsi="Times New Roman"/>
                <w:bCs/>
                <w:sz w:val="24"/>
                <w:szCs w:val="24"/>
              </w:rPr>
              <w:fldChar w:fldCharType="end"/>
            </w:r>
            <w:r w:rsidRPr="005F5071">
              <w:rPr>
                <w:rFonts w:ascii="Times New Roman" w:eastAsia="宋体" w:hAnsi="Times New Roman"/>
                <w:bCs/>
                <w:sz w:val="24"/>
                <w:szCs w:val="24"/>
              </w:rPr>
              <w:t>页</w:t>
            </w:r>
            <w:r w:rsidRPr="005F5071">
              <w:rPr>
                <w:rFonts w:ascii="Times New Roman" w:eastAsia="宋体" w:hAnsi="Times New Roman"/>
                <w:sz w:val="24"/>
                <w:szCs w:val="24"/>
                <w:lang w:val="zh-CN"/>
              </w:rPr>
              <w:t>/</w:t>
            </w:r>
            <w:r w:rsidRPr="005F5071">
              <w:rPr>
                <w:rFonts w:ascii="Times New Roman" w:eastAsia="宋体" w:hAnsi="Times New Roman"/>
                <w:sz w:val="24"/>
                <w:szCs w:val="24"/>
                <w:lang w:val="zh-CN"/>
              </w:rPr>
              <w:t>共</w:t>
            </w:r>
            <w:r w:rsidRPr="005F5071">
              <w:rPr>
                <w:rFonts w:ascii="Times New Roman" w:eastAsia="宋体" w:hAnsi="Times New Roman"/>
                <w:bCs/>
                <w:sz w:val="24"/>
                <w:szCs w:val="24"/>
              </w:rPr>
              <w:fldChar w:fldCharType="begin"/>
            </w:r>
            <w:r w:rsidRPr="005F5071">
              <w:rPr>
                <w:rFonts w:ascii="Times New Roman" w:eastAsia="宋体" w:hAnsi="Times New Roman"/>
                <w:bCs/>
                <w:sz w:val="24"/>
                <w:szCs w:val="24"/>
              </w:rPr>
              <w:instrText>NUMPAGES</w:instrText>
            </w:r>
            <w:r w:rsidRPr="005F5071">
              <w:rPr>
                <w:rFonts w:ascii="Times New Roman" w:eastAsia="宋体" w:hAnsi="Times New Roman"/>
                <w:bCs/>
                <w:sz w:val="24"/>
                <w:szCs w:val="24"/>
              </w:rPr>
              <w:fldChar w:fldCharType="separate"/>
            </w:r>
            <w:r w:rsidR="00644C70">
              <w:rPr>
                <w:rFonts w:ascii="Times New Roman" w:eastAsia="宋体" w:hAnsi="Times New Roman"/>
                <w:bCs/>
                <w:noProof/>
                <w:sz w:val="24"/>
                <w:szCs w:val="24"/>
              </w:rPr>
              <w:t>8</w:t>
            </w:r>
            <w:r w:rsidRPr="005F5071">
              <w:rPr>
                <w:rFonts w:ascii="Times New Roman" w:eastAsia="宋体" w:hAnsi="Times New Roman"/>
                <w:bCs/>
                <w:sz w:val="24"/>
                <w:szCs w:val="24"/>
              </w:rPr>
              <w:fldChar w:fldCharType="end"/>
            </w:r>
            <w:r w:rsidRPr="005F5071">
              <w:rPr>
                <w:rFonts w:ascii="Times New Roman" w:eastAsia="宋体" w:hAnsi="Times New Roman"/>
                <w:bCs/>
                <w:sz w:val="24"/>
                <w:szCs w:val="24"/>
              </w:rPr>
              <w:t>页</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DF5AB" w14:textId="77777777" w:rsidR="001122A0" w:rsidRDefault="001122A0" w:rsidP="004C5395">
      <w:r>
        <w:separator/>
      </w:r>
    </w:p>
  </w:footnote>
  <w:footnote w:type="continuationSeparator" w:id="0">
    <w:p w14:paraId="37A23D0C" w14:textId="77777777" w:rsidR="001122A0" w:rsidRDefault="001122A0" w:rsidP="004C53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6F4E"/>
    <w:multiLevelType w:val="hybridMultilevel"/>
    <w:tmpl w:val="CF488A20"/>
    <w:lvl w:ilvl="0" w:tplc="4A7621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A67E27"/>
    <w:multiLevelType w:val="hybridMultilevel"/>
    <w:tmpl w:val="9F66BDDC"/>
    <w:lvl w:ilvl="0" w:tplc="8376D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1E4DA9"/>
    <w:multiLevelType w:val="hybridMultilevel"/>
    <w:tmpl w:val="45FE9384"/>
    <w:lvl w:ilvl="0" w:tplc="53AC67C4">
      <w:start w:val="1"/>
      <w:numFmt w:val="japaneseCounting"/>
      <w:lvlText w:val="%1、"/>
      <w:lvlJc w:val="left"/>
      <w:pPr>
        <w:ind w:left="1644" w:hanging="72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3" w15:restartNumberingAfterBreak="0">
    <w:nsid w:val="28F6113B"/>
    <w:multiLevelType w:val="hybridMultilevel"/>
    <w:tmpl w:val="115AE548"/>
    <w:lvl w:ilvl="0" w:tplc="DC94C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6701DF"/>
    <w:multiLevelType w:val="hybridMultilevel"/>
    <w:tmpl w:val="B30C792E"/>
    <w:lvl w:ilvl="0" w:tplc="064618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FA7302B"/>
    <w:multiLevelType w:val="hybridMultilevel"/>
    <w:tmpl w:val="274AA4E2"/>
    <w:lvl w:ilvl="0" w:tplc="101C6918">
      <w:start w:val="1"/>
      <w:numFmt w:val="japaneseCounting"/>
      <w:lvlText w:val="%1、"/>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4A"/>
    <w:rsid w:val="001122A0"/>
    <w:rsid w:val="001E14F5"/>
    <w:rsid w:val="002350A6"/>
    <w:rsid w:val="002A6C5C"/>
    <w:rsid w:val="00300373"/>
    <w:rsid w:val="00314C06"/>
    <w:rsid w:val="00325EB4"/>
    <w:rsid w:val="0038063A"/>
    <w:rsid w:val="003D5C50"/>
    <w:rsid w:val="004060D1"/>
    <w:rsid w:val="00410F17"/>
    <w:rsid w:val="0045441D"/>
    <w:rsid w:val="00456F58"/>
    <w:rsid w:val="004624E9"/>
    <w:rsid w:val="00467B59"/>
    <w:rsid w:val="0049006A"/>
    <w:rsid w:val="004A196D"/>
    <w:rsid w:val="004C5395"/>
    <w:rsid w:val="005F5071"/>
    <w:rsid w:val="00644C70"/>
    <w:rsid w:val="006F4021"/>
    <w:rsid w:val="00821C14"/>
    <w:rsid w:val="00904370"/>
    <w:rsid w:val="00906576"/>
    <w:rsid w:val="009A22A0"/>
    <w:rsid w:val="009E4E4A"/>
    <w:rsid w:val="00A0358C"/>
    <w:rsid w:val="00AE185D"/>
    <w:rsid w:val="00BA6185"/>
    <w:rsid w:val="00C04F97"/>
    <w:rsid w:val="00CA023C"/>
    <w:rsid w:val="00CB25BB"/>
    <w:rsid w:val="00CD4DA1"/>
    <w:rsid w:val="00D54930"/>
    <w:rsid w:val="00E718AC"/>
    <w:rsid w:val="00F6210F"/>
    <w:rsid w:val="00F9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2BD182"/>
  <w15:chartTrackingRefBased/>
  <w15:docId w15:val="{F0B613BC-CD8D-408F-991D-7B029D28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071"/>
    <w:pPr>
      <w:widowControl w:val="0"/>
      <w:jc w:val="both"/>
    </w:pPr>
    <w:rPr>
      <w:rFonts w:ascii="Times New Roman" w:eastAsia="宋体" w:hAnsi="Times New Roman"/>
      <w:kern w:val="2"/>
      <w:sz w:val="24"/>
      <w:szCs w:val="22"/>
    </w:rPr>
  </w:style>
  <w:style w:type="paragraph" w:styleId="1">
    <w:name w:val="heading 1"/>
    <w:basedOn w:val="a"/>
    <w:next w:val="a"/>
    <w:link w:val="11"/>
    <w:uiPriority w:val="9"/>
    <w:qFormat/>
    <w:rsid w:val="0038063A"/>
    <w:pPr>
      <w:keepNext/>
      <w:keepLines/>
      <w:spacing w:before="340" w:after="330" w:line="578" w:lineRule="auto"/>
      <w:outlineLvl w:val="0"/>
    </w:pPr>
    <w:rPr>
      <w:b/>
      <w:bCs/>
      <w:kern w:val="44"/>
      <w:sz w:val="44"/>
      <w:szCs w:val="44"/>
    </w:rPr>
  </w:style>
  <w:style w:type="paragraph" w:styleId="2">
    <w:name w:val="heading 2"/>
    <w:basedOn w:val="a"/>
    <w:next w:val="a"/>
    <w:link w:val="21"/>
    <w:uiPriority w:val="9"/>
    <w:semiHidden/>
    <w:unhideWhenUsed/>
    <w:qFormat/>
    <w:rsid w:val="003806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395"/>
    <w:pPr>
      <w:tabs>
        <w:tab w:val="center" w:pos="4320"/>
        <w:tab w:val="right" w:pos="8640"/>
      </w:tabs>
    </w:pPr>
  </w:style>
  <w:style w:type="character" w:customStyle="1" w:styleId="a4">
    <w:name w:val="页眉 字符"/>
    <w:basedOn w:val="a0"/>
    <w:link w:val="a3"/>
    <w:uiPriority w:val="99"/>
    <w:rsid w:val="004C5395"/>
  </w:style>
  <w:style w:type="paragraph" w:styleId="a5">
    <w:name w:val="footer"/>
    <w:basedOn w:val="a"/>
    <w:link w:val="a6"/>
    <w:uiPriority w:val="99"/>
    <w:unhideWhenUsed/>
    <w:qFormat/>
    <w:rsid w:val="004624E9"/>
    <w:pPr>
      <w:tabs>
        <w:tab w:val="center" w:pos="4153"/>
        <w:tab w:val="right" w:pos="8306"/>
      </w:tabs>
      <w:snapToGrid w:val="0"/>
      <w:jc w:val="left"/>
    </w:pPr>
    <w:rPr>
      <w:rFonts w:ascii="等线" w:eastAsia="等线" w:hAnsi="等线"/>
      <w:sz w:val="18"/>
      <w:szCs w:val="18"/>
    </w:rPr>
  </w:style>
  <w:style w:type="character" w:customStyle="1" w:styleId="a6">
    <w:name w:val="页脚 字符"/>
    <w:link w:val="a5"/>
    <w:uiPriority w:val="99"/>
    <w:rsid w:val="004624E9"/>
    <w:rPr>
      <w:kern w:val="2"/>
      <w:sz w:val="18"/>
      <w:szCs w:val="18"/>
    </w:rPr>
  </w:style>
  <w:style w:type="table" w:styleId="a7">
    <w:name w:val="Table Grid"/>
    <w:basedOn w:val="a1"/>
    <w:uiPriority w:val="39"/>
    <w:qFormat/>
    <w:rsid w:val="001E1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uiPriority w:val="9"/>
    <w:rsid w:val="0038063A"/>
    <w:rPr>
      <w:b/>
      <w:bCs/>
      <w:kern w:val="44"/>
      <w:sz w:val="44"/>
      <w:szCs w:val="44"/>
    </w:rPr>
  </w:style>
  <w:style w:type="character" w:customStyle="1" w:styleId="20">
    <w:name w:val="标题 2 字符"/>
    <w:basedOn w:val="a0"/>
    <w:uiPriority w:val="9"/>
    <w:semiHidden/>
    <w:rsid w:val="0038063A"/>
    <w:rPr>
      <w:rFonts w:asciiTheme="majorHAnsi" w:eastAsiaTheme="majorEastAsia" w:hAnsiTheme="majorHAnsi" w:cstheme="majorBidi"/>
      <w:b/>
      <w:bCs/>
      <w:sz w:val="32"/>
      <w:szCs w:val="32"/>
    </w:rPr>
  </w:style>
  <w:style w:type="numbering" w:customStyle="1" w:styleId="12">
    <w:name w:val="无列表1"/>
    <w:next w:val="a2"/>
    <w:uiPriority w:val="99"/>
    <w:semiHidden/>
    <w:unhideWhenUsed/>
    <w:rsid w:val="0038063A"/>
  </w:style>
  <w:style w:type="character" w:customStyle="1" w:styleId="Char">
    <w:name w:val="页眉 Char"/>
    <w:uiPriority w:val="99"/>
    <w:rsid w:val="0038063A"/>
    <w:rPr>
      <w:rFonts w:ascii="Times New Roman" w:eastAsia="宋体" w:hAnsi="Times New Roman"/>
      <w:kern w:val="2"/>
      <w:sz w:val="18"/>
      <w:szCs w:val="18"/>
    </w:rPr>
  </w:style>
  <w:style w:type="character" w:customStyle="1" w:styleId="Char0">
    <w:name w:val="页脚 Char"/>
    <w:uiPriority w:val="99"/>
    <w:rsid w:val="0038063A"/>
    <w:rPr>
      <w:rFonts w:ascii="Times New Roman" w:eastAsia="宋体" w:hAnsi="Times New Roman"/>
      <w:kern w:val="2"/>
      <w:sz w:val="18"/>
      <w:szCs w:val="18"/>
    </w:rPr>
  </w:style>
  <w:style w:type="character" w:customStyle="1" w:styleId="11">
    <w:name w:val="标题 1 字符1"/>
    <w:link w:val="1"/>
    <w:uiPriority w:val="9"/>
    <w:rsid w:val="0038063A"/>
    <w:rPr>
      <w:rFonts w:ascii="宋体" w:eastAsia="宋体" w:hAnsi="宋体"/>
      <w:b/>
      <w:bCs/>
      <w:kern w:val="44"/>
      <w:sz w:val="44"/>
      <w:szCs w:val="44"/>
    </w:rPr>
  </w:style>
  <w:style w:type="character" w:customStyle="1" w:styleId="21">
    <w:name w:val="标题 2 字符1"/>
    <w:link w:val="2"/>
    <w:uiPriority w:val="9"/>
    <w:semiHidden/>
    <w:rsid w:val="0038063A"/>
    <w:rPr>
      <w:rFonts w:asciiTheme="majorHAnsi" w:eastAsiaTheme="majorEastAsia" w:hAnsiTheme="majorHAnsi" w:cstheme="majorBidi"/>
      <w:b/>
      <w:bCs/>
      <w:kern w:val="2"/>
      <w:sz w:val="32"/>
      <w:szCs w:val="32"/>
    </w:rPr>
  </w:style>
  <w:style w:type="paragraph" w:styleId="a8">
    <w:name w:val="List Paragraph"/>
    <w:aliases w:val="申报正文"/>
    <w:basedOn w:val="a"/>
    <w:link w:val="a9"/>
    <w:uiPriority w:val="34"/>
    <w:qFormat/>
    <w:rsid w:val="004624E9"/>
    <w:pPr>
      <w:tabs>
        <w:tab w:val="left" w:pos="1418"/>
      </w:tabs>
      <w:suppressAutoHyphens/>
      <w:adjustRightInd w:val="0"/>
      <w:snapToGrid w:val="0"/>
      <w:spacing w:line="360" w:lineRule="auto"/>
      <w:ind w:firstLineChars="200" w:firstLine="480"/>
    </w:pPr>
    <w:rPr>
      <w:szCs w:val="21"/>
      <w:lang w:val="en-GB"/>
    </w:rPr>
  </w:style>
  <w:style w:type="table" w:customStyle="1" w:styleId="13">
    <w:name w:val="网格型1"/>
    <w:basedOn w:val="a1"/>
    <w:next w:val="a7"/>
    <w:uiPriority w:val="59"/>
    <w:rsid w:val="0038063A"/>
    <w:rPr>
      <w:rFonts w:ascii="Calibri" w:eastAsia="宋体" w:hAnsi="Calibr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7"/>
    <w:uiPriority w:val="59"/>
    <w:rsid w:val="0038063A"/>
    <w:rPr>
      <w:rFonts w:ascii="Calibri" w:eastAsia="宋体" w:hAnsi="Calibr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7"/>
    <w:uiPriority w:val="59"/>
    <w:rsid w:val="0038063A"/>
    <w:rPr>
      <w:rFonts w:ascii="Calibri" w:eastAsia="宋体" w:hAnsi="Calibr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59"/>
    <w:rsid w:val="0038063A"/>
    <w:rPr>
      <w:rFonts w:ascii="Calibri" w:eastAsia="宋体" w:hAnsi="Calibr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无列表2"/>
    <w:next w:val="a2"/>
    <w:uiPriority w:val="99"/>
    <w:semiHidden/>
    <w:unhideWhenUsed/>
    <w:rsid w:val="0038063A"/>
  </w:style>
  <w:style w:type="paragraph" w:styleId="aa">
    <w:name w:val="caption"/>
    <w:basedOn w:val="a"/>
    <w:next w:val="a"/>
    <w:link w:val="ab"/>
    <w:unhideWhenUsed/>
    <w:qFormat/>
    <w:rsid w:val="004624E9"/>
    <w:pPr>
      <w:keepNext/>
      <w:spacing w:afterLines="50" w:after="156"/>
      <w:jc w:val="left"/>
    </w:pPr>
    <w:rPr>
      <w:szCs w:val="21"/>
    </w:rPr>
  </w:style>
  <w:style w:type="paragraph" w:styleId="ac">
    <w:name w:val="Balloon Text"/>
    <w:basedOn w:val="a"/>
    <w:link w:val="14"/>
    <w:uiPriority w:val="99"/>
    <w:semiHidden/>
    <w:unhideWhenUsed/>
    <w:rsid w:val="004624E9"/>
    <w:rPr>
      <w:rFonts w:ascii="Calibri" w:hAnsi="Calibri"/>
      <w:sz w:val="18"/>
      <w:szCs w:val="18"/>
    </w:rPr>
  </w:style>
  <w:style w:type="character" w:customStyle="1" w:styleId="ad">
    <w:name w:val="批注框文本 字符"/>
    <w:basedOn w:val="a0"/>
    <w:uiPriority w:val="99"/>
    <w:semiHidden/>
    <w:rsid w:val="004624E9"/>
    <w:rPr>
      <w:sz w:val="18"/>
      <w:szCs w:val="18"/>
    </w:rPr>
  </w:style>
  <w:style w:type="paragraph" w:styleId="HTML">
    <w:name w:val="HTML Preformatted"/>
    <w:basedOn w:val="a"/>
    <w:link w:val="HTML0"/>
    <w:uiPriority w:val="99"/>
    <w:semiHidden/>
    <w:unhideWhenUsed/>
    <w:rsid w:val="00462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4"/>
    </w:rPr>
  </w:style>
  <w:style w:type="character" w:customStyle="1" w:styleId="HTML0">
    <w:name w:val="HTML 预设格式 字符"/>
    <w:basedOn w:val="a0"/>
    <w:link w:val="HTML"/>
    <w:uiPriority w:val="99"/>
    <w:semiHidden/>
    <w:rsid w:val="004624E9"/>
    <w:rPr>
      <w:rFonts w:ascii="Courier New" w:eastAsia="宋体" w:hAnsi="Courier New" w:cs="Courier New"/>
      <w:sz w:val="24"/>
      <w:szCs w:val="24"/>
    </w:rPr>
  </w:style>
  <w:style w:type="paragraph" w:styleId="ae">
    <w:name w:val="Normal (Web)"/>
    <w:basedOn w:val="a"/>
    <w:uiPriority w:val="99"/>
    <w:unhideWhenUsed/>
    <w:rsid w:val="004624E9"/>
    <w:pPr>
      <w:spacing w:before="100" w:beforeAutospacing="1" w:afterLines="50" w:after="100" w:afterAutospacing="1"/>
      <w:ind w:left="200" w:hangingChars="200" w:hanging="200"/>
    </w:pPr>
    <w:rPr>
      <w:rFonts w:cs="宋体"/>
      <w:szCs w:val="24"/>
    </w:rPr>
  </w:style>
  <w:style w:type="character" w:styleId="af">
    <w:name w:val="Hyperlink"/>
    <w:uiPriority w:val="99"/>
    <w:qFormat/>
    <w:rsid w:val="004624E9"/>
    <w:rPr>
      <w:rFonts w:cs="Times New Roman"/>
      <w:color w:val="0000FF"/>
      <w:u w:val="single"/>
    </w:rPr>
  </w:style>
  <w:style w:type="paragraph" w:customStyle="1" w:styleId="af0">
    <w:name w:val="表格内容 加粗"/>
    <w:basedOn w:val="a"/>
    <w:link w:val="Char1"/>
    <w:uiPriority w:val="99"/>
    <w:qFormat/>
    <w:rsid w:val="004624E9"/>
    <w:pPr>
      <w:widowControl/>
      <w:adjustRightInd w:val="0"/>
      <w:snapToGrid w:val="0"/>
      <w:jc w:val="center"/>
    </w:pPr>
    <w:rPr>
      <w:bCs/>
      <w:color w:val="000000"/>
      <w:kern w:val="0"/>
      <w:szCs w:val="21"/>
    </w:rPr>
  </w:style>
  <w:style w:type="character" w:customStyle="1" w:styleId="Char1">
    <w:name w:val="表格内容 加粗 Char"/>
    <w:link w:val="af0"/>
    <w:uiPriority w:val="99"/>
    <w:rsid w:val="004624E9"/>
    <w:rPr>
      <w:rFonts w:ascii="Times New Roman" w:eastAsia="宋体" w:hAnsi="Times New Roman"/>
      <w:bCs/>
      <w:color w:val="000000"/>
      <w:sz w:val="21"/>
      <w:szCs w:val="21"/>
    </w:rPr>
  </w:style>
  <w:style w:type="paragraph" w:customStyle="1" w:styleId="af1">
    <w:name w:val="表头加粗"/>
    <w:basedOn w:val="a"/>
    <w:link w:val="Char2"/>
    <w:qFormat/>
    <w:rsid w:val="004624E9"/>
    <w:pPr>
      <w:widowControl/>
      <w:jc w:val="center"/>
    </w:pPr>
    <w:rPr>
      <w:b/>
      <w:bCs/>
      <w:color w:val="000000"/>
      <w:kern w:val="0"/>
    </w:rPr>
  </w:style>
  <w:style w:type="character" w:customStyle="1" w:styleId="Char2">
    <w:name w:val="表头加粗 Char"/>
    <w:link w:val="af1"/>
    <w:rsid w:val="004624E9"/>
    <w:rPr>
      <w:rFonts w:ascii="Times New Roman" w:eastAsia="宋体" w:hAnsi="Times New Roman"/>
      <w:b/>
      <w:bCs/>
      <w:color w:val="000000"/>
      <w:sz w:val="21"/>
      <w:szCs w:val="22"/>
    </w:rPr>
  </w:style>
  <w:style w:type="paragraph" w:customStyle="1" w:styleId="af2">
    <w:name w:val="表格内容"/>
    <w:basedOn w:val="a"/>
    <w:link w:val="Char3"/>
    <w:qFormat/>
    <w:rsid w:val="004624E9"/>
    <w:pPr>
      <w:widowControl/>
      <w:suppressAutoHyphens/>
      <w:adjustRightInd w:val="0"/>
      <w:snapToGrid w:val="0"/>
      <w:jc w:val="center"/>
    </w:pPr>
    <w:rPr>
      <w:bCs/>
      <w:kern w:val="0"/>
      <w:szCs w:val="21"/>
      <w:lang w:val="en-GB"/>
    </w:rPr>
  </w:style>
  <w:style w:type="character" w:customStyle="1" w:styleId="Char3">
    <w:name w:val="表格内容 Char"/>
    <w:link w:val="af2"/>
    <w:rsid w:val="004624E9"/>
    <w:rPr>
      <w:rFonts w:ascii="Times New Roman" w:eastAsia="宋体" w:hAnsi="Times New Roman"/>
      <w:bCs/>
      <w:sz w:val="21"/>
      <w:szCs w:val="21"/>
      <w:lang w:val="en-GB"/>
    </w:rPr>
  </w:style>
  <w:style w:type="character" w:customStyle="1" w:styleId="14">
    <w:name w:val="批注框文本 字符1"/>
    <w:link w:val="ac"/>
    <w:uiPriority w:val="99"/>
    <w:semiHidden/>
    <w:rsid w:val="004624E9"/>
    <w:rPr>
      <w:rFonts w:ascii="Calibri" w:eastAsia="宋体" w:hAnsi="Calibri" w:cs="Times New Roman"/>
      <w:kern w:val="2"/>
      <w:sz w:val="18"/>
      <w:szCs w:val="18"/>
    </w:rPr>
  </w:style>
  <w:style w:type="character" w:customStyle="1" w:styleId="a9">
    <w:name w:val="列出段落 字符"/>
    <w:aliases w:val="申报正文 字符"/>
    <w:link w:val="a8"/>
    <w:uiPriority w:val="34"/>
    <w:rsid w:val="004624E9"/>
    <w:rPr>
      <w:rFonts w:ascii="Times New Roman" w:eastAsia="宋体" w:hAnsi="Times New Roman"/>
      <w:kern w:val="2"/>
      <w:sz w:val="24"/>
      <w:szCs w:val="21"/>
      <w:lang w:val="en-GB"/>
    </w:rPr>
  </w:style>
  <w:style w:type="paragraph" w:customStyle="1" w:styleId="af3">
    <w:name w:val="表格正文"/>
    <w:basedOn w:val="a"/>
    <w:link w:val="Char4"/>
    <w:qFormat/>
    <w:rsid w:val="004624E9"/>
    <w:pPr>
      <w:spacing w:line="360" w:lineRule="auto"/>
    </w:pPr>
    <w:rPr>
      <w:b/>
      <w:kern w:val="0"/>
      <w:szCs w:val="21"/>
      <w:lang w:val="en-GB"/>
    </w:rPr>
  </w:style>
  <w:style w:type="character" w:customStyle="1" w:styleId="Char4">
    <w:name w:val="表格正文 Char"/>
    <w:link w:val="af3"/>
    <w:rsid w:val="004624E9"/>
    <w:rPr>
      <w:rFonts w:ascii="Times New Roman" w:eastAsia="宋体" w:hAnsi="Times New Roman"/>
      <w:b/>
      <w:sz w:val="21"/>
      <w:szCs w:val="21"/>
      <w:lang w:val="en-GB"/>
    </w:rPr>
  </w:style>
  <w:style w:type="paragraph" w:customStyle="1" w:styleId="af4">
    <w:name w:val="表格"/>
    <w:basedOn w:val="a"/>
    <w:link w:val="af5"/>
    <w:qFormat/>
    <w:rsid w:val="004624E9"/>
    <w:pPr>
      <w:widowControl/>
      <w:jc w:val="center"/>
    </w:pPr>
    <w:rPr>
      <w:kern w:val="0"/>
      <w:szCs w:val="21"/>
    </w:rPr>
  </w:style>
  <w:style w:type="paragraph" w:customStyle="1" w:styleId="af6">
    <w:name w:val="页眉格式"/>
    <w:basedOn w:val="a"/>
    <w:link w:val="Char5"/>
    <w:rsid w:val="004624E9"/>
    <w:rPr>
      <w:rFonts w:hAnsi="等线"/>
      <w:sz w:val="18"/>
      <w:szCs w:val="21"/>
    </w:rPr>
  </w:style>
  <w:style w:type="character" w:customStyle="1" w:styleId="Char5">
    <w:name w:val="页眉格式 Char"/>
    <w:link w:val="af6"/>
    <w:rsid w:val="004624E9"/>
    <w:rPr>
      <w:rFonts w:ascii="Times New Roman" w:eastAsia="宋体" w:hAnsi="等线" w:cs="Times New Roman"/>
      <w:kern w:val="2"/>
      <w:sz w:val="18"/>
      <w:szCs w:val="21"/>
    </w:rPr>
  </w:style>
  <w:style w:type="character" w:customStyle="1" w:styleId="af5">
    <w:name w:val="表格 字符"/>
    <w:link w:val="af4"/>
    <w:qFormat/>
    <w:rsid w:val="004624E9"/>
    <w:rPr>
      <w:rFonts w:ascii="Times New Roman" w:eastAsia="宋体" w:hAnsi="Times New Roman"/>
      <w:sz w:val="21"/>
      <w:szCs w:val="21"/>
    </w:rPr>
  </w:style>
  <w:style w:type="character" w:customStyle="1" w:styleId="ab">
    <w:name w:val="题注 字符"/>
    <w:link w:val="aa"/>
    <w:rsid w:val="004624E9"/>
    <w:rPr>
      <w:rFonts w:ascii="Times New Roman" w:eastAsia="宋体" w:hAnsi="Times New Roman"/>
      <w:kern w:val="2"/>
      <w:sz w:val="21"/>
      <w:szCs w:val="21"/>
    </w:rPr>
  </w:style>
  <w:style w:type="table" w:customStyle="1" w:styleId="TableGrid2">
    <w:name w:val="Table Grid2"/>
    <w:basedOn w:val="a1"/>
    <w:uiPriority w:val="59"/>
    <w:qFormat/>
    <w:rsid w:val="004624E9"/>
    <w:rPr>
      <w:rFonts w:eastAsia="宋体"/>
      <w:kern w:val="2"/>
      <w:sz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28B9C1F6430911468D7476E13D13C24A" ma:contentTypeVersion="0" ma:contentTypeDescription="新建文档。" ma:contentTypeScope="" ma:versionID="f7de3661d4f74294988323ef8093e74e">
  <xsd:schema xmlns:xsd="http://www.w3.org/2001/XMLSchema" xmlns:xs="http://www.w3.org/2001/XMLSchema" xmlns:p="http://schemas.microsoft.com/office/2006/metadata/properties" xmlns:ns1="http://schemas.microsoft.com/sharepoint/v3" xmlns:ns2="5e84fce6-3135-42d5-8e2c-adad17f45a95" targetNamespace="http://schemas.microsoft.com/office/2006/metadata/properties" ma:root="true" ma:fieldsID="68652a5d759fc3f784ab5b727cdbb902" ns1:_="" ns2:_="">
    <xsd:import namespace="http://schemas.microsoft.com/sharepoint/v3"/>
    <xsd:import namespace="5e84fce6-3135-42d5-8e2c-adad17f45a95"/>
    <xsd:element name="properties">
      <xsd:complexType>
        <xsd:sequence>
          <xsd:element name="documentManagement">
            <xsd:complexType>
              <xsd:all>
                <xsd:element ref="ns2:_dlc_DocId" minOccurs="0"/>
                <xsd:element ref="ns2:_dlc_DocIdUrl" minOccurs="0"/>
                <xsd:element ref="ns2:_dlc_DocIdPersistId" minOccurs="0"/>
                <xsd:element ref="ns2:Case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4fce6-3135-42d5-8e2c-adad17f45a95"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CaseID" ma:index="11" nillable="true" ma:displayName="CaseID" ma:internalName="Case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seID xmlns="5e84fce6-3135-42d5-8e2c-adad17f45a95">CYHB1850309</CaseID>
  </documentManagement>
</p:properties>
</file>

<file path=customXml/item4.xml><?xml version="1.0" encoding="utf-8"?>
<?mso-contentType ?>
<spe:Receivers xmlns:spe="http://schemas.microsoft.com/sharepoint/events">
  <Receiver>
    <Name>Policy Auditing</Name>
    <Synchronization>Synchronous</Synchronization>
    <Type>10001</Type>
    <SequenceNumber>1100</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Version=15.0.0.0, Culture=neutral, PublicKeyToken=71e9bce111e9429c</Assembly>
    <Class>Microsoft.Office.RecordsManagement.Internal.AuditHandler</Class>
    <Data/>
    <Filter/>
  </Receiver>
</spe:Receivers>
</file>

<file path=customXml/item5.xml><?xml version="1.0" encoding="utf-8"?>
<?mso-contentType ?>
<p:Policy xmlns:p="office.server.policy" id="" local="true">
  <p:Name>文档</p:Name>
  <p:Description/>
  <p:Statement/>
  <p:PolicyItems>
    <p:PolicyItem featureId="Microsoft.Office.RecordsManagement.PolicyFeatures.PolicyAudit" staticId="0x0101|254968459" UniqueId="fe28e867-36ea-443f-96cb-52ca04c98f1e">
      <p:Name>审核</p:Name>
      <p:Description>审核用户对文档和列表项所做的操作，并将审核结果写入审核日志。</p:Description>
      <p:CustomData>
        <Audit>
          <Update/>
          <View/>
          <DeleteRestore/>
        </Audit>
      </p:CustomData>
    </p:PolicyItem>
  </p:PolicyItems>
</p:Policy>
</file>

<file path=customXml/itemProps1.xml><?xml version="1.0" encoding="utf-8"?>
<ds:datastoreItem xmlns:ds="http://schemas.openxmlformats.org/officeDocument/2006/customXml" ds:itemID="{73A64BEF-1366-4CFD-A33B-BCED1706F726}">
  <ds:schemaRefs>
    <ds:schemaRef ds:uri="http://schemas.microsoft.com/sharepoint/v3/contenttype/forms"/>
  </ds:schemaRefs>
</ds:datastoreItem>
</file>

<file path=customXml/itemProps2.xml><?xml version="1.0" encoding="utf-8"?>
<ds:datastoreItem xmlns:ds="http://schemas.openxmlformats.org/officeDocument/2006/customXml" ds:itemID="{BCE1CCE8-2B51-47CC-A1DA-4C67F5499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e84fce6-3135-42d5-8e2c-adad17f45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6B5B33-2DE2-4895-9642-8EEBB8915B8E}">
  <ds:schemaRefs>
    <ds:schemaRef ds:uri="http://schemas.microsoft.com/sharepoint/v3"/>
    <ds:schemaRef ds:uri="http://purl.org/dc/terms/"/>
    <ds:schemaRef ds:uri="http://schemas.microsoft.com/office/2006/metadata/properties"/>
    <ds:schemaRef ds:uri="http://www.w3.org/XML/1998/namespace"/>
    <ds:schemaRef ds:uri="http://purl.org/dc/dcmitype/"/>
    <ds:schemaRef ds:uri="http://purl.org/dc/elements/1.1/"/>
    <ds:schemaRef ds:uri="http://schemas.microsoft.com/office/2006/documentManagement/types"/>
    <ds:schemaRef ds:uri="5e84fce6-3135-42d5-8e2c-adad17f45a95"/>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533B7231-14E1-4F86-8E49-A558281035FF}">
  <ds:schemaRefs>
    <ds:schemaRef ds:uri="http://schemas.microsoft.com/sharepoint/events"/>
  </ds:schemaRefs>
</ds:datastoreItem>
</file>

<file path=customXml/itemProps5.xml><?xml version="1.0" encoding="utf-8"?>
<ds:datastoreItem xmlns:ds="http://schemas.openxmlformats.org/officeDocument/2006/customXml" ds:itemID="{7EE63537-2181-4F86-A311-4557A1B14776}">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2734</Words>
  <Characters>3419</Characters>
  <Application>Microsoft Office Word</Application>
  <DocSecurity>0</DocSecurity>
  <Lines>179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QianSheng Zhou</dc:creator>
  <cp:keywords/>
  <dc:description/>
  <cp:lastModifiedBy>李丽</cp:lastModifiedBy>
  <cp:revision>14</cp:revision>
  <dcterms:created xsi:type="dcterms:W3CDTF">2018-03-25T13:30:00Z</dcterms:created>
  <dcterms:modified xsi:type="dcterms:W3CDTF">2019-09-09T03:51:00Z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jeszhou@microsoft.com</vt:lpwstr>
  </property>
  <property fmtid="{D5CDD505-2E9C-101B-9397-08002B2CF9AE}" pid="5" name="MSIP_Label_f42aa342-8706-4288-bd11-ebb85995028c_SetDate">
    <vt:lpwstr>2018-03-25T13:32:44.3595271Z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0x01010028B9C1F6430911468D7476E13D13C24A</vt:lpwstr>
  </property>
</Properties>
</file>