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05F73"/>
          <w:sz w:val="64"/>
        </w:rPr>
        <w:t>🤖 QuantumFlow</w:t>
      </w:r>
    </w:p>
    <w:p>
      <w:pPr>
        <w:spacing w:after="800"/>
        <w:jc w:val="center"/>
      </w:pPr>
      <w:r>
        <w:rPr>
          <w:color w:val="0A9396"/>
          <w:sz w:val="32"/>
        </w:rPr>
        <w:t>基于多智能体协同的人机共存生产力调度系统设计文档</w:t>
        <w:br/>
        <w:t>（含 API 规范）</w:t>
      </w:r>
    </w:p>
    <w:p>
      <w:pPr>
        <w:spacing w:before="2000"/>
      </w:pPr>
    </w:p>
    <w:p>
      <w:pPr>
        <w:spacing w:line="360" w:lineRule="auto"/>
        <w:jc w:val="center"/>
      </w:pPr>
      <w:r>
        <w:rPr>
          <w:color w:val="2B2D42"/>
          <w:sz w:val="22"/>
        </w:rPr>
        <w:t>系统设计与核心架构基础知识库</w:t>
        <w:br/>
        <w:t>版本：v1.0.0</w:t>
        <w:br/>
        <w:t>日期：2026年6月</w:t>
      </w:r>
    </w:p>
    <w:p>
      <w:r>
        <w:br w:type="page"/>
      </w:r>
    </w:p>
    <w:p>
      <w:pPr>
        <w:pStyle w:val="Heading1"/>
        <w:keepNext/>
        <w:spacing w:before="280" w:after="120"/>
        <w:pBdr>
          <w:bottom w:val="single" w:sz="12" w:space="4" w:color="005F73"/>
        </w:pBdr>
      </w:pPr>
      <w:r>
        <w:rPr>
          <w:rFonts w:ascii="Segoe UI" w:hAnsi="Segoe UI"/>
          <w:b/>
          <w:color w:val="005F73"/>
          <w:sz w:val="36"/>
        </w:rPr>
        <w:t>LLM 核心基础知识库</w:t>
      </w:r>
    </w:p>
    <w:p>
      <w:pPr>
        <w:pStyle w:val="Heading2"/>
        <w:keepNext/>
        <w:spacing w:before="280" w:after="120"/>
      </w:pPr>
      <w:r>
        <w:rPr>
          <w:rFonts w:ascii="Segoe UI" w:hAnsi="Segoe UI"/>
          <w:b/>
          <w:color w:val="0A9396"/>
          <w:sz w:val="28"/>
        </w:rPr>
        <w:t>一、大模型运行本质 （How LLM Works）</w:t>
      </w:r>
    </w:p>
    <w:p>
      <w:r>
        <w:rPr>
          <w:color w:val="2B2D42"/>
        </w:rPr>
        <w:t>大模型（LLM）的本质是</w:t>
      </w:r>
      <w:r>
        <w:rPr>
          <w:b/>
          <w:color w:val="CA6702"/>
        </w:rPr>
        <w:t>基于统计概率的文本生成引擎</w:t>
      </w:r>
      <w:r>
        <w:t>。</w:t>
      </w:r>
    </w:p>
    <w:p>
      <w:pPr>
        <w:pStyle w:val="Heading3"/>
        <w:keepNext/>
        <w:spacing w:before="280" w:after="120"/>
      </w:pPr>
      <w:r>
        <w:rPr>
          <w:rFonts w:ascii="Segoe UI" w:hAnsi="Segoe UI"/>
          <w:b/>
          <w:color w:val="2B2D42"/>
          <w:sz w:val="24"/>
        </w:rPr>
        <w:t>1、LLM &amp; Token 核心概念</w:t>
      </w:r>
    </w:p>
    <w:p>
      <w:pPr>
        <w:pStyle w:val="ListBullet"/>
      </w:pPr>
      <w:r>
        <w:rPr>
          <w:b/>
        </w:rPr>
        <w:t>逐词预测与概率采样：</w:t>
      </w:r>
      <w:r>
        <w:t>大模型回答问题时，通过内部运算预测出现概率最高的词（Token），然后迭代预测下一个词，直到输出特定的结束标识符（EOS）。</w:t>
      </w:r>
    </w:p>
    <w:p>
      <w:pPr>
        <w:pStyle w:val="ListBullet"/>
      </w:pPr>
      <w:r>
        <w:rPr>
          <w:b/>
        </w:rPr>
        <w:t>Token（基本单元）：</w:t>
      </w:r>
      <w:r>
        <w:t>是大语言模型处理文本的最基本单位。通过分词器（Tokenizer）将输入文本切分成块并映射为唯一的 Token ID。大模型内部通过 Transformer 架构进行矩阵运算，并将预测概率最大的 Token ID 存入序列，循环往复。</w:t>
      </w:r>
    </w:p>
    <w:p>
      <w:pPr>
        <w:pStyle w:val="ListBullet"/>
      </w:pPr>
      <w:r>
        <w:rPr>
          <w:b/>
        </w:rPr>
        <w:t>Context &amp; Window（上下文窗口）：</w:t>
      </w:r>
      <w:r>
        <w:t>Context 是模型每次处理任务时接收到的全部信息总和。Context Window 则决定了模型能够单次处理的 Token 容量上限。</w:t>
      </w:r>
    </w:p>
    <w:p>
      <w:pPr>
        <w:pStyle w:val="Heading3"/>
        <w:keepNext/>
        <w:spacing w:before="280" w:after="120"/>
      </w:pPr>
      <w:r>
        <w:rPr>
          <w:rFonts w:ascii="Segoe UI" w:hAnsi="Segoe UI"/>
          <w:b/>
          <w:color w:val="2B2D42"/>
          <w:sz w:val="24"/>
        </w:rPr>
        <w:t>2、Transformer 架构与 Attention 机制</w:t>
      </w:r>
    </w:p>
    <w:p>
      <w:r>
        <w:rPr>
          <w:color w:val="2B2D42"/>
        </w:rPr>
        <w:t xml:space="preserve">Transformer 是主流 LLM 的基石，彻底改变了传统循环神经网络（RNN）的顺序处理限制，实现了超大规模的并行计算。其核心在于 </w:t>
      </w:r>
      <w:r>
        <w:rPr>
          <w:b/>
        </w:rPr>
        <w:t>Attention（自注意力机制）</w:t>
      </w:r>
    </w:p>
    <w:p>
      <w:pPr>
        <w:pStyle w:val="ListBullet"/>
      </w:pPr>
      <w:r>
        <w:rPr>
          <w:b/>
        </w:rPr>
        <w:t>自注意力机制（Self-Attention）：</w:t>
      </w:r>
      <w:r>
        <w:t>让当前 Token 能够与上下文中的其他所有 Token 建立建联。通过矩阵运算计算语义相似度，相似度越高，分配的注意力权重就越大，从而完美解决长距离依赖和上下文指代消解（如明确“苹果很好吃，因为它很新鲜”中的“它”指向“苹果”）问题。</w:t>
      </w:r>
    </w:p>
    <w:p>
      <w:pPr>
        <w:pStyle w:val="ListBullet"/>
      </w:pPr>
      <w:r>
        <w:rPr>
          <w:b/>
        </w:rPr>
        <w:t>QKV 矩阵运作逻辑：</w:t>
      </w:r>
      <w:r>
        <w:t>Query (Q/查询向量) 去查找对应的 Key (K/特征向量) 进行匹配，计算相似度后通过 Softmax 公式进行归一化处理得到权重分布，再与 Value (V/求权向量/信息载体) 进行加权求和，生成新的向量融入 Context 中以预测下一轮 Token。</w:t>
      </w:r>
    </w:p>
    <w:p>
      <w:pPr>
        <w:pStyle w:val="ListBullet"/>
      </w:pPr>
      <w:r>
        <w:rPr>
          <w:b/>
        </w:rPr>
        <w:t>缩放因子（Scaling Factor）的必要性：</w:t>
      </w:r>
      <w:r>
        <w:t>在特征维度较大时，点积结果值可能极大，导致 Softmax 函数进入极端陡峭的区域，引发梯度消失。引入缩放因子可确保 Softmax 运行在平缓区域，保障模型训练与推理的稳定性。</w:t>
      </w:r>
    </w:p>
    <w:p>
      <w:pPr>
        <w:pStyle w:val="ListBullet"/>
      </w:pPr>
      <w:r>
        <w:rPr>
          <w:b/>
        </w:rPr>
        <w:t>多头注意力机制（Multi-Head Attention）：</w:t>
      </w:r>
      <w:r>
        <w:t>将输入映射到多个独立的子空间中，设置多个注意力头从不同的多维视角学习和理解句子，最后整合输出，大幅提升复杂语义的捕获精度。</w:t>
      </w:r>
    </w:p>
    <w:p>
      <w:pPr>
        <w:pStyle w:val="Heading2"/>
        <w:keepNext/>
        <w:spacing w:before="280" w:after="120"/>
      </w:pPr>
      <w:r>
        <w:rPr>
          <w:rFonts w:ascii="Segoe UI" w:hAnsi="Segoe UI"/>
          <w:b/>
          <w:color w:val="0A9396"/>
          <w:sz w:val="28"/>
        </w:rPr>
        <w:t>二、智能体与工具生态 （Agent &amp; Ecosystem）</w:t>
      </w:r>
    </w:p>
    <w:p>
      <w:pPr>
        <w:pStyle w:val="Heading3"/>
        <w:keepNext/>
        <w:spacing w:before="280" w:after="120"/>
      </w:pPr>
      <w:r>
        <w:rPr>
          <w:rFonts w:ascii="Segoe UI" w:hAnsi="Segoe UI"/>
          <w:b/>
          <w:color w:val="2B2D42"/>
          <w:sz w:val="24"/>
        </w:rPr>
        <w:t>1、提示词与技能规范</w:t>
      </w:r>
    </w:p>
    <w:p>
      <w:r>
        <w:rPr>
          <w:b/>
        </w:rPr>
        <w:t>• System Prompt（系统提示词）：</w:t>
      </w:r>
      <w:r>
        <w:t>开发者预设的后台全局指令，用于定义智能体的行为边界、输出格式及逻辑约束，是 Agent 行为的底层铁律。</w:t>
        <w:br/>
      </w:r>
      <w:r>
        <w:rPr>
          <w:b/>
        </w:rPr>
        <w:t>• Agent Skill（技能）：</w:t>
      </w:r>
      <w:r>
        <w:t>专门为 Agent 设计和编写的结构化操作说明文档，定义了其执行特定复杂任务的规则、目标与方法。</w:t>
      </w:r>
    </w:p>
    <w:p>
      <w:pPr>
        <w:pStyle w:val="Heading3"/>
        <w:keepNext/>
        <w:spacing w:before="280" w:after="120"/>
      </w:pPr>
      <w:r>
        <w:rPr>
          <w:rFonts w:ascii="Segoe UI" w:hAnsi="Segoe UI"/>
          <w:b/>
          <w:color w:val="2B2D42"/>
          <w:sz w:val="24"/>
        </w:rPr>
        <w:t>2、工具与 MCP、RAG 架构</w:t>
      </w:r>
    </w:p>
    <w:p>
      <w:r>
        <w:rPr>
          <w:b/>
        </w:rPr>
        <w:t>• Tool（外部工具）：</w:t>
      </w:r>
      <w:r>
        <w:t>类似于函数或外部 HTTP API 接口，打破了大模型的对话框限制，使其具备感知和操作外部物理环境（如读写文件、操作数据库）的能力。</w:t>
        <w:br/>
      </w:r>
      <w:r>
        <w:rPr>
          <w:b/>
        </w:rPr>
        <w:t>• MCP（模型上下文协议）：</w:t>
      </w:r>
      <w:r>
        <w:t>统一工具接入的开放标准协议（类比 Java 的 JVM 理念），使得不同的多模型环境可以无缝通用同一套工具库。</w:t>
        <w:br/>
      </w:r>
      <w:r>
        <w:rPr>
          <w:b/>
        </w:rPr>
        <w:t>• RAG（检索增强生成）：</w:t>
      </w:r>
      <w:r>
        <w:t>分为“提问前”和“提问后”两阶段。提问前将外部知识库切片并通过 Embedding 转化为向量存入向量数据库；提问后对用户问题进行向量化，通过“召回 + 重排”提取高相关片段，与原问题一同打包给 LLM。这是在不重新训练模型的前提下，扩展 LLM 知识时效性、解决幻觉的工程利器。</w:t>
      </w:r>
    </w:p>
    <w:p>
      <w:pPr>
        <w:pStyle w:val="Heading2"/>
        <w:keepNext/>
        <w:spacing w:before="280" w:after="120"/>
      </w:pPr>
      <w:r>
        <w:rPr>
          <w:rFonts w:ascii="Segoe UI" w:hAnsi="Segoe UI"/>
          <w:b/>
          <w:color w:val="0A9396"/>
          <w:sz w:val="28"/>
        </w:rPr>
        <w:t>三、多模态感知本质 （How LMM Works）</w:t>
      </w:r>
    </w:p>
    <w:p>
      <w:pPr>
        <w:pStyle w:val="Heading3"/>
        <w:keepNext/>
        <w:spacing w:before="280" w:after="120"/>
      </w:pPr>
      <w:r>
        <w:rPr>
          <w:rFonts w:ascii="Segoe UI" w:hAnsi="Segoe UI"/>
          <w:b/>
          <w:color w:val="2B2D42"/>
          <w:sz w:val="24"/>
        </w:rPr>
        <w:t>1、CLIP 架构：连接文本与图像的桥梁</w:t>
      </w:r>
    </w:p>
    <w:p>
      <w:r>
        <w:t>多模态模型的本质不是让一个模型同时学会文本和图像，而是通过统一语义空间让两个专业的模型相互“理解”：</w:t>
      </w:r>
    </w:p>
    <w:p>
      <w:pPr>
        <w:pStyle w:val="ListBullet"/>
      </w:pPr>
      <w:r>
        <w:rPr>
          <w:b/>
        </w:rPr>
        <w:t>Text Encoder（文本编码器）：</w:t>
      </w:r>
      <w:r>
        <w:t>负责提取 Prompt 及文本需求中的多维高阶语义特征。</w:t>
      </w:r>
    </w:p>
    <w:p>
      <w:pPr>
        <w:pStyle w:val="ListBullet"/>
      </w:pPr>
      <w:r>
        <w:rPr>
          <w:b/>
        </w:rPr>
        <w:t>Image Encoder（图像编码器）：</w:t>
      </w:r>
      <w:r>
        <w:t>利用卷积层（如 nn.Conv2d）或 Vision Transformer 将像素点转化为特征向量。</w:t>
      </w:r>
    </w:p>
    <w:p>
      <w:pPr>
        <w:pStyle w:val="ListBullet"/>
      </w:pPr>
      <w:r>
        <w:rPr>
          <w:b/>
        </w:rPr>
        <w:t>统一潜空间（Latent Space）对齐：</w:t>
      </w:r>
      <w:r>
        <w:t>通过线性层和 Softmax 计算，使“苹果”图片向量和“苹果”文字向量在多维坐标系中重合。Agent 不需要理解像素本身，只需比对向量距离。若生成的代码 UI 截图向量与原型设计稿向量距离过大，系统直接判定存在“视觉误差”。</w:t>
      </w:r>
    </w:p>
    <w:tbl>
      <w:tblPr>
        <w:tblW w:type="auto" w:w="0"/>
        <w:jc w:val="center"/>
        <w:tblLayout w:type="fixed"/>
        <w:tblLook w:firstColumn="1" w:firstRow="1" w:lastColumn="0" w:lastRow="0" w:noHBand="0" w:noVBand="1" w:val="04A0"/>
      </w:tblPr>
      <w:tblGrid>
        <w:gridCol w:w="9029"/>
      </w:tblGrid>
      <w:tr>
        <w:tc>
          <w:tcPr>
            <w:tcW w:type="dxa" w:w="9360"/>
            <w:shd w:fill="F4F6F8"/>
            <w:tcMar>
              <w:top w:w="140" w:type="dxa"/>
              <w:bottom w:w="140" w:type="dxa"/>
              <w:left w:w="200" w:type="dxa"/>
              <w:right w:w="200" w:type="dxa"/>
            </w:tcMar>
            <w:tcBorders>
              <w:left w:val="single" w:sz="24" w:space="0" w:color="005F73"/>
              <w:top w:val="none"/>
              <w:right w:val="none"/>
              <w:bottom w:val="none"/>
            </w:tcBorders>
          </w:tcPr>
          <w:p>
            <w:pPr>
              <w:spacing w:before="40" w:after="40"/>
            </w:pPr>
            <w:r>
              <w:rPr>
                <w:rFonts w:ascii="Segoe UI" w:hAnsi="Segoe UI"/>
                <w:b/>
                <w:color w:val="005F73"/>
                <w:sz w:val="21"/>
              </w:rPr>
              <w:t>【多模态感知核心组件角色】</w:t>
              <w:br/>
            </w:r>
            <w:r>
              <w:rPr>
                <w:rFonts w:ascii="Segoe UI" w:hAnsi="Segoe UI"/>
                <w:i/>
                <w:color w:val="2B2D42"/>
                <w:sz w:val="20"/>
              </w:rPr>
              <w:t>冲突仲裁（The Judge）：当 Codex 生成的后端代码与 Gemini 设计的前端 UI 或原型产生语义/视觉冲突时，Manager（Claude）利用多模态对齐结果进行一票否决或投票裁决，确保交付效果。</w:t>
            </w:r>
          </w:p>
        </w:tc>
      </w:tr>
    </w:tbl>
    <w:p>
      <w:pPr>
        <w:spacing w:after="80"/>
      </w:pPr>
    </w:p>
    <w:p>
      <w:pPr>
        <w:pStyle w:val="Heading2"/>
        <w:keepNext/>
        <w:spacing w:before="280" w:after="120"/>
      </w:pPr>
      <w:r>
        <w:rPr>
          <w:rFonts w:ascii="Segoe UI" w:hAnsi="Segoe UI"/>
          <w:b/>
          <w:color w:val="0A9396"/>
          <w:sz w:val="28"/>
        </w:rPr>
        <w:t>四、逻辑蒸馏与 Agent 技能库建设</w:t>
      </w:r>
    </w:p>
    <w:p>
      <w:r>
        <w:t>大模型本身不具备真正意义上的自主思考能力，其表现取决于 Context 窗口内的推演。因此，我们需要将人类专家的执行逻辑“蒸馏”出来：</w:t>
      </w:r>
    </w:p>
    <w:p>
      <w:pPr>
        <w:pStyle w:val="ListBullet"/>
      </w:pPr>
      <w:r>
        <w:rPr>
          <w:b/>
        </w:rPr>
        <w:t>非全量资料库背诵：</w:t>
      </w:r>
      <w:r>
        <w:t>蒸馏不是让 AI 全量死记硬背庞大的资料库，而是将具体专家的“思考路径（Mindset）”与“物理动作（Operation）”提取出来。</w:t>
      </w:r>
    </w:p>
    <w:p>
      <w:pPr>
        <w:pStyle w:val="ListBullet"/>
      </w:pPr>
      <w:r>
        <w:rPr>
          <w:b/>
        </w:rPr>
        <w:t>落地路径 (The Path to Action)：</w:t>
      </w:r>
      <w:r>
        <w:t>将专家的 SOP、思维导图、历史数据输入给主控 Claude 提炼，封装为确定性的 Prompt 约束或代码 API，存储在系统的 Tool/Skill 技能库中，供 Agent 遇到特定场景时动态调取并执行物理 Action。</w:t>
      </w:r>
    </w:p>
    <w:p>
      <w:r>
        <w:br w:type="page"/>
      </w:r>
    </w:p>
    <w:p>
      <w:pPr>
        <w:pStyle w:val="Heading1"/>
        <w:keepNext/>
        <w:spacing w:before="280" w:after="120"/>
        <w:pBdr>
          <w:bottom w:val="single" w:sz="12" w:space="4" w:color="005F73"/>
        </w:pBdr>
      </w:pPr>
      <w:r>
        <w:rPr>
          <w:rFonts w:ascii="Segoe UI" w:hAnsi="Segoe UI"/>
          <w:b/>
          <w:color w:val="005F73"/>
          <w:sz w:val="36"/>
        </w:rPr>
        <w:t>多智能体（Multi-Agent）项目设计与流程规范</w:t>
      </w:r>
    </w:p>
    <w:p>
      <w:pPr>
        <w:pStyle w:val="Heading2"/>
        <w:keepNext/>
        <w:spacing w:before="280" w:after="120"/>
      </w:pPr>
      <w:r>
        <w:rPr>
          <w:rFonts w:ascii="Segoe UI" w:hAnsi="Segoe UI"/>
          <w:b/>
          <w:color w:val="0A9396"/>
          <w:sz w:val="28"/>
        </w:rPr>
        <w:t>一、分布式集群与自愈架构设计</w:t>
      </w:r>
    </w:p>
    <w:p>
      <w:r>
        <w:rPr>
          <w:b/>
        </w:rPr>
        <w:t>QuantumFlow</w:t>
      </w:r>
      <w:r>
        <w:t xml:space="preserve"> 系统深度解构了 Yann LeCun 提出的 SAI (System AI) 愿景，跳出单模型黑盒思维，通过“AI 逻辑执行的高效廉价”与“人类高阶创意稀缺昂贵”的生产力矛盾进行对冲。系统引入业务板块化隔离机制，构建 Master-Slave 主从协同多智能体分布式集群。</w:t>
      </w:r>
    </w:p>
    <w:p>
      <w:pPr>
        <w:pStyle w:val="Heading3"/>
        <w:keepNext/>
        <w:spacing w:before="280" w:after="120"/>
      </w:pPr>
      <w:r>
        <w:rPr>
          <w:rFonts w:ascii="Segoe UI" w:hAnsi="Segoe UI"/>
          <w:b/>
          <w:color w:val="2B2D42"/>
          <w:sz w:val="24"/>
        </w:rPr>
        <w:t>1、系统分层架构规范</w:t>
      </w:r>
    </w:p>
    <w:p>
      <w:r>
        <w:t>• 决策层 (Control Plane)：</w:t>
      </w:r>
    </w:p>
    <w:p>
      <w:r>
        <w:t>由 Claude Code 担任 Master Node（董事长角色），专门负责全局任务拆解、逻辑仲裁、指令分发与验收，本身不直接参与代码写入，以确保最高维决策的稳定性。针对复杂设计难点，发起集群投票机制。</w:t>
      </w:r>
    </w:p>
    <w:p>
      <w:r>
        <w:t>• 中间件层 (Infrastructure)：</w:t>
      </w:r>
    </w:p>
    <w:p>
      <w:pPr>
        <w:pStyle w:val="ListBullet"/>
      </w:pPr>
      <w:r>
        <w:rPr>
          <w:b/>
        </w:rPr>
        <w:t>K8s + KubeEdge：</w:t>
      </w:r>
      <w:r>
        <w:t>动态管理 Agent 实例生命周期，实现自动注册、弹性扩缩容以及边缘节点状态的实时更新同步。</w:t>
      </w:r>
    </w:p>
    <w:p>
      <w:pPr>
        <w:pStyle w:val="ListBullet"/>
      </w:pPr>
      <w:r>
        <w:rPr>
          <w:b/>
        </w:rPr>
        <w:t>Apache Pulsar：</w:t>
      </w:r>
      <w:r>
        <w:t>作为高性能异步消息中枢，原生支持多租户。负责指令队列的平滑削峰，彻底解决多 Agent 协同下的并发冲突与数据争抢，是实现“有序塌陷”的核心物理中轴。</w:t>
      </w:r>
    </w:p>
    <w:p>
      <w:pPr>
        <w:pStyle w:val="ListBullet"/>
      </w:pPr>
      <w:r>
        <w:rPr>
          <w:b/>
        </w:rPr>
        <w:t>三位一体存储 (Redis + Vector + Graph)：</w:t>
      </w:r>
      <w:r>
        <w:t>Redis 负责秒级瞬时记忆快照与状态持久化（保障断点续传）；Vector DB 提供高维语义检索和历史经验池调取；Graph DB 存储实体间复杂的长链条逻辑依赖图谱，防止 Agent 在大规模项目跨模块调用中迷失。</w:t>
      </w:r>
    </w:p>
    <w:p>
      <w:r>
        <w:t>• 执行层 (Execution Layer) 与沙箱：</w:t>
      </w:r>
    </w:p>
    <w:p>
      <w:r>
        <w:t>Slave Nodes（Codex 后端、Gemini 前端）在完全隔离的 OpenCode 物理沙箱（Docker/VM/WSL2）环境中并行执行代码生成、自动化写入与编译运行测试，提供原子化的汇总。</w:t>
      </w:r>
    </w:p>
    <w:p>
      <w:pPr>
        <w:pStyle w:val="Heading3"/>
        <w:keepNext/>
        <w:spacing w:before="280" w:after="120"/>
      </w:pPr>
      <w:r>
        <w:rPr>
          <w:rFonts w:ascii="Segoe UI" w:hAnsi="Segoe UI"/>
          <w:b/>
          <w:color w:val="2B2D42"/>
          <w:sz w:val="24"/>
        </w:rPr>
        <w:t>2、容灾自愈机制：基于持久化记忆的自愈</w:t>
      </w:r>
    </w:p>
    <w:tbl>
      <w:tblPr>
        <w:tblW w:type="auto" w:w="0"/>
        <w:jc w:val="center"/>
        <w:tblLayout w:type="fixed"/>
        <w:tblLook w:firstColumn="1" w:firstRow="1" w:lastColumn="0" w:lastRow="0" w:noHBand="0" w:noVBand="1" w:val="04A0"/>
      </w:tblPr>
      <w:tblGrid>
        <w:gridCol w:w="9029"/>
      </w:tblGrid>
      <w:tr>
        <w:tc>
          <w:tcPr>
            <w:tcW w:type="dxa" w:w="9360"/>
            <w:shd w:fill="F4F6F8"/>
            <w:tcMar>
              <w:top w:w="140" w:type="dxa"/>
              <w:bottom w:w="140" w:type="dxa"/>
              <w:left w:w="200" w:type="dxa"/>
              <w:right w:w="200" w:type="dxa"/>
            </w:tcMar>
            <w:tcBorders>
              <w:left w:val="single" w:sz="24" w:space="0" w:color="005F73"/>
              <w:top w:val="none"/>
              <w:right w:val="none"/>
              <w:bottom w:val="none"/>
            </w:tcBorders>
          </w:tcPr>
          <w:p>
            <w:pPr>
              <w:spacing w:before="40" w:after="40"/>
            </w:pPr>
            <w:r>
              <w:rPr>
                <w:rFonts w:ascii="Segoe UI" w:hAnsi="Segoe UI"/>
                <w:b/>
                <w:color w:val="005F73"/>
                <w:sz w:val="21"/>
              </w:rPr>
              <w:t>【断点续传与损失最小化哲学】</w:t>
              <w:br/>
            </w:r>
            <w:r>
              <w:rPr>
                <w:rFonts w:ascii="Segoe UI" w:hAnsi="Segoe UI"/>
                <w:i/>
                <w:color w:val="2B2D42"/>
                <w:sz w:val="20"/>
              </w:rPr>
              <w:t>系统设计了承认极端环境不存在绝对最优解的灾备哲学，引入 Redis 经典工程手段：通过 RDB（快照模式）周期性将 Agent 内存全量上下文镜像化，通过 AOF（日志追加）实时记录 CoT 推理步骤。一旦遭遇突然断电或 Master 崩溃，系统触发“临时接管协议”由算力充沛的 Slave 升主，并基于 AOF/RDB 实现业务断点续传，以最低成本挽回最大损失。</w:t>
            </w:r>
          </w:p>
        </w:tc>
      </w:tr>
    </w:tbl>
    <w:p>
      <w:pPr>
        <w:spacing w:after="80"/>
      </w:pPr>
    </w:p>
    <w:p>
      <w:pPr>
        <w:pStyle w:val="Heading2"/>
        <w:keepNext/>
        <w:spacing w:before="280" w:after="120"/>
      </w:pPr>
      <w:r>
        <w:rPr>
          <w:rFonts w:ascii="Segoe UI" w:hAnsi="Segoe UI"/>
          <w:b/>
          <w:color w:val="0A9396"/>
          <w:sz w:val="28"/>
        </w:rPr>
        <w:t>二、QuantumFlow 核心链路：全栈闭环与断层修复</w:t>
      </w:r>
    </w:p>
    <w:p>
      <w:pPr>
        <w:pStyle w:val="Heading3"/>
        <w:keepNext/>
        <w:spacing w:before="280" w:after="120"/>
      </w:pPr>
      <w:r>
        <w:rPr>
          <w:rFonts w:ascii="Segoe UI" w:hAnsi="Segoe UI"/>
          <w:b/>
          <w:color w:val="2B2D42"/>
          <w:sz w:val="24"/>
        </w:rPr>
        <w:t>1、工业级微服务开发痛点攻克</w:t>
      </w:r>
    </w:p>
    <w:p>
      <w:r>
        <w:t>在传统的 AI 开发中，常常面临</w:t>
      </w:r>
      <w:r>
        <w:rPr>
          <w:b/>
        </w:rPr>
        <w:t>“前后端状态不同步（State Desynchronization）”</w:t>
      </w:r>
      <w:r>
        <w:t>的行业级断层痛点。以若依（RuoYi）微服务为例，Agent 能够完美生成后端的 Controller、Service 和数据库 SQL，但由于前端路由、菜单权限通常依赖数据库动态配置或人工静态注入，导致 AI 代码“能编译运行但在 UI 上看不见”。</w:t>
      </w:r>
    </w:p>
    <w:p>
      <w:r>
        <w:t xml:space="preserve">QuantumFlow 通过 </w:t>
      </w:r>
      <w:r>
        <w:rPr>
          <w:b/>
        </w:rPr>
        <w:t>CC (Continuous Configuration) 协议</w:t>
      </w:r>
      <w:r>
        <w:t xml:space="preserve"> 引入自动化插桩与路由纠错机制。在代码生成的瞬间，系统自动在沙箱中对前端代码进行“动态插桩”，将新页面的路径和权限标识自动注入 router 配置文件并热同步菜单元数据，彻底消融“古法编程”人工补丁与“AI 编程”高速生成之间的摩擦。</w:t>
      </w:r>
    </w:p>
    <w:p>
      <w:pPr>
        <w:pStyle w:val="Heading3"/>
        <w:keepNext/>
        <w:spacing w:before="280" w:after="120"/>
      </w:pPr>
      <w:r>
        <w:rPr>
          <w:rFonts w:ascii="Segoe UI" w:hAnsi="Segoe UI"/>
          <w:b/>
          <w:color w:val="2B2D42"/>
          <w:sz w:val="24"/>
        </w:rPr>
        <w:t>2、角色分工与模型选择规范</w:t>
      </w:r>
    </w:p>
    <w:tbl>
      <w:tblPr>
        <w:tblW w:type="auto" w:w="0"/>
        <w:jc w:val="center"/>
        <w:tblLook w:firstColumn="1" w:firstRow="1" w:lastColumn="0" w:lastRow="0" w:noHBand="0" w:noVBand="1" w:val="04A0"/>
        <w:tblBorders>
          <w:top w:val="single" w:sz="4" w:space="0" w:color="005F73"/>
          <w:bottom w:val="single" w:sz="8" w:space="0" w:color="005F73"/>
          <w:insideH w:val="single" w:sz="4" w:space="0" w:color="CCCCCC"/>
          <w:insideV w:val="none"/>
          <w:left w:val="none"/>
          <w:right w:val="none"/>
        </w:tblBorders>
      </w:tblPr>
      <w:tblGrid>
        <w:gridCol w:w="2257"/>
        <w:gridCol w:w="2257"/>
        <w:gridCol w:w="2257"/>
        <w:gridCol w:w="2257"/>
      </w:tblGrid>
      <w:tr>
        <w:tc>
          <w:tcPr>
            <w:tcW w:type="dxa" w:w="2257"/>
            <w:shd w:fill="005F73"/>
            <w:tcMar>
              <w:top w:w="120" w:type="dxa"/>
              <w:bottom w:w="120" w:type="dxa"/>
              <w:left w:w="120" w:type="dxa"/>
              <w:right w:w="120" w:type="dxa"/>
            </w:tcMar>
          </w:tcPr>
          <w:p>
            <w:pPr>
              <w:jc w:val="center"/>
            </w:pPr>
            <w:r>
              <w:rPr>
                <w:b/>
                <w:color w:val="FFFFFF"/>
              </w:rPr>
              <w:t>角色</w:t>
            </w:r>
          </w:p>
        </w:tc>
        <w:tc>
          <w:tcPr>
            <w:tcW w:type="dxa" w:w="2257"/>
            <w:shd w:fill="005F73"/>
            <w:tcMar>
              <w:top w:w="120" w:type="dxa"/>
              <w:bottom w:w="120" w:type="dxa"/>
              <w:left w:w="120" w:type="dxa"/>
              <w:right w:w="120" w:type="dxa"/>
            </w:tcMar>
          </w:tcPr>
          <w:p>
            <w:pPr>
              <w:jc w:val="center"/>
            </w:pPr>
            <w:r>
              <w:rPr>
                <w:b/>
                <w:color w:val="FFFFFF"/>
              </w:rPr>
              <w:t>推荐模型/智能体</w:t>
            </w:r>
          </w:p>
        </w:tc>
        <w:tc>
          <w:tcPr>
            <w:tcW w:type="dxa" w:w="2257"/>
            <w:shd w:fill="005F73"/>
            <w:tcMar>
              <w:top w:w="120" w:type="dxa"/>
              <w:bottom w:w="120" w:type="dxa"/>
              <w:left w:w="120" w:type="dxa"/>
              <w:right w:w="120" w:type="dxa"/>
            </w:tcMar>
          </w:tcPr>
          <w:p>
            <w:pPr>
              <w:jc w:val="center"/>
            </w:pPr>
            <w:r>
              <w:rPr>
                <w:b/>
                <w:color w:val="FFFFFF"/>
              </w:rPr>
              <w:t>核心职责</w:t>
            </w:r>
          </w:p>
        </w:tc>
        <w:tc>
          <w:tcPr>
            <w:tcW w:type="dxa" w:w="2257"/>
            <w:shd w:fill="005F73"/>
            <w:tcMar>
              <w:top w:w="120" w:type="dxa"/>
              <w:bottom w:w="120" w:type="dxa"/>
              <w:left w:w="120" w:type="dxa"/>
              <w:right w:w="120" w:type="dxa"/>
            </w:tcMar>
          </w:tcPr>
          <w:p>
            <w:pPr>
              <w:jc w:val="center"/>
            </w:pPr>
            <w:r>
              <w:rPr>
                <w:b/>
                <w:color w:val="FFFFFF"/>
              </w:rPr>
              <w:t>协作逻辑</w:t>
            </w:r>
          </w:p>
        </w:tc>
      </w:tr>
      <w:tr>
        <w:tc>
          <w:tcPr>
            <w:tcW w:type="dxa" w:w="2257"/>
            <w:tcMar>
              <w:top w:w="100" w:type="dxa"/>
              <w:bottom w:w="100" w:type="dxa"/>
              <w:left w:w="100" w:type="dxa"/>
              <w:right w:w="100" w:type="dxa"/>
            </w:tcMar>
          </w:tcPr>
          <w:p>
            <w:r>
              <w:t>管理者 (Manager)</w:t>
            </w:r>
          </w:p>
        </w:tc>
        <w:tc>
          <w:tcPr>
            <w:tcW w:type="dxa" w:w="2257"/>
            <w:tcMar>
              <w:top w:w="100" w:type="dxa"/>
              <w:bottom w:w="100" w:type="dxa"/>
              <w:left w:w="100" w:type="dxa"/>
              <w:right w:w="100" w:type="dxa"/>
            </w:tcMar>
          </w:tcPr>
          <w:p>
            <w:r>
              <w:t>Claude Code</w:t>
            </w:r>
          </w:p>
        </w:tc>
        <w:tc>
          <w:tcPr>
            <w:tcW w:type="dxa" w:w="2257"/>
            <w:tcMar>
              <w:top w:w="100" w:type="dxa"/>
              <w:bottom w:w="100" w:type="dxa"/>
              <w:left w:w="100" w:type="dxa"/>
              <w:right w:w="100" w:type="dxa"/>
            </w:tcMar>
          </w:tcPr>
          <w:p>
            <w:r>
              <w:t>需求分析、全局任务拆解、逻辑仲裁、最终结果质量验收</w:t>
            </w:r>
          </w:p>
        </w:tc>
        <w:tc>
          <w:tcPr>
            <w:tcW w:type="dxa" w:w="2257"/>
            <w:tcMar>
              <w:top w:w="100" w:type="dxa"/>
              <w:bottom w:w="100" w:type="dxa"/>
              <w:left w:w="100" w:type="dxa"/>
              <w:right w:w="100" w:type="dxa"/>
            </w:tcMar>
          </w:tcPr>
          <w:p>
            <w:r>
              <w:t>作为 Master Node 负责全局发号施令与调度</w:t>
            </w:r>
          </w:p>
        </w:tc>
      </w:tr>
      <w:tr>
        <w:tc>
          <w:tcPr>
            <w:tcW w:type="dxa" w:w="2257"/>
            <w:tcMar>
              <w:top w:w="100" w:type="dxa"/>
              <w:bottom w:w="100" w:type="dxa"/>
              <w:left w:w="100" w:type="dxa"/>
              <w:right w:w="100" w:type="dxa"/>
            </w:tcMar>
            <w:shd w:fill="F4F6F8"/>
          </w:tcPr>
          <w:p>
            <w:r>
              <w:t>后端执行 (Coder)</w:t>
            </w:r>
          </w:p>
        </w:tc>
        <w:tc>
          <w:tcPr>
            <w:tcW w:type="dxa" w:w="2257"/>
            <w:tcMar>
              <w:top w:w="100" w:type="dxa"/>
              <w:bottom w:w="100" w:type="dxa"/>
              <w:left w:w="100" w:type="dxa"/>
              <w:right w:w="100" w:type="dxa"/>
            </w:tcMar>
            <w:shd w:fill="F4F6F8"/>
          </w:tcPr>
          <w:p>
            <w:r>
              <w:t>Codex / Custom LLM</w:t>
            </w:r>
          </w:p>
        </w:tc>
        <w:tc>
          <w:tcPr>
            <w:tcW w:type="dxa" w:w="2257"/>
            <w:tcMar>
              <w:top w:w="100" w:type="dxa"/>
              <w:bottom w:w="100" w:type="dxa"/>
              <w:left w:w="100" w:type="dxa"/>
              <w:right w:w="100" w:type="dxa"/>
            </w:tcMar>
            <w:shd w:fill="F4F6F8"/>
          </w:tcPr>
          <w:p>
            <w:r>
              <w:t>纯后端业务逻辑生成：高并发 API、数据库事务、核心算法实现</w:t>
            </w:r>
          </w:p>
        </w:tc>
        <w:tc>
          <w:tcPr>
            <w:tcW w:type="dxa" w:w="2257"/>
            <w:tcMar>
              <w:top w:w="100" w:type="dxa"/>
              <w:bottom w:w="100" w:type="dxa"/>
              <w:left w:w="100" w:type="dxa"/>
              <w:right w:w="100" w:type="dxa"/>
            </w:tcMar>
            <w:shd w:fill="F4F6F8"/>
          </w:tcPr>
          <w:p>
            <w:r>
              <w:t>受 Master 委派，在独立沙箱中进行后端代码落地</w:t>
            </w:r>
          </w:p>
        </w:tc>
      </w:tr>
      <w:tr>
        <w:tc>
          <w:tcPr>
            <w:tcW w:type="dxa" w:w="2257"/>
            <w:tcMar>
              <w:top w:w="100" w:type="dxa"/>
              <w:bottom w:w="100" w:type="dxa"/>
              <w:left w:w="100" w:type="dxa"/>
              <w:right w:w="100" w:type="dxa"/>
            </w:tcMar>
          </w:tcPr>
          <w:p>
            <w:r>
              <w:t>前端执行 (Worker)</w:t>
            </w:r>
          </w:p>
        </w:tc>
        <w:tc>
          <w:tcPr>
            <w:tcW w:type="dxa" w:w="2257"/>
            <w:tcMar>
              <w:top w:w="100" w:type="dxa"/>
              <w:bottom w:w="100" w:type="dxa"/>
              <w:left w:w="100" w:type="dxa"/>
              <w:right w:w="100" w:type="dxa"/>
            </w:tcMar>
          </w:tcPr>
          <w:p>
            <w:r>
              <w:t>Gemini</w:t>
            </w:r>
          </w:p>
        </w:tc>
        <w:tc>
          <w:tcPr>
            <w:tcW w:type="dxa" w:w="2257"/>
            <w:tcMar>
              <w:top w:w="100" w:type="dxa"/>
              <w:bottom w:w="100" w:type="dxa"/>
              <w:left w:w="100" w:type="dxa"/>
              <w:right w:w="100" w:type="dxa"/>
            </w:tcMar>
          </w:tcPr>
          <w:p>
            <w:r>
              <w:t>界面交互生成：React/Vue 组件设计、CSS 样式、长文本前端联调</w:t>
            </w:r>
          </w:p>
        </w:tc>
        <w:tc>
          <w:tcPr>
            <w:tcW w:type="dxa" w:w="2257"/>
            <w:tcMar>
              <w:top w:w="100" w:type="dxa"/>
              <w:bottom w:w="100" w:type="dxa"/>
              <w:left w:w="100" w:type="dxa"/>
              <w:right w:w="100" w:type="dxa"/>
            </w:tcMar>
          </w:tcPr>
          <w:p>
            <w:r>
              <w:t>受 Master 委派，并行构建 UI 逻辑与状态管理</w:t>
            </w:r>
          </w:p>
        </w:tc>
      </w:tr>
      <w:tr>
        <w:tc>
          <w:tcPr>
            <w:tcW w:type="dxa" w:w="2257"/>
            <w:tcMar>
              <w:top w:w="100" w:type="dxa"/>
              <w:bottom w:w="100" w:type="dxa"/>
              <w:left w:w="100" w:type="dxa"/>
              <w:right w:w="100" w:type="dxa"/>
            </w:tcMar>
            <w:shd w:fill="F4F6F8"/>
          </w:tcPr>
          <w:p>
            <w:r>
              <w:t>环境执行 (OpenCode)</w:t>
            </w:r>
          </w:p>
        </w:tc>
        <w:tc>
          <w:tcPr>
            <w:tcW w:type="dxa" w:w="2257"/>
            <w:tcMar>
              <w:top w:w="100" w:type="dxa"/>
              <w:bottom w:w="100" w:type="dxa"/>
              <w:left w:w="100" w:type="dxa"/>
              <w:right w:w="100" w:type="dxa"/>
            </w:tcMar>
            <w:shd w:fill="F4F6F8"/>
          </w:tcPr>
          <w:p>
            <w:r>
              <w:t>OpenCode / Local Executor</w:t>
            </w:r>
          </w:p>
        </w:tc>
        <w:tc>
          <w:tcPr>
            <w:tcW w:type="dxa" w:w="2257"/>
            <w:tcMar>
              <w:top w:w="100" w:type="dxa"/>
              <w:bottom w:w="100" w:type="dxa"/>
              <w:left w:w="100" w:type="dxa"/>
              <w:right w:w="100" w:type="dxa"/>
            </w:tcMar>
            <w:shd w:fill="F4F6F8"/>
          </w:tcPr>
          <w:p>
            <w:r>
              <w:t>本地分支切换、物理文件读写、指令运行测试、环境交互</w:t>
            </w:r>
          </w:p>
        </w:tc>
        <w:tc>
          <w:tcPr>
            <w:tcW w:type="dxa" w:w="2257"/>
            <w:tcMar>
              <w:top w:w="100" w:type="dxa"/>
              <w:bottom w:w="100" w:type="dxa"/>
              <w:left w:w="100" w:type="dxa"/>
              <w:right w:w="100" w:type="dxa"/>
            </w:tcMar>
            <w:shd w:fill="F4F6F8"/>
          </w:tcPr>
          <w:p>
            <w:r>
              <w:t>充当“执行之手”，负责物理层落地与测试流回传</w:t>
            </w:r>
          </w:p>
        </w:tc>
      </w:tr>
    </w:tbl>
    <w:p>
      <w:pPr>
        <w:spacing w:after="200"/>
      </w:pPr>
    </w:p>
    <w:p>
      <w:pPr>
        <w:pStyle w:val="Heading2"/>
        <w:keepNext/>
        <w:spacing w:before="280" w:after="120"/>
      </w:pPr>
      <w:r>
        <w:rPr>
          <w:rFonts w:ascii="Segoe UI" w:hAnsi="Segoe UI"/>
          <w:b/>
          <w:color w:val="0A9396"/>
          <w:sz w:val="28"/>
        </w:rPr>
        <w:t>三、API 接口文档与核心调用规范</w:t>
      </w:r>
    </w:p>
    <w:p>
      <w:pPr>
        <w:pStyle w:val="Heading3"/>
        <w:keepNext/>
        <w:spacing w:before="280" w:after="120"/>
      </w:pPr>
      <w:r>
        <w:rPr>
          <w:rFonts w:ascii="Segoe UI" w:hAnsi="Segoe UI"/>
          <w:b/>
          <w:color w:val="2B2D42"/>
          <w:sz w:val="24"/>
        </w:rPr>
        <w:t>1、智能体核心指令集定义</w:t>
      </w:r>
    </w:p>
    <w:tbl>
      <w:tblPr>
        <w:tblW w:type="auto" w:w="0"/>
        <w:jc w:val="center"/>
        <w:tblLook w:firstColumn="1" w:firstRow="1" w:lastColumn="0" w:lastRow="0" w:noHBand="0" w:noVBand="1" w:val="04A0"/>
        <w:tblBorders>
          <w:top w:val="single" w:sz="4" w:space="0" w:color="005F73"/>
          <w:bottom w:val="single" w:sz="8" w:space="0" w:color="005F73"/>
          <w:insideH w:val="single" w:sz="4" w:space="0" w:color="CCCCCC"/>
          <w:insideV w:val="none"/>
          <w:left w:val="none"/>
          <w:right w:val="none"/>
        </w:tblBorders>
      </w:tblPr>
      <w:tblGrid>
        <w:gridCol w:w="1806"/>
        <w:gridCol w:w="1806"/>
        <w:gridCol w:w="1806"/>
        <w:gridCol w:w="1806"/>
        <w:gridCol w:w="1806"/>
      </w:tblGrid>
      <w:tr>
        <w:tc>
          <w:tcPr>
            <w:tcW w:type="dxa" w:w="1806"/>
            <w:shd w:fill="005F73"/>
            <w:tcMar>
              <w:top w:w="120" w:type="dxa"/>
              <w:bottom w:w="120" w:type="dxa"/>
              <w:left w:w="120" w:type="dxa"/>
              <w:right w:w="120" w:type="dxa"/>
            </w:tcMar>
          </w:tcPr>
          <w:p>
            <w:pPr>
              <w:jc w:val="center"/>
            </w:pPr>
            <w:r>
              <w:rPr>
                <w:b/>
                <w:color w:val="FFFFFF"/>
              </w:rPr>
              <w:t>指令命令</w:t>
            </w:r>
          </w:p>
        </w:tc>
        <w:tc>
          <w:tcPr>
            <w:tcW w:type="dxa" w:w="1806"/>
            <w:shd w:fill="005F73"/>
            <w:tcMar>
              <w:top w:w="120" w:type="dxa"/>
              <w:bottom w:w="120" w:type="dxa"/>
              <w:left w:w="120" w:type="dxa"/>
              <w:right w:w="120" w:type="dxa"/>
            </w:tcMar>
          </w:tcPr>
          <w:p>
            <w:pPr>
              <w:jc w:val="center"/>
            </w:pPr>
            <w:r>
              <w:rPr>
                <w:b/>
                <w:color w:val="FFFFFF"/>
              </w:rPr>
              <w:t>发起方</w:t>
            </w:r>
          </w:p>
        </w:tc>
        <w:tc>
          <w:tcPr>
            <w:tcW w:type="dxa" w:w="1806"/>
            <w:shd w:fill="005F73"/>
            <w:tcMar>
              <w:top w:w="120" w:type="dxa"/>
              <w:bottom w:w="120" w:type="dxa"/>
              <w:left w:w="120" w:type="dxa"/>
              <w:right w:w="120" w:type="dxa"/>
            </w:tcMar>
          </w:tcPr>
          <w:p>
            <w:pPr>
              <w:jc w:val="center"/>
            </w:pPr>
            <w:r>
              <w:rPr>
                <w:b/>
                <w:color w:val="FFFFFF"/>
              </w:rPr>
              <w:t>目标接收方</w:t>
            </w:r>
          </w:p>
        </w:tc>
        <w:tc>
          <w:tcPr>
            <w:tcW w:type="dxa" w:w="1806"/>
            <w:shd w:fill="005F73"/>
            <w:tcMar>
              <w:top w:w="120" w:type="dxa"/>
              <w:bottom w:w="120" w:type="dxa"/>
              <w:left w:w="120" w:type="dxa"/>
              <w:right w:w="120" w:type="dxa"/>
            </w:tcMar>
          </w:tcPr>
          <w:p>
            <w:pPr>
              <w:jc w:val="center"/>
            </w:pPr>
            <w:r>
              <w:rPr>
                <w:b/>
                <w:color w:val="FFFFFF"/>
              </w:rPr>
              <w:t>功能描述</w:t>
            </w:r>
          </w:p>
        </w:tc>
        <w:tc>
          <w:tcPr>
            <w:tcW w:type="dxa" w:w="1806"/>
            <w:shd w:fill="005F73"/>
            <w:tcMar>
              <w:top w:w="120" w:type="dxa"/>
              <w:bottom w:w="120" w:type="dxa"/>
              <w:left w:w="120" w:type="dxa"/>
              <w:right w:w="120" w:type="dxa"/>
            </w:tcMar>
          </w:tcPr>
          <w:p>
            <w:pPr>
              <w:jc w:val="center"/>
            </w:pPr>
            <w:r>
              <w:rPr>
                <w:b/>
                <w:color w:val="FFFFFF"/>
              </w:rPr>
              <w:t>核心输入参数</w:t>
            </w:r>
          </w:p>
        </w:tc>
      </w:tr>
      <w:tr>
        <w:tc>
          <w:tcPr>
            <w:tcW w:type="dxa" w:w="1806"/>
            <w:tcMar>
              <w:top w:w="100" w:type="dxa"/>
              <w:bottom w:w="100" w:type="dxa"/>
              <w:left w:w="100" w:type="dxa"/>
              <w:right w:w="100" w:type="dxa"/>
            </w:tcMar>
          </w:tcPr>
          <w:p>
            <w:r>
              <w:t>/ask</w:t>
            </w:r>
          </w:p>
        </w:tc>
        <w:tc>
          <w:tcPr>
            <w:tcW w:type="dxa" w:w="1806"/>
            <w:tcMar>
              <w:top w:w="100" w:type="dxa"/>
              <w:bottom w:w="100" w:type="dxa"/>
              <w:left w:w="100" w:type="dxa"/>
              <w:right w:w="100" w:type="dxa"/>
            </w:tcMar>
          </w:tcPr>
          <w:p>
            <w:r>
              <w:t>Claude (Manager)</w:t>
            </w:r>
          </w:p>
        </w:tc>
        <w:tc>
          <w:tcPr>
            <w:tcW w:type="dxa" w:w="1806"/>
            <w:tcMar>
              <w:top w:w="100" w:type="dxa"/>
              <w:bottom w:w="100" w:type="dxa"/>
              <w:left w:w="100" w:type="dxa"/>
              <w:right w:w="100" w:type="dxa"/>
            </w:tcMar>
          </w:tcPr>
          <w:p>
            <w:r>
              <w:t>Codex / Gemini</w:t>
            </w:r>
          </w:p>
        </w:tc>
        <w:tc>
          <w:tcPr>
            <w:tcW w:type="dxa" w:w="1806"/>
            <w:tcMar>
              <w:top w:w="100" w:type="dxa"/>
              <w:bottom w:w="100" w:type="dxa"/>
              <w:left w:w="100" w:type="dxa"/>
              <w:right w:w="100" w:type="dxa"/>
            </w:tcMar>
          </w:tcPr>
          <w:p>
            <w:r>
              <w:t>委派代码生成或配置任务（并行开发）</w:t>
            </w:r>
          </w:p>
        </w:tc>
        <w:tc>
          <w:tcPr>
            <w:tcW w:type="dxa" w:w="1806"/>
            <w:tcMar>
              <w:top w:w="100" w:type="dxa"/>
              <w:bottom w:w="100" w:type="dxa"/>
              <w:left w:w="100" w:type="dxa"/>
              <w:right w:w="100" w:type="dxa"/>
            </w:tcMar>
          </w:tcPr>
          <w:p>
            <w:r>
              <w:t>{task_id, prompt, context_ref}</w:t>
            </w:r>
          </w:p>
        </w:tc>
      </w:tr>
      <w:tr>
        <w:tc>
          <w:tcPr>
            <w:tcW w:type="dxa" w:w="1806"/>
            <w:tcMar>
              <w:top w:w="100" w:type="dxa"/>
              <w:bottom w:w="100" w:type="dxa"/>
              <w:left w:w="100" w:type="dxa"/>
              <w:right w:w="100" w:type="dxa"/>
            </w:tcMar>
            <w:shd w:fill="F4F6F8"/>
          </w:tcPr>
          <w:p>
            <w:r>
              <w:t>/pend</w:t>
            </w:r>
          </w:p>
        </w:tc>
        <w:tc>
          <w:tcPr>
            <w:tcW w:type="dxa" w:w="1806"/>
            <w:tcMar>
              <w:top w:w="100" w:type="dxa"/>
              <w:bottom w:w="100" w:type="dxa"/>
              <w:left w:w="100" w:type="dxa"/>
              <w:right w:w="100" w:type="dxa"/>
            </w:tcMar>
            <w:shd w:fill="F4F6F8"/>
          </w:tcPr>
          <w:p>
            <w:r>
              <w:t>Claude (Manager)</w:t>
            </w:r>
          </w:p>
        </w:tc>
        <w:tc>
          <w:tcPr>
            <w:tcW w:type="dxa" w:w="1806"/>
            <w:tcMar>
              <w:top w:w="100" w:type="dxa"/>
              <w:bottom w:w="100" w:type="dxa"/>
              <w:left w:w="100" w:type="dxa"/>
              <w:right w:w="100" w:type="dxa"/>
            </w:tcMar>
            <w:shd w:fill="F4F6F8"/>
          </w:tcPr>
          <w:p>
            <w:r>
              <w:t>Codex / Gemini</w:t>
            </w:r>
          </w:p>
        </w:tc>
        <w:tc>
          <w:tcPr>
            <w:tcW w:type="dxa" w:w="1806"/>
            <w:tcMar>
              <w:top w:w="100" w:type="dxa"/>
              <w:bottom w:w="100" w:type="dxa"/>
              <w:left w:w="100" w:type="dxa"/>
              <w:right w:w="100" w:type="dxa"/>
            </w:tcMar>
            <w:shd w:fill="F4F6F8"/>
          </w:tcPr>
          <w:p>
            <w:r>
              <w:t>异步回收执行结果，挂起等待 Token 生成完毕</w:t>
            </w:r>
          </w:p>
        </w:tc>
        <w:tc>
          <w:tcPr>
            <w:tcW w:type="dxa" w:w="1806"/>
            <w:tcMar>
              <w:top w:w="100" w:type="dxa"/>
              <w:bottom w:w="100" w:type="dxa"/>
              <w:left w:w="100" w:type="dxa"/>
              <w:right w:w="100" w:type="dxa"/>
            </w:tcMar>
            <w:shd w:fill="F4F6F8"/>
          </w:tcPr>
          <w:p>
            <w:r>
              <w:t>{task_id}</w:t>
            </w:r>
          </w:p>
        </w:tc>
      </w:tr>
      <w:tr>
        <w:tc>
          <w:tcPr>
            <w:tcW w:type="dxa" w:w="1806"/>
            <w:tcMar>
              <w:top w:w="100" w:type="dxa"/>
              <w:bottom w:w="100" w:type="dxa"/>
              <w:left w:w="100" w:type="dxa"/>
              <w:right w:w="100" w:type="dxa"/>
            </w:tcMar>
          </w:tcPr>
          <w:p>
            <w:r>
              <w:t>/exec</w:t>
            </w:r>
          </w:p>
        </w:tc>
        <w:tc>
          <w:tcPr>
            <w:tcW w:type="dxa" w:w="1806"/>
            <w:tcMar>
              <w:top w:w="100" w:type="dxa"/>
              <w:bottom w:w="100" w:type="dxa"/>
              <w:left w:w="100" w:type="dxa"/>
              <w:right w:w="100" w:type="dxa"/>
            </w:tcMar>
          </w:tcPr>
          <w:p>
            <w:r>
              <w:t>Claude (Manager)</w:t>
            </w:r>
          </w:p>
        </w:tc>
        <w:tc>
          <w:tcPr>
            <w:tcW w:type="dxa" w:w="1806"/>
            <w:tcMar>
              <w:top w:w="100" w:type="dxa"/>
              <w:bottom w:w="100" w:type="dxa"/>
              <w:left w:w="100" w:type="dxa"/>
              <w:right w:w="100" w:type="dxa"/>
            </w:tcMar>
          </w:tcPr>
          <w:p>
            <w:r>
              <w:t>OpenCode</w:t>
            </w:r>
          </w:p>
        </w:tc>
        <w:tc>
          <w:tcPr>
            <w:tcW w:type="dxa" w:w="1806"/>
            <w:tcMar>
              <w:top w:w="100" w:type="dxa"/>
              <w:bottom w:w="100" w:type="dxa"/>
              <w:left w:w="100" w:type="dxa"/>
              <w:right w:w="100" w:type="dxa"/>
            </w:tcMar>
          </w:tcPr>
          <w:p>
            <w:r>
              <w:t>要求在隔离本地环境中安全执行 shell 命令或写入物理文件</w:t>
            </w:r>
          </w:p>
        </w:tc>
        <w:tc>
          <w:tcPr>
            <w:tcW w:type="dxa" w:w="1806"/>
            <w:tcMar>
              <w:top w:w="100" w:type="dxa"/>
              <w:bottom w:w="100" w:type="dxa"/>
              <w:left w:w="100" w:type="dxa"/>
              <w:right w:w="100" w:type="dxa"/>
            </w:tcMar>
          </w:tcPr>
          <w:p>
            <w:r>
              <w:t>{command, file_path, content}</w:t>
            </w:r>
          </w:p>
        </w:tc>
      </w:tr>
      <w:tr>
        <w:tc>
          <w:tcPr>
            <w:tcW w:type="dxa" w:w="1806"/>
            <w:tcMar>
              <w:top w:w="100" w:type="dxa"/>
              <w:bottom w:w="100" w:type="dxa"/>
              <w:left w:w="100" w:type="dxa"/>
              <w:right w:w="100" w:type="dxa"/>
            </w:tcMar>
            <w:shd w:fill="F4F6F8"/>
          </w:tcPr>
          <w:p>
            <w:r>
              <w:t>/vote</w:t>
            </w:r>
          </w:p>
        </w:tc>
        <w:tc>
          <w:tcPr>
            <w:tcW w:type="dxa" w:w="1806"/>
            <w:tcMar>
              <w:top w:w="100" w:type="dxa"/>
              <w:bottom w:w="100" w:type="dxa"/>
              <w:left w:w="100" w:type="dxa"/>
              <w:right w:w="100" w:type="dxa"/>
            </w:tcMar>
            <w:shd w:fill="F4F6F8"/>
          </w:tcPr>
          <w:p>
            <w:r>
              <w:t>Claude (Manager)</w:t>
            </w:r>
          </w:p>
        </w:tc>
        <w:tc>
          <w:tcPr>
            <w:tcW w:type="dxa" w:w="1806"/>
            <w:tcMar>
              <w:top w:w="100" w:type="dxa"/>
              <w:bottom w:w="100" w:type="dxa"/>
              <w:left w:w="100" w:type="dxa"/>
              <w:right w:w="100" w:type="dxa"/>
            </w:tcMar>
            <w:shd w:fill="F4F6F8"/>
          </w:tcPr>
          <w:p>
            <w:r>
              <w:t>所有智能体集群</w:t>
            </w:r>
          </w:p>
        </w:tc>
        <w:tc>
          <w:tcPr>
            <w:tcW w:type="dxa" w:w="1806"/>
            <w:tcMar>
              <w:top w:w="100" w:type="dxa"/>
              <w:bottom w:w="100" w:type="dxa"/>
              <w:left w:w="100" w:type="dxa"/>
              <w:right w:w="100" w:type="dxa"/>
            </w:tcMar>
            <w:shd w:fill="F4F6F8"/>
          </w:tcPr>
          <w:p>
            <w:r>
              <w:t>针对技术难点发起集体投票，根据权重矩阵评选总司令</w:t>
            </w:r>
          </w:p>
        </w:tc>
        <w:tc>
          <w:tcPr>
            <w:tcW w:type="dxa" w:w="1806"/>
            <w:tcMar>
              <w:top w:w="100" w:type="dxa"/>
              <w:bottom w:w="100" w:type="dxa"/>
              <w:left w:w="100" w:type="dxa"/>
              <w:right w:w="100" w:type="dxa"/>
            </w:tcMar>
            <w:shd w:fill="F4F6F8"/>
          </w:tcPr>
          <w:p>
            <w:r>
              <w:t>{topic, options, criteria}</w:t>
            </w:r>
          </w:p>
        </w:tc>
      </w:tr>
    </w:tbl>
    <w:p>
      <w:pPr>
        <w:pStyle w:val="Heading3"/>
        <w:keepNext/>
        <w:spacing w:before="280" w:after="120"/>
      </w:pPr>
      <w:r>
        <w:rPr>
          <w:rFonts w:ascii="Segoe UI" w:hAnsi="Segoe UI"/>
          <w:b/>
          <w:color w:val="2B2D42"/>
          <w:sz w:val="24"/>
        </w:rPr>
        <w:t>2、多智能体投票与仲裁扩展说明</w:t>
      </w:r>
    </w:p>
    <w:p>
      <w:r>
        <w:rPr>
          <w:b/>
        </w:rPr>
        <w:t>• 权重矩阵分配：</w:t>
      </w:r>
      <w:r>
        <w:t>Codex 在 API 和数据库事务上拥有 1.5x 权重；Gemini 在 UI 交互上拥有 1.5x 权重；OpenCode 在物理兼容性上拥有 1.2x 权重。各 Agent 进行背靠背匿名评价批判（Critic）并排入 Pulsar 队列，计算最高分者作为该任务的“执行总司令”。</w:t>
        <w:br/>
      </w:r>
      <w:r>
        <w:rPr>
          <w:b/>
        </w:rPr>
        <w:t>• 仲裁与一票否决：</w:t>
      </w:r>
      <w:r>
        <w:t>若投票出现 50/50 平局，桌面端控制台抛出弹窗引入人类（Human-in-the-loop）仲裁。同时，Master（Claude）作为总负责人，基于 RAG 检索安全规约，若发现胜选方案有重大安全漏洞，拥有一票否决权并强制要求重构。</w:t>
      </w:r>
    </w:p>
    <w:p>
      <w:pPr>
        <w:pStyle w:val="Heading2"/>
        <w:keepNext/>
        <w:spacing w:before="280" w:after="120"/>
      </w:pPr>
      <w:r>
        <w:rPr>
          <w:rFonts w:ascii="Segoe UI" w:hAnsi="Segoe UI"/>
          <w:b/>
          <w:color w:val="0A9396"/>
          <w:sz w:val="28"/>
        </w:rPr>
        <w:t>四、测试与质量保障（QA）与全链路自愈流程</w:t>
      </w:r>
    </w:p>
    <w:p>
      <w:pPr>
        <w:pStyle w:val="Heading3"/>
        <w:keepNext/>
        <w:spacing w:before="280" w:after="120"/>
      </w:pPr>
      <w:r>
        <w:rPr>
          <w:rFonts w:ascii="Segoe UI" w:hAnsi="Segoe UI"/>
          <w:b/>
          <w:color w:val="2B2D42"/>
          <w:sz w:val="24"/>
        </w:rPr>
        <w:t>1、沙箱隔离与差距（Gap）定义</w:t>
      </w:r>
    </w:p>
    <w:p>
      <w:r>
        <w:t>系统抛弃了传统的写锁串行排队机制，采用完全的物理沙箱隔离，并行推演，吞吐量提升 400%。系统将质量控制抽象为误差定义：</w:t>
      </w:r>
      <w:r>
        <w:rPr>
          <w:b/>
        </w:rPr>
        <w:br/>
        <w:t>• 受检差距 (Checked Gap)：</w:t>
      </w:r>
      <w:r>
        <w:t>如编译失败、语法报错等，由 OpenCode 自动捕获 StackTrace 并反馈给 Manager。</w:t>
      </w:r>
      <w:r>
        <w:rPr>
          <w:b/>
        </w:rPr>
        <w:br/>
        <w:t>• 非受检差距 (Unchecked Gap)：</w:t>
      </w:r>
      <w:r>
        <w:t>如业务断层、路由未挂载，通过全栈感知协议自动触发二次动态插桩修复。</w:t>
      </w:r>
    </w:p>
    <w:p>
      <w:pPr>
        <w:pStyle w:val="Heading3"/>
        <w:keepNext/>
        <w:spacing w:before="280" w:after="120"/>
      </w:pPr>
      <w:r>
        <w:rPr>
          <w:rFonts w:ascii="Segoe UI" w:hAnsi="Segoe UI"/>
          <w:b/>
          <w:color w:val="2B2D42"/>
          <w:sz w:val="24"/>
        </w:rPr>
        <w:t>2、HTTP 错误码语义映射与运行自愈规范</w:t>
      </w:r>
    </w:p>
    <w:tbl>
      <w:tblPr>
        <w:tblW w:type="auto" w:w="0"/>
        <w:jc w:val="center"/>
        <w:tblLook w:firstColumn="1" w:firstRow="1" w:lastColumn="0" w:lastRow="0" w:noHBand="0" w:noVBand="1" w:val="04A0"/>
        <w:tblBorders>
          <w:top w:val="single" w:sz="4" w:space="0" w:color="005F73"/>
          <w:bottom w:val="single" w:sz="8" w:space="0" w:color="005F73"/>
          <w:insideH w:val="single" w:sz="4" w:space="0" w:color="CCCCCC"/>
          <w:insideV w:val="none"/>
          <w:left w:val="none"/>
          <w:right w:val="none"/>
        </w:tblBorders>
      </w:tblPr>
      <w:tblGrid>
        <w:gridCol w:w="2257"/>
        <w:gridCol w:w="2257"/>
        <w:gridCol w:w="2257"/>
        <w:gridCol w:w="2257"/>
      </w:tblGrid>
      <w:tr>
        <w:tc>
          <w:tcPr>
            <w:tcW w:type="dxa" w:w="2257"/>
            <w:shd w:fill="005F73"/>
            <w:tcMar>
              <w:top w:w="120" w:type="dxa"/>
              <w:bottom w:w="120" w:type="dxa"/>
              <w:left w:w="120" w:type="dxa"/>
              <w:right w:w="120" w:type="dxa"/>
            </w:tcMar>
          </w:tcPr>
          <w:p>
            <w:pPr>
              <w:jc w:val="center"/>
            </w:pPr>
            <w:r>
              <w:rPr>
                <w:b/>
                <w:color w:val="FFFFFF"/>
              </w:rPr>
              <w:t>错误码</w:t>
            </w:r>
          </w:p>
        </w:tc>
        <w:tc>
          <w:tcPr>
            <w:tcW w:type="dxa" w:w="2257"/>
            <w:shd w:fill="005F73"/>
            <w:tcMar>
              <w:top w:w="120" w:type="dxa"/>
              <w:bottom w:w="120" w:type="dxa"/>
              <w:left w:w="120" w:type="dxa"/>
              <w:right w:w="120" w:type="dxa"/>
            </w:tcMar>
          </w:tcPr>
          <w:p>
            <w:pPr>
              <w:jc w:val="center"/>
            </w:pPr>
            <w:r>
              <w:rPr>
                <w:b/>
                <w:color w:val="FFFFFF"/>
              </w:rPr>
              <w:t>标准语义</w:t>
            </w:r>
          </w:p>
        </w:tc>
        <w:tc>
          <w:tcPr>
            <w:tcW w:type="dxa" w:w="2257"/>
            <w:shd w:fill="005F73"/>
            <w:tcMar>
              <w:top w:w="120" w:type="dxa"/>
              <w:bottom w:w="120" w:type="dxa"/>
              <w:left w:w="120" w:type="dxa"/>
              <w:right w:w="120" w:type="dxa"/>
            </w:tcMar>
          </w:tcPr>
          <w:p>
            <w:pPr>
              <w:jc w:val="center"/>
            </w:pPr>
            <w:r>
              <w:rPr>
                <w:b/>
                <w:color w:val="FFFFFF"/>
              </w:rPr>
              <w:t>系统实际场景映射含义</w:t>
            </w:r>
          </w:p>
        </w:tc>
        <w:tc>
          <w:tcPr>
            <w:tcW w:type="dxa" w:w="2257"/>
            <w:shd w:fill="005F73"/>
            <w:tcMar>
              <w:top w:w="120" w:type="dxa"/>
              <w:bottom w:w="120" w:type="dxa"/>
              <w:left w:w="120" w:type="dxa"/>
              <w:right w:w="120" w:type="dxa"/>
            </w:tcMar>
          </w:tcPr>
          <w:p>
            <w:pPr>
              <w:jc w:val="center"/>
            </w:pPr>
            <w:r>
              <w:rPr>
                <w:b/>
                <w:color w:val="FFFFFF"/>
              </w:rPr>
              <w:t>自动化响应与自愈策略</w:t>
            </w:r>
          </w:p>
        </w:tc>
      </w:tr>
      <w:tr>
        <w:tc>
          <w:tcPr>
            <w:tcW w:type="dxa" w:w="2257"/>
            <w:tcMar>
              <w:top w:w="100" w:type="dxa"/>
              <w:bottom w:w="100" w:type="dxa"/>
              <w:left w:w="100" w:type="dxa"/>
              <w:right w:w="100" w:type="dxa"/>
            </w:tcMar>
          </w:tcPr>
          <w:p>
            <w:r>
              <w:t>404</w:t>
            </w:r>
          </w:p>
        </w:tc>
        <w:tc>
          <w:tcPr>
            <w:tcW w:type="dxa" w:w="2257"/>
            <w:tcMar>
              <w:top w:w="100" w:type="dxa"/>
              <w:bottom w:w="100" w:type="dxa"/>
              <w:left w:w="100" w:type="dxa"/>
              <w:right w:w="100" w:type="dxa"/>
            </w:tcMar>
          </w:tcPr>
          <w:p>
            <w:r>
              <w:t>Not Found</w:t>
            </w:r>
          </w:p>
        </w:tc>
        <w:tc>
          <w:tcPr>
            <w:tcW w:type="dxa" w:w="2257"/>
            <w:tcMar>
              <w:top w:w="100" w:type="dxa"/>
              <w:bottom w:w="100" w:type="dxa"/>
              <w:left w:w="100" w:type="dxa"/>
              <w:right w:w="100" w:type="dxa"/>
            </w:tcMar>
          </w:tcPr>
          <w:p>
            <w:r>
              <w:t>配置误差。通常为 .env 中的 API 代理中转路径多加了 /v1 冗余导致无法解析。</w:t>
            </w:r>
          </w:p>
        </w:tc>
        <w:tc>
          <w:tcPr>
            <w:tcW w:type="dxa" w:w="2257"/>
            <w:tcMar>
              <w:top w:w="100" w:type="dxa"/>
              <w:bottom w:w="100" w:type="dxa"/>
              <w:left w:w="100" w:type="dxa"/>
              <w:right w:w="100" w:type="dxa"/>
            </w:tcMar>
          </w:tcPr>
          <w:p>
            <w:r>
              <w:t>自校准：Manager 捕获后自动剥离 URL 后缀中的 /v1 冗余并强制自动重试。</w:t>
            </w:r>
          </w:p>
        </w:tc>
      </w:tr>
      <w:tr>
        <w:tc>
          <w:tcPr>
            <w:tcW w:type="dxa" w:w="2257"/>
            <w:tcMar>
              <w:top w:w="100" w:type="dxa"/>
              <w:bottom w:w="100" w:type="dxa"/>
              <w:left w:w="100" w:type="dxa"/>
              <w:right w:w="100" w:type="dxa"/>
            </w:tcMar>
            <w:shd w:fill="F4F6F8"/>
          </w:tcPr>
          <w:p>
            <w:r>
              <w:t>500/502</w:t>
            </w:r>
          </w:p>
        </w:tc>
        <w:tc>
          <w:tcPr>
            <w:tcW w:type="dxa" w:w="2257"/>
            <w:tcMar>
              <w:top w:w="100" w:type="dxa"/>
              <w:bottom w:w="100" w:type="dxa"/>
              <w:left w:w="100" w:type="dxa"/>
              <w:right w:w="100" w:type="dxa"/>
            </w:tcMar>
            <w:shd w:fill="F4F6F8"/>
          </w:tcPr>
          <w:p>
            <w:r>
              <w:t>Server Error</w:t>
            </w:r>
          </w:p>
        </w:tc>
        <w:tc>
          <w:tcPr>
            <w:tcW w:type="dxa" w:w="2257"/>
            <w:tcMar>
              <w:top w:w="100" w:type="dxa"/>
              <w:bottom w:w="100" w:type="dxa"/>
              <w:left w:w="100" w:type="dxa"/>
              <w:right w:w="100" w:type="dxa"/>
            </w:tcMar>
            <w:shd w:fill="F4F6F8"/>
          </w:tcPr>
          <w:p>
            <w:r>
              <w:t>中转站或底层模型服务端暂时性发生崩溃、不可用。</w:t>
            </w:r>
          </w:p>
        </w:tc>
        <w:tc>
          <w:tcPr>
            <w:tcW w:type="dxa" w:w="2257"/>
            <w:tcMar>
              <w:top w:w="100" w:type="dxa"/>
              <w:bottom w:w="100" w:type="dxa"/>
              <w:left w:w="100" w:type="dxa"/>
              <w:right w:w="100" w:type="dxa"/>
            </w:tcMar>
            <w:shd w:fill="F4F6F8"/>
          </w:tcPr>
          <w:p>
            <w:r>
              <w:t>热切换：立即触发指数退避重试算法，或热切换至预设的备用 API 节点。</w:t>
            </w:r>
          </w:p>
        </w:tc>
      </w:tr>
      <w:tr>
        <w:tc>
          <w:tcPr>
            <w:tcW w:type="dxa" w:w="2257"/>
            <w:tcMar>
              <w:top w:w="100" w:type="dxa"/>
              <w:bottom w:w="100" w:type="dxa"/>
              <w:left w:w="100" w:type="dxa"/>
              <w:right w:w="100" w:type="dxa"/>
            </w:tcMar>
          </w:tcPr>
          <w:p>
            <w:r>
              <w:t>429</w:t>
            </w:r>
          </w:p>
        </w:tc>
        <w:tc>
          <w:tcPr>
            <w:tcW w:type="dxa" w:w="2257"/>
            <w:tcMar>
              <w:top w:w="100" w:type="dxa"/>
              <w:bottom w:w="100" w:type="dxa"/>
              <w:left w:w="100" w:type="dxa"/>
              <w:right w:w="100" w:type="dxa"/>
            </w:tcMar>
          </w:tcPr>
          <w:p>
            <w:r>
              <w:t>Too Many Requests</w:t>
            </w:r>
          </w:p>
        </w:tc>
        <w:tc>
          <w:tcPr>
            <w:tcW w:type="dxa" w:w="2257"/>
            <w:tcMar>
              <w:top w:w="100" w:type="dxa"/>
              <w:bottom w:w="100" w:type="dxa"/>
              <w:left w:w="100" w:type="dxa"/>
              <w:right w:w="100" w:type="dxa"/>
            </w:tcMar>
          </w:tcPr>
          <w:p>
            <w:r>
              <w:t>并发受限。触发了模型厂商或中转站的 Rate Limit 速率限制。</w:t>
            </w:r>
          </w:p>
        </w:tc>
        <w:tc>
          <w:tcPr>
            <w:tcW w:type="dxa" w:w="2257"/>
            <w:tcMar>
              <w:top w:w="100" w:type="dxa"/>
              <w:bottom w:w="100" w:type="dxa"/>
              <w:left w:w="100" w:type="dxa"/>
              <w:right w:w="100" w:type="dxa"/>
            </w:tcMar>
          </w:tcPr>
          <w:p>
            <w:r>
              <w:t>削峰：将当前执行指令退回至 Pulsar/RabbitMQ 延迟队列，等待 60 秒后重新出队消费。</w:t>
            </w:r>
          </w:p>
        </w:tc>
      </w:tr>
    </w:tbl>
    <w:p>
      <w:pPr>
        <w:spacing w:after="200"/>
      </w:pPr>
    </w:p>
    <w:p>
      <w:pPr>
        <w:pStyle w:val="Heading3"/>
        <w:keepNext/>
        <w:spacing w:before="280" w:after="120"/>
      </w:pPr>
      <w:r>
        <w:rPr>
          <w:rFonts w:ascii="Segoe UI" w:hAnsi="Segoe UI"/>
          <w:b/>
          <w:color w:val="2B2D42"/>
          <w:sz w:val="24"/>
        </w:rPr>
        <w:t>3、全链路环境预检与自动化交付四步骤</w:t>
      </w:r>
    </w:p>
    <w:p>
      <w:r>
        <w:rPr>
          <w:b/>
        </w:rPr>
        <w:t>步骤 1：物理环境锚定。</w:t>
      </w:r>
      <w:r>
        <w:t>初始化 Redis 状态机作为全局环境真理来源。OpenCode 监测到环境异常信号时，强锁对比标准的 Node.js v24.14.0 环境，自动挂载 nodesource 镜像执行热切换，严禁非标运行。</w:t>
        <w:br/>
      </w:r>
      <w:r>
        <w:rPr>
          <w:b/>
        </w:rPr>
        <w:t>步骤 2：指令异步分发。</w:t>
      </w:r>
      <w:r>
        <w:t>Manager 将分解的子任务推送至 Pulsar 高可用队列，利用消息队列的持久化特性实现全原子性保障，杜绝高并发逻辑碰撞。</w:t>
        <w:br/>
      </w:r>
      <w:r>
        <w:rPr>
          <w:b/>
        </w:rPr>
        <w:t>步骤 3：代码注入与冲突消融。</w:t>
      </w:r>
      <w:r>
        <w:t>OpenCode 写入物理文件前访问 Redis 共享状态机。若目标模块正被其他 Agent 占用，执行毫秒级自旋等待，彻底杜绝写写代码覆盖风险。</w:t>
        <w:br/>
      </w:r>
      <w:r>
        <w:rPr>
          <w:b/>
        </w:rPr>
        <w:t>步骤 4：闭环审计与梯度纠偏。</w:t>
      </w:r>
      <w:r>
        <w:t>在沙箱内静默执行测试脚本（npm test/jest）。若捕获非零退出码，计算目标差距。Manager 根据报错信息调整 Prompt 权重，驱动 Coder 重新重构，直至误差归零完成“逻辑塌陷”，执行 Git 自动提交交付。</w:t>
      </w:r>
    </w:p>
    <w:p>
      <w:pPr>
        <w:pStyle w:val="Heading2"/>
        <w:keepNext/>
        <w:spacing w:before="280" w:after="120"/>
      </w:pPr>
      <w:r>
        <w:rPr>
          <w:rFonts w:ascii="Segoe UI" w:hAnsi="Segoe UI"/>
          <w:b/>
          <w:color w:val="0A9396"/>
          <w:sz w:val="28"/>
        </w:rPr>
        <w:t>五、跨平台客户端与 IDE 插件集成</w:t>
      </w:r>
    </w:p>
    <w:p>
      <w:r>
        <w:rPr>
          <w:b/>
        </w:rPr>
        <w:t>• 桌面端实体软件控制台：</w:t>
      </w:r>
      <w:r>
        <w:t>作为全局总指挥控制台，可视化展示任务流图、OpenCode 执行进度以及多智能体背靠背投票的分布图，供人类行使一票否决权。</w:t>
        <w:br/>
      </w:r>
      <w:r>
        <w:rPr>
          <w:b/>
        </w:rPr>
        <w:t>• IDE 联动桥接 (IDE Bridge)：</w:t>
      </w:r>
      <w:r>
        <w:t>深度适配 Cursor、Trae、Windsurf 及本地 VS Code (WSL 环境)。实现双向状态同步：IDE 中的手动变更即时反馈给 Agent，Agent 生成的补丁与代码通过 OpenCode 热推送到 IDE 窗口内，共享当前活动文件上下文。</w:t>
      </w:r>
    </w:p>
    <w:p>
      <w:pPr>
        <w:pStyle w:val="Heading2"/>
        <w:keepNext/>
        <w:spacing w:before="280" w:after="120"/>
      </w:pPr>
      <w:r>
        <w:rPr>
          <w:rFonts w:ascii="Segoe UI" w:hAnsi="Segoe UI"/>
          <w:b/>
          <w:color w:val="0A9396"/>
          <w:sz w:val="28"/>
        </w:rPr>
        <w:t>六、系统愿景与开源社区化演进</w:t>
      </w:r>
    </w:p>
    <w:p>
      <w:r>
        <w:t>QuantumFlow 的长远目标不仅是一个局部的提效工具，而是计划打造为一个全球化的、类似于 GitHub 的可视化开源代码管理与协作生产力社区。在这里，全球开发者可以互相交流新想法（创意波源），发布项目，在线协同编写代码。系统架构中的实时状态层能够可视化大屏展现每一位用户以及每一个协同 Agent 的在线运行状态、CoT 逻辑链和任务吞吐，真正步入高透明度、自进化的人机共存生产力新时代。</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