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280" w:line="300" w:lineRule="auto"/>
        <w:jc w:val="center"/>
      </w:pPr>
      <w:r>
        <w:rPr>
          <w:rFonts w:ascii="黑体" w:hAnsi="黑体" w:eastAsia="黑体" w:cs="黑体"/>
          <w:b/>
          <w:color w:val="000000"/>
          <w:sz w:val="44"/>
        </w:rPr>
        <w:t>邻里智护项目计划书</w:t>
      </w:r>
    </w:p>
    <w:p>
      <w:pPr>
        <w:spacing w:after="200" w:line="300" w:lineRule="auto"/>
        <w:jc w:val="center"/>
      </w:pPr>
      <w:r>
        <w:rPr>
          <w:rFonts w:ascii="黑体" w:hAnsi="黑体" w:eastAsia="黑体" w:cs="黑体"/>
          <w:b/>
          <w:color w:val="000000"/>
          <w:sz w:val="32"/>
        </w:rPr>
        <w:t>完整社区老年人与儿童照护事件闭环及应急协同平台</w:t>
      </w:r>
    </w:p>
    <w:p>
      <w:pPr>
        <w:spacing w:before="440" w:after="1120"/>
        <w:jc w:val="center"/>
      </w:pPr>
      <w:r>
        <w:rPr>
          <w:rFonts w:ascii="黑体" w:hAnsi="黑体" w:eastAsia="黑体" w:cs="黑体"/>
          <w:b/>
          <w:color w:val="000000"/>
          <w:sz w:val="28"/>
        </w:rPr>
        <w:t>中国大学生创新大赛产业命题赛道企业命题组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66"/>
        <w:gridCol w:w="4366"/>
      </w:tblGrid>
      <w:tr>
        <w:tc>
          <w:tcPr>
            <w:tcW w:type="dxa" w:w="2268"/>
            <w:vAlign w:val="center"/>
            <w:tcMar>
              <w:top w:w="120" w:type="dxa"/>
              <w:start w:w="70" w:type="dxa"/>
              <w:bottom w:w="120" w:type="dxa"/>
              <w:end w:w="70" w:type="dxa"/>
            </w:tcMar>
          </w:tcPr>
          <w:p>
            <w:pPr>
              <w:jc w:val="right"/>
            </w:pPr>
            <w:r/>
            <w:r>
              <w:rPr>
                <w:rFonts w:ascii="宋体" w:hAnsi="宋体" w:eastAsia="宋体" w:cs="宋体"/>
                <w:b w:val="0"/>
                <w:color w:val="000000"/>
                <w:sz w:val="24"/>
              </w:rPr>
              <w:t>参赛团队：</w:t>
            </w:r>
          </w:p>
        </w:tc>
        <w:tc>
          <w:tcPr>
            <w:tcW w:type="dxa" w:w="4649"/>
            <w:vAlign w:val="center"/>
            <w:tcMar>
              <w:top w:w="120" w:type="dxa"/>
              <w:start w:w="70" w:type="dxa"/>
              <w:bottom w:w="120" w:type="dxa"/>
              <w:end w:w="70" w:type="dxa"/>
            </w:tcMar>
          </w:tcPr>
          <w:p>
            <w:pPr>
              <w:jc w:val="left"/>
            </w:pPr>
            <w:r/>
            <w:r>
              <w:rPr>
                <w:rFonts w:ascii="宋体" w:hAnsi="宋体" w:eastAsia="宋体" w:cs="宋体"/>
                <w:b w:val="0"/>
                <w:color w:val="000000"/>
                <w:sz w:val="24"/>
              </w:rPr>
              <w:t>____________________________</w:t>
            </w:r>
          </w:p>
        </w:tc>
      </w:tr>
      <w:tr>
        <w:tc>
          <w:tcPr>
            <w:tcW w:type="dxa" w:w="2268"/>
            <w:vAlign w:val="center"/>
            <w:tcMar>
              <w:top w:w="120" w:type="dxa"/>
              <w:start w:w="70" w:type="dxa"/>
              <w:bottom w:w="120" w:type="dxa"/>
              <w:end w:w="70" w:type="dxa"/>
            </w:tcMar>
          </w:tcPr>
          <w:p>
            <w:pPr>
              <w:jc w:val="right"/>
            </w:pPr>
            <w:r/>
            <w:r>
              <w:rPr>
                <w:rFonts w:ascii="宋体" w:hAnsi="宋体" w:eastAsia="宋体" w:cs="宋体"/>
                <w:b w:val="0"/>
                <w:color w:val="000000"/>
                <w:sz w:val="24"/>
              </w:rPr>
              <w:t>项目负责人：</w:t>
            </w:r>
          </w:p>
        </w:tc>
        <w:tc>
          <w:tcPr>
            <w:tcW w:type="dxa" w:w="4649"/>
            <w:vAlign w:val="center"/>
            <w:tcMar>
              <w:top w:w="120" w:type="dxa"/>
              <w:start w:w="70" w:type="dxa"/>
              <w:bottom w:w="120" w:type="dxa"/>
              <w:end w:w="70" w:type="dxa"/>
            </w:tcMar>
          </w:tcPr>
          <w:p>
            <w:pPr>
              <w:jc w:val="left"/>
            </w:pPr>
            <w:r/>
            <w:r>
              <w:rPr>
                <w:rFonts w:ascii="宋体" w:hAnsi="宋体" w:eastAsia="宋体" w:cs="宋体"/>
                <w:b w:val="0"/>
                <w:color w:val="000000"/>
                <w:sz w:val="24"/>
              </w:rPr>
              <w:t>____________________________</w:t>
            </w:r>
          </w:p>
        </w:tc>
      </w:tr>
      <w:tr>
        <w:tc>
          <w:tcPr>
            <w:tcW w:type="dxa" w:w="2268"/>
            <w:vAlign w:val="center"/>
            <w:tcMar>
              <w:top w:w="120" w:type="dxa"/>
              <w:start w:w="70" w:type="dxa"/>
              <w:bottom w:w="120" w:type="dxa"/>
              <w:end w:w="70" w:type="dxa"/>
            </w:tcMar>
          </w:tcPr>
          <w:p>
            <w:pPr>
              <w:jc w:val="right"/>
            </w:pPr>
            <w:r/>
            <w:r>
              <w:rPr>
                <w:rFonts w:ascii="宋体" w:hAnsi="宋体" w:eastAsia="宋体" w:cs="宋体"/>
                <w:b w:val="0"/>
                <w:color w:val="000000"/>
                <w:sz w:val="24"/>
              </w:rPr>
              <w:t>指导教师：</w:t>
            </w:r>
          </w:p>
        </w:tc>
        <w:tc>
          <w:tcPr>
            <w:tcW w:type="dxa" w:w="4649"/>
            <w:vAlign w:val="center"/>
            <w:tcMar>
              <w:top w:w="120" w:type="dxa"/>
              <w:start w:w="70" w:type="dxa"/>
              <w:bottom w:w="120" w:type="dxa"/>
              <w:end w:w="70" w:type="dxa"/>
            </w:tcMar>
          </w:tcPr>
          <w:p>
            <w:pPr>
              <w:jc w:val="left"/>
            </w:pPr>
            <w:r/>
            <w:r>
              <w:rPr>
                <w:rFonts w:ascii="宋体" w:hAnsi="宋体" w:eastAsia="宋体" w:cs="宋体"/>
                <w:b w:val="0"/>
                <w:color w:val="000000"/>
                <w:sz w:val="24"/>
              </w:rPr>
              <w:t>____________________________</w:t>
            </w:r>
          </w:p>
        </w:tc>
      </w:tr>
      <w:tr>
        <w:tc>
          <w:tcPr>
            <w:tcW w:type="dxa" w:w="2268"/>
            <w:vAlign w:val="center"/>
            <w:tcMar>
              <w:top w:w="120" w:type="dxa"/>
              <w:start w:w="70" w:type="dxa"/>
              <w:bottom w:w="120" w:type="dxa"/>
              <w:end w:w="70" w:type="dxa"/>
            </w:tcMar>
          </w:tcPr>
          <w:p>
            <w:pPr>
              <w:jc w:val="right"/>
            </w:pPr>
            <w:r/>
            <w:r>
              <w:rPr>
                <w:rFonts w:ascii="宋体" w:hAnsi="宋体" w:eastAsia="宋体" w:cs="宋体"/>
                <w:b w:val="0"/>
                <w:color w:val="000000"/>
                <w:sz w:val="24"/>
              </w:rPr>
              <w:t>申报日期：</w:t>
            </w:r>
          </w:p>
        </w:tc>
        <w:tc>
          <w:tcPr>
            <w:tcW w:type="dxa" w:w="4649"/>
            <w:vAlign w:val="center"/>
            <w:tcMar>
              <w:top w:w="120" w:type="dxa"/>
              <w:start w:w="70" w:type="dxa"/>
              <w:bottom w:w="120" w:type="dxa"/>
              <w:end w:w="70" w:type="dxa"/>
            </w:tcMar>
          </w:tcPr>
          <w:p>
            <w:pPr>
              <w:jc w:val="left"/>
            </w:pPr>
            <w:r/>
            <w:r>
              <w:rPr>
                <w:rFonts w:ascii="宋体" w:hAnsi="宋体" w:eastAsia="宋体" w:cs="宋体"/>
                <w:b w:val="0"/>
                <w:color w:val="000000"/>
                <w:sz w:val="24"/>
              </w:rPr>
              <w:t>二〇二六年九月</w:t>
            </w:r>
          </w:p>
        </w:tc>
      </w:tr>
    </w:tbl>
    <w:p>
      <w:r>
        <w:br w:type="page"/>
      </w:r>
    </w:p>
    <w:p>
      <w:pPr>
        <w:spacing w:before="320" w:after="400"/>
        <w:jc w:val="center"/>
      </w:pPr>
      <w:r>
        <w:rPr>
          <w:rFonts w:ascii="黑体" w:hAnsi="黑体" w:eastAsia="黑体" w:cs="黑体"/>
          <w:b/>
          <w:color w:val="000000"/>
          <w:sz w:val="36"/>
        </w:rPr>
        <w:t>目录</w:t>
      </w:r>
    </w:p>
    <w:p>
      <w:pPr>
        <w:spacing w:after="140" w:line="324" w:lineRule="auto"/>
        <w:ind w:left="397"/>
      </w:pPr>
      <w:r>
        <w:rPr>
          <w:rFonts w:ascii="宋体" w:hAnsi="宋体" w:eastAsia="宋体" w:cs="宋体"/>
          <w:b w:val="0"/>
          <w:color w:val="000000"/>
          <w:sz w:val="24"/>
        </w:rPr>
        <w:t>项目摘要</w:t>
      </w:r>
    </w:p>
    <w:p>
      <w:pPr>
        <w:spacing w:after="140" w:line="324" w:lineRule="auto"/>
        <w:ind w:left="397"/>
      </w:pPr>
      <w:r>
        <w:rPr>
          <w:rFonts w:ascii="宋体" w:hAnsi="宋体" w:eastAsia="宋体" w:cs="宋体"/>
          <w:b w:val="0"/>
          <w:color w:val="000000"/>
          <w:sz w:val="24"/>
        </w:rPr>
        <w:t>一、项目背景与需求分析</w:t>
      </w:r>
    </w:p>
    <w:p>
      <w:pPr>
        <w:spacing w:after="140" w:line="324" w:lineRule="auto"/>
        <w:ind w:left="397"/>
      </w:pPr>
      <w:r>
        <w:rPr>
          <w:rFonts w:ascii="宋体" w:hAnsi="宋体" w:eastAsia="宋体" w:cs="宋体"/>
          <w:b w:val="0"/>
          <w:color w:val="000000"/>
          <w:sz w:val="24"/>
        </w:rPr>
        <w:t>二、项目定位与总体解决方案</w:t>
      </w:r>
    </w:p>
    <w:p>
      <w:pPr>
        <w:spacing w:after="140" w:line="324" w:lineRule="auto"/>
        <w:ind w:left="397"/>
      </w:pPr>
      <w:r>
        <w:rPr>
          <w:rFonts w:ascii="宋体" w:hAnsi="宋体" w:eastAsia="宋体" w:cs="宋体"/>
          <w:b w:val="0"/>
          <w:color w:val="000000"/>
          <w:sz w:val="24"/>
        </w:rPr>
        <w:t>三、产品功能与业务设计</w:t>
      </w:r>
    </w:p>
    <w:p>
      <w:pPr>
        <w:spacing w:after="140" w:line="324" w:lineRule="auto"/>
        <w:ind w:left="397"/>
      </w:pPr>
      <w:r>
        <w:rPr>
          <w:rFonts w:ascii="宋体" w:hAnsi="宋体" w:eastAsia="宋体" w:cs="宋体"/>
          <w:b w:val="0"/>
          <w:color w:val="000000"/>
          <w:sz w:val="24"/>
        </w:rPr>
        <w:t>四、技术方案与数据安全</w:t>
      </w:r>
    </w:p>
    <w:p>
      <w:pPr>
        <w:spacing w:after="140" w:line="324" w:lineRule="auto"/>
        <w:ind w:left="397"/>
      </w:pPr>
      <w:r>
        <w:rPr>
          <w:rFonts w:ascii="宋体" w:hAnsi="宋体" w:eastAsia="宋体" w:cs="宋体"/>
          <w:b w:val="0"/>
          <w:color w:val="000000"/>
          <w:sz w:val="24"/>
        </w:rPr>
        <w:t>五、项目创新与竞争优势</w:t>
      </w:r>
    </w:p>
    <w:p>
      <w:pPr>
        <w:spacing w:after="140" w:line="324" w:lineRule="auto"/>
        <w:ind w:left="397"/>
      </w:pPr>
      <w:r>
        <w:rPr>
          <w:rFonts w:ascii="宋体" w:hAnsi="宋体" w:eastAsia="宋体" w:cs="宋体"/>
          <w:b w:val="0"/>
          <w:color w:val="000000"/>
          <w:sz w:val="24"/>
        </w:rPr>
        <w:t>六、企业试点与运营模式</w:t>
      </w:r>
    </w:p>
    <w:p>
      <w:pPr>
        <w:spacing w:after="140" w:line="324" w:lineRule="auto"/>
        <w:ind w:left="397"/>
      </w:pPr>
      <w:r>
        <w:rPr>
          <w:rFonts w:ascii="宋体" w:hAnsi="宋体" w:eastAsia="宋体" w:cs="宋体"/>
          <w:b w:val="0"/>
          <w:color w:val="000000"/>
          <w:sz w:val="24"/>
        </w:rPr>
        <w:t>七、项目进展与成果基础</w:t>
      </w:r>
    </w:p>
    <w:p>
      <w:pPr>
        <w:spacing w:after="140" w:line="324" w:lineRule="auto"/>
        <w:ind w:left="397"/>
      </w:pPr>
      <w:r>
        <w:rPr>
          <w:rFonts w:ascii="宋体" w:hAnsi="宋体" w:eastAsia="宋体" w:cs="宋体"/>
          <w:b w:val="0"/>
          <w:color w:val="000000"/>
          <w:sz w:val="24"/>
        </w:rPr>
        <w:t>八、实施计划与阶段目标</w:t>
      </w:r>
    </w:p>
    <w:p>
      <w:pPr>
        <w:spacing w:after="140" w:line="324" w:lineRule="auto"/>
        <w:ind w:left="397"/>
      </w:pPr>
      <w:r>
        <w:rPr>
          <w:rFonts w:ascii="宋体" w:hAnsi="宋体" w:eastAsia="宋体" w:cs="宋体"/>
          <w:b w:val="0"/>
          <w:color w:val="000000"/>
          <w:sz w:val="24"/>
        </w:rPr>
        <w:t>九、团队组织与项目管理</w:t>
      </w:r>
    </w:p>
    <w:p>
      <w:pPr>
        <w:spacing w:after="140" w:line="324" w:lineRule="auto"/>
        <w:ind w:left="397"/>
      </w:pPr>
      <w:r>
        <w:rPr>
          <w:rFonts w:ascii="宋体" w:hAnsi="宋体" w:eastAsia="宋体" w:cs="宋体"/>
          <w:b w:val="0"/>
          <w:color w:val="000000"/>
          <w:sz w:val="24"/>
        </w:rPr>
        <w:t>十、资金使用与预期成果</w:t>
      </w:r>
    </w:p>
    <w:p>
      <w:pPr>
        <w:spacing w:after="140" w:line="324" w:lineRule="auto"/>
        <w:ind w:left="397"/>
      </w:pPr>
      <w:r>
        <w:rPr>
          <w:rFonts w:ascii="宋体" w:hAnsi="宋体" w:eastAsia="宋体" w:cs="宋体"/>
          <w:b w:val="0"/>
          <w:color w:val="000000"/>
          <w:sz w:val="24"/>
        </w:rPr>
        <w:t>十一、风险控制与合规边界</w:t>
      </w:r>
    </w:p>
    <w:p>
      <w:pPr>
        <w:spacing w:after="140" w:line="324" w:lineRule="auto"/>
        <w:ind w:left="397"/>
      </w:pPr>
      <w:r>
        <w:rPr>
          <w:rFonts w:ascii="宋体" w:hAnsi="宋体" w:eastAsia="宋体" w:cs="宋体"/>
          <w:b w:val="0"/>
          <w:color w:val="000000"/>
          <w:sz w:val="24"/>
        </w:rPr>
        <w:t>十二、结语</w:t>
      </w:r>
    </w:p>
    <w:p>
      <w:pPr>
        <w:spacing w:after="140" w:line="324" w:lineRule="auto"/>
        <w:ind w:left="397"/>
      </w:pPr>
      <w:r>
        <w:rPr>
          <w:rFonts w:ascii="宋体" w:hAnsi="宋体" w:eastAsia="宋体" w:cs="宋体"/>
          <w:b w:val="0"/>
          <w:color w:val="000000"/>
          <w:sz w:val="24"/>
        </w:rPr>
        <w:t>参考资料</w:t>
      </w:r>
    </w:p>
    <w:p>
      <w:r>
        <w:br w:type="page"/>
      </w:r>
    </w:p>
    <w:p>
      <w:pPr>
        <w:pStyle w:val="Heading1"/>
        <w:keepNext/>
        <w:spacing w:before="320" w:after="140" w:line="300" w:lineRule="auto"/>
      </w:pPr>
      <w:r>
        <w:rPr>
          <w:rFonts w:ascii="黑体" w:hAnsi="黑体" w:eastAsia="黑体" w:cs="黑体"/>
          <w:b/>
          <w:color w:val="000000"/>
          <w:sz w:val="32"/>
        </w:rPr>
        <w:t>项目摘要</w:t>
      </w:r>
    </w:p>
    <w:p>
      <w:pPr>
        <w:spacing w:line="360" w:lineRule="auto" w:after="120"/>
        <w:ind w:firstLine="480"/>
        <w:jc w:val="both"/>
      </w:pPr>
      <w:r>
        <w:rPr>
          <w:rFonts w:ascii="宋体" w:hAnsi="宋体" w:eastAsia="宋体" w:cs="宋体"/>
          <w:b w:val="0"/>
          <w:color w:val="000000"/>
          <w:sz w:val="24"/>
        </w:rPr>
        <w:t>邻里智护面向完整社区中老年人与儿童的日常照护和异常协同场景，建设以照护事件为核心的数字化工作平台。项目服务家属与监护人、社区工作人员、物业社工志愿者及服务机构，重点解决照护信息分散、责任人不清、响应过程不可追溯、超时事件容易遗漏以及处理结果难以确认等问题。</w:t>
      </w:r>
    </w:p>
    <w:p>
      <w:pPr>
        <w:spacing w:line="360" w:lineRule="auto" w:after="120"/>
        <w:ind w:firstLine="480"/>
        <w:jc w:val="both"/>
      </w:pPr>
      <w:r>
        <w:rPr>
          <w:rFonts w:ascii="宋体" w:hAnsi="宋体" w:eastAsia="宋体" w:cs="宋体"/>
          <w:b w:val="0"/>
          <w:color w:val="000000"/>
          <w:sz w:val="24"/>
        </w:rPr>
        <w:t>平台将老人未签到、主动求助、疑似突发异常、儿童接送未确认、托管签到异常和儿童求助等场景统一转化为可跟踪的照护事件，按照发现、分级、通知、派单、接单、处置、升级、确认和关闭的流程推进。系统以事件类型、风险标签、家属响应情况和处理时效为依据形成可解释的风险等级，所有责任变更和处置动作均进入时间线，确保事件状态、当前责任人与关闭依据清晰可查。</w:t>
      </w:r>
    </w:p>
    <w:p>
      <w:pPr>
        <w:spacing w:line="360" w:lineRule="auto" w:after="120"/>
        <w:ind w:firstLine="480"/>
        <w:jc w:val="both"/>
      </w:pPr>
      <w:r>
        <w:rPr>
          <w:rFonts w:ascii="宋体" w:hAnsi="宋体" w:eastAsia="宋体" w:cs="宋体"/>
          <w:b w:val="0"/>
          <w:color w:val="000000"/>
          <w:sz w:val="24"/>
        </w:rPr>
        <w:t>项目已完成本地可运行的演示系统，具备角色登录、对象档案、家庭关系、事件创建与模拟、风险分级、任务流转、站内通知、平安签到、关闭确认、统计看板和演示数据重置等能力。第一阶段坚持软件协同定位，不依赖摄像头、穿戴设备、定位器或外部消息服务，不提供医疗诊断结论。后续将围绕企业实际服务流程开展小范围试点，形成可复制的社区照护协同方案。</w:t>
      </w:r>
    </w:p>
    <w:p>
      <w:pPr>
        <w:pStyle w:val="Heading1"/>
        <w:keepNext/>
        <w:spacing w:before="320" w:after="140" w:line="300" w:lineRule="auto"/>
      </w:pPr>
      <w:r>
        <w:rPr>
          <w:rFonts w:ascii="黑体" w:hAnsi="黑体" w:eastAsia="黑体" w:cs="黑体"/>
          <w:b/>
          <w:color w:val="000000"/>
          <w:sz w:val="32"/>
        </w:rPr>
        <w:t>一、项目背景与需求分析</w:t>
      </w:r>
    </w:p>
    <w:p>
      <w:pPr>
        <w:pStyle w:val="Heading2"/>
        <w:keepNext/>
        <w:spacing w:before="200" w:after="100" w:line="300" w:lineRule="auto"/>
      </w:pPr>
      <w:r>
        <w:rPr>
          <w:rFonts w:ascii="黑体" w:hAnsi="黑体" w:eastAsia="黑体" w:cs="黑体"/>
          <w:b/>
          <w:color w:val="000000"/>
          <w:sz w:val="28"/>
        </w:rPr>
        <w:t>一  社区照护协同面临的现实问题</w:t>
      </w:r>
    </w:p>
    <w:p>
      <w:pPr>
        <w:spacing w:line="360" w:lineRule="auto" w:after="120"/>
        <w:ind w:firstLine="480"/>
        <w:jc w:val="both"/>
      </w:pPr>
      <w:r>
        <w:rPr>
          <w:rFonts w:ascii="宋体" w:hAnsi="宋体" w:eastAsia="宋体" w:cs="宋体"/>
          <w:b w:val="0"/>
          <w:color w:val="000000"/>
          <w:sz w:val="24"/>
        </w:rPr>
        <w:t>在社区养老、儿童接送与托管关爱等场景中，家属、社区、物业、社工、志愿者和服务机构往往通过电话、即时通信群或线下交接处理事务。信息分散使异常情况难以及时汇总，事件发生后容易出现责任边界不清、通知覆盖不足、响应超时无人跟进和处理结果无法向家属确认等问题。老年人与儿童服务对象虽然场景不同，但都需要在异常发生后快速识别、明确责任、持续跟踪并留下可信记录。</w:t>
      </w:r>
    </w:p>
    <w:p>
      <w:pPr>
        <w:pStyle w:val="Heading2"/>
        <w:keepNext/>
        <w:spacing w:before="200" w:after="100" w:line="300" w:lineRule="auto"/>
      </w:pPr>
      <w:r>
        <w:rPr>
          <w:rFonts w:ascii="黑体" w:hAnsi="黑体" w:eastAsia="黑体" w:cs="黑体"/>
          <w:b/>
          <w:color w:val="000000"/>
          <w:sz w:val="28"/>
        </w:rPr>
        <w:t>二  企业命题适配方向</w:t>
      </w:r>
    </w:p>
    <w:p>
      <w:pPr>
        <w:spacing w:line="360" w:lineRule="auto" w:after="120"/>
        <w:ind w:firstLine="480"/>
        <w:jc w:val="both"/>
      </w:pPr>
      <w:r>
        <w:rPr>
          <w:rFonts w:ascii="宋体" w:hAnsi="宋体" w:eastAsia="宋体" w:cs="宋体"/>
          <w:b w:val="0"/>
          <w:color w:val="000000"/>
          <w:sz w:val="24"/>
        </w:rPr>
        <w:t>本项目以企业命题中社区服务数字化、完整社区建设和一老一小服务协同需求为对接方向。平台不试图替代线下养老、托育、物业或应急服务机构，而是作为跨角色的协同层，将既有人员和资源组织到统一事件流程中。企业可通过平台配置服务对象、关系授权、响应规则和资源人员，在不改变原有服务体系的前提下提升任务可见性和过程可追溯性。</w:t>
      </w:r>
    </w:p>
    <w:p>
      <w:pPr>
        <w:pStyle w:val="Heading2"/>
        <w:keepNext/>
        <w:spacing w:before="200" w:after="100" w:line="300" w:lineRule="auto"/>
      </w:pPr>
      <w:r>
        <w:rPr>
          <w:rFonts w:ascii="黑体" w:hAnsi="黑体" w:eastAsia="黑体" w:cs="黑体"/>
          <w:b/>
          <w:color w:val="000000"/>
          <w:sz w:val="28"/>
        </w:rPr>
        <w:t>三  项目建设目标</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建立统一的照护事件入口，将不同来源的异常和服务需求转换为标准化事件记录。</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形成可解释的风险分级和响应时限规则，使社区工作人员能够优先处理高风险事件。</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构建家属、社区工作人员和社区响应人的协同链路，实现责任明确、过程留痕和结果确认。</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以本地可部署的轻量系统支撑培训、流程验证和企业场景试点，为后续规模化推广保留扩展基础。</w:t>
      </w:r>
    </w:p>
    <w:p>
      <w:pPr>
        <w:pStyle w:val="Heading1"/>
        <w:keepNext/>
        <w:spacing w:before="320" w:after="140" w:line="300" w:lineRule="auto"/>
      </w:pPr>
      <w:r>
        <w:rPr>
          <w:rFonts w:ascii="黑体" w:hAnsi="黑体" w:eastAsia="黑体" w:cs="黑体"/>
          <w:b/>
          <w:color w:val="000000"/>
          <w:sz w:val="32"/>
        </w:rPr>
        <w:t>二、项目定位与总体解决方案</w:t>
      </w:r>
    </w:p>
    <w:p>
      <w:pPr>
        <w:pStyle w:val="Heading2"/>
        <w:keepNext/>
        <w:spacing w:before="200" w:after="100" w:line="300" w:lineRule="auto"/>
      </w:pPr>
      <w:r>
        <w:rPr>
          <w:rFonts w:ascii="黑体" w:hAnsi="黑体" w:eastAsia="黑体" w:cs="黑体"/>
          <w:b/>
          <w:color w:val="000000"/>
          <w:sz w:val="28"/>
        </w:rPr>
        <w:t>一  项目定位</w:t>
      </w:r>
    </w:p>
    <w:p>
      <w:pPr>
        <w:spacing w:line="360" w:lineRule="auto" w:after="120"/>
        <w:ind w:firstLine="480"/>
        <w:jc w:val="both"/>
      </w:pPr>
      <w:r>
        <w:rPr>
          <w:rFonts w:ascii="宋体" w:hAnsi="宋体" w:eastAsia="宋体" w:cs="宋体"/>
          <w:b w:val="0"/>
          <w:color w:val="000000"/>
          <w:sz w:val="24"/>
        </w:rPr>
        <w:t>邻里智护定位为面向完整社区的一老一小照护事件闭环与应急协同平台。它不是社区商城，不是医疗系统，也不是依赖硬件的安防平台，而是以照护事件为核心，将发现、处置和确认连接起来的业务协同工具。</w:t>
      </w:r>
    </w:p>
    <w:p>
      <w:pPr>
        <w:pStyle w:val="Heading2"/>
        <w:keepNext/>
        <w:spacing w:before="200" w:after="100" w:line="300" w:lineRule="auto"/>
      </w:pPr>
      <w:r>
        <w:rPr>
          <w:rFonts w:ascii="黑体" w:hAnsi="黑体" w:eastAsia="黑体" w:cs="黑体"/>
          <w:b/>
          <w:color w:val="000000"/>
          <w:sz w:val="28"/>
        </w:rPr>
        <w:t>二  服务对象</w:t>
      </w:r>
    </w:p>
    <w:p>
      <w:pPr>
        <w:spacing w:before="100" w:after="100"/>
        <w:jc w:val="center"/>
      </w:pPr>
      <w:r>
        <w:rPr>
          <w:rFonts w:ascii="宋体" w:hAnsi="宋体" w:eastAsia="宋体" w:cs="宋体"/>
          <w:b w:val="0"/>
          <w:color w:val="000000"/>
          <w:sz w:val="24"/>
        </w:rPr>
        <w:t>表一 主要服务对象与平台价值</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角色</w:t>
            </w:r>
          </w:p>
        </w:tc>
        <w:tc>
          <w:tcPr>
            <w:tcW w:type="dxa" w:w="283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主要诉求</w:t>
            </w:r>
          </w:p>
        </w:tc>
        <w:tc>
          <w:tcPr>
            <w:tcW w:type="dxa" w:w="413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平台支持</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家属与监护人</w:t>
            </w:r>
          </w:p>
        </w:tc>
        <w:tc>
          <w:tcPr>
            <w:tcW w:type="dxa" w:w="283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了解家人状态，及时确认处理进展</w:t>
            </w:r>
          </w:p>
        </w:tc>
        <w:tc>
          <w:tcPr>
            <w:tcW w:type="dxa" w:w="413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查看授权对象和事件，提交平安签到、补充说明、确认关闭</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社区工作人员</w:t>
            </w:r>
          </w:p>
        </w:tc>
        <w:tc>
          <w:tcPr>
            <w:tcW w:type="dxa" w:w="283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掌握事件全局，统一派单与升级</w:t>
            </w:r>
          </w:p>
        </w:tc>
        <w:tc>
          <w:tcPr>
            <w:tcW w:type="dxa" w:w="413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查看本社区事件，分级、派单、转派、处置、关闭和统计</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社区响应人</w:t>
            </w:r>
          </w:p>
        </w:tc>
        <w:tc>
          <w:tcPr>
            <w:tcW w:type="dxa" w:w="283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明确自己应处理的任务和反馈要求</w:t>
            </w:r>
          </w:p>
        </w:tc>
        <w:tc>
          <w:tcPr>
            <w:tcW w:type="dxa" w:w="413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查看分配给自己的任务，接单、记录处置、提出转派请求</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服务机构与协作人员</w:t>
            </w:r>
          </w:p>
        </w:tc>
        <w:tc>
          <w:tcPr>
            <w:tcW w:type="dxa" w:w="283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获得最少必要的信息并形成服务留痕</w:t>
            </w:r>
          </w:p>
        </w:tc>
        <w:tc>
          <w:tcPr>
            <w:tcW w:type="dxa" w:w="413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在授权范围内承接任务，反馈服务结果，支持后续复盘</w:t>
            </w:r>
          </w:p>
        </w:tc>
      </w:tr>
    </w:tbl>
    <w:p>
      <w:pPr>
        <w:spacing w:after="40"/>
      </w:pPr>
    </w:p>
    <w:p>
      <w:pPr>
        <w:pStyle w:val="Heading2"/>
        <w:keepNext/>
        <w:spacing w:before="200" w:after="100" w:line="300" w:lineRule="auto"/>
      </w:pPr>
      <w:r>
        <w:rPr>
          <w:rFonts w:ascii="黑体" w:hAnsi="黑体" w:eastAsia="黑体" w:cs="黑体"/>
          <w:b/>
          <w:color w:val="000000"/>
          <w:sz w:val="28"/>
        </w:rPr>
        <w:t>三  照护事件闭环</w:t>
      </w:r>
    </w:p>
    <w:p>
      <w:pPr>
        <w:spacing w:line="360" w:lineRule="auto" w:after="120"/>
        <w:ind w:firstLine="480"/>
        <w:jc w:val="both"/>
      </w:pPr>
      <w:r>
        <w:rPr>
          <w:rFonts w:ascii="宋体" w:hAnsi="宋体" w:eastAsia="宋体" w:cs="宋体"/>
          <w:b/>
          <w:color w:val="000000"/>
          <w:sz w:val="24"/>
        </w:rPr>
        <w:t>系统以统一事件引擎支撑全部业务流程。</w:t>
      </w:r>
      <w:r>
        <w:rPr>
          <w:rFonts w:ascii="宋体" w:hAnsi="宋体" w:eastAsia="宋体" w:cs="宋体"/>
          <w:b w:val="0"/>
          <w:color w:val="000000"/>
          <w:sz w:val="24"/>
        </w:rPr>
        <w:t>无论事件来自人工录入、签到计划还是演示模拟，均进入同一套状态机和权限规则。平台通过当前责任人、响应时限、处置时间线和关闭依据将每个事件的全过程保留下来。</w:t>
      </w:r>
    </w:p>
    <w:p>
      <w:pPr>
        <w:spacing w:before="100" w:after="100"/>
        <w:jc w:val="center"/>
      </w:pPr>
      <w:r>
        <w:rPr>
          <w:rFonts w:ascii="宋体" w:hAnsi="宋体" w:eastAsia="宋体" w:cs="宋体"/>
          <w:b w:val="0"/>
          <w:color w:val="000000"/>
          <w:sz w:val="24"/>
        </w:rPr>
        <w:t>图一 邻里智护照护事件闭环</w:t>
      </w:r>
    </w:p>
    <w:tbl>
      <w:tblPr>
        <w:tblW w:type="auto" w:w="0"/>
        <w:jc w:val="center"/>
        <w:tblLayout w:type="fixed"/>
        <w:tblLook w:firstColumn="1" w:firstRow="1" w:lastColumn="0" w:lastRow="0" w:noHBand="0" w:noVBand="1" w:val="04A0"/>
      </w:tblPr>
      <w:tblGrid>
        <w:gridCol w:w="2183"/>
        <w:gridCol w:w="2183"/>
        <w:gridCol w:w="2183"/>
        <w:gridCol w:w="2183"/>
      </w:tblGrid>
      <w:tr>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7" w:val="clear"/>
          </w:tcPr>
          <w:p>
            <w:pPr>
              <w:spacing w:line="300" w:lineRule="auto"/>
              <w:jc w:val="center"/>
            </w:pPr>
            <w:r/>
            <w:r>
              <w:rPr>
                <w:rFonts w:ascii="黑体" w:hAnsi="黑体" w:eastAsia="黑体" w:cs="黑体"/>
                <w:b/>
                <w:color w:val="000000"/>
                <w:sz w:val="24"/>
              </w:rPr>
              <w:t>发现与创建</w:t>
              <w:br/>
            </w:r>
            <w:r>
              <w:rPr>
                <w:rFonts w:ascii="宋体" w:hAnsi="宋体" w:eastAsia="宋体" w:cs="宋体"/>
                <w:b w:val="0"/>
                <w:color w:val="000000"/>
                <w:sz w:val="21"/>
              </w:rPr>
              <w:t>人工录入或模拟触发</w:t>
            </w:r>
          </w:p>
        </w:tc>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7" w:val="clear"/>
          </w:tcPr>
          <w:p>
            <w:pPr>
              <w:spacing w:line="300" w:lineRule="auto"/>
              <w:jc w:val="center"/>
            </w:pPr>
            <w:r/>
            <w:r>
              <w:rPr>
                <w:rFonts w:ascii="黑体" w:hAnsi="黑体" w:eastAsia="黑体" w:cs="黑体"/>
                <w:b/>
                <w:color w:val="000000"/>
                <w:sz w:val="24"/>
              </w:rPr>
              <w:t>风险分级</w:t>
              <w:br/>
            </w:r>
            <w:r>
              <w:rPr>
                <w:rFonts w:ascii="宋体" w:hAnsi="宋体" w:eastAsia="宋体" w:cs="宋体"/>
                <w:b w:val="0"/>
                <w:color w:val="000000"/>
                <w:sz w:val="21"/>
              </w:rPr>
              <w:t>展示计算原因</w:t>
            </w:r>
          </w:p>
        </w:tc>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7" w:val="clear"/>
          </w:tcPr>
          <w:p>
            <w:pPr>
              <w:spacing w:line="300" w:lineRule="auto"/>
              <w:jc w:val="center"/>
            </w:pPr>
            <w:r/>
            <w:r>
              <w:rPr>
                <w:rFonts w:ascii="黑体" w:hAnsi="黑体" w:eastAsia="黑体" w:cs="黑体"/>
                <w:b/>
                <w:color w:val="000000"/>
                <w:sz w:val="24"/>
              </w:rPr>
              <w:t>通知与派单</w:t>
              <w:br/>
            </w:r>
            <w:r>
              <w:rPr>
                <w:rFonts w:ascii="宋体" w:hAnsi="宋体" w:eastAsia="宋体" w:cs="宋体"/>
                <w:b w:val="0"/>
                <w:color w:val="000000"/>
                <w:sz w:val="21"/>
              </w:rPr>
              <w:t>形成当前责任人</w:t>
            </w:r>
          </w:p>
        </w:tc>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7" w:val="clear"/>
          </w:tcPr>
          <w:p>
            <w:pPr>
              <w:spacing w:line="300" w:lineRule="auto"/>
              <w:jc w:val="center"/>
            </w:pPr>
            <w:r/>
            <w:r>
              <w:rPr>
                <w:rFonts w:ascii="黑体" w:hAnsi="黑体" w:eastAsia="黑体" w:cs="黑体"/>
                <w:b/>
                <w:color w:val="000000"/>
                <w:sz w:val="24"/>
              </w:rPr>
              <w:t>接单与处置</w:t>
              <w:br/>
            </w:r>
            <w:r>
              <w:rPr>
                <w:rFonts w:ascii="宋体" w:hAnsi="宋体" w:eastAsia="宋体" w:cs="宋体"/>
                <w:b w:val="0"/>
                <w:color w:val="000000"/>
                <w:sz w:val="21"/>
              </w:rPr>
              <w:t>留存事实记录</w:t>
            </w:r>
          </w:p>
        </w:tc>
      </w:tr>
      <w:tr>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line="300" w:lineRule="auto"/>
              <w:jc w:val="center"/>
            </w:pPr>
            <w:r/>
            <w:r>
              <w:rPr>
                <w:rFonts w:ascii="黑体" w:hAnsi="黑体" w:eastAsia="黑体" w:cs="黑体"/>
                <w:b/>
                <w:color w:val="000000"/>
                <w:sz w:val="24"/>
              </w:rPr>
              <w:t>超时升级</w:t>
              <w:br/>
            </w:r>
            <w:r>
              <w:rPr>
                <w:rFonts w:ascii="宋体" w:hAnsi="宋体" w:eastAsia="宋体" w:cs="宋体"/>
                <w:b w:val="0"/>
                <w:color w:val="000000"/>
                <w:sz w:val="21"/>
              </w:rPr>
              <w:t>按规则通知下一层级</w:t>
            </w:r>
          </w:p>
        </w:tc>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line="300" w:lineRule="auto"/>
              <w:jc w:val="center"/>
            </w:pPr>
            <w:r/>
            <w:r>
              <w:rPr>
                <w:rFonts w:ascii="黑体" w:hAnsi="黑体" w:eastAsia="黑体" w:cs="黑体"/>
                <w:b/>
                <w:color w:val="000000"/>
                <w:sz w:val="24"/>
              </w:rPr>
              <w:t>平安确认</w:t>
              <w:br/>
            </w:r>
            <w:r>
              <w:rPr>
                <w:rFonts w:ascii="宋体" w:hAnsi="宋体" w:eastAsia="宋体" w:cs="宋体"/>
                <w:b w:val="0"/>
                <w:color w:val="000000"/>
                <w:sz w:val="21"/>
              </w:rPr>
              <w:t>家属或监护人反馈</w:t>
            </w:r>
          </w:p>
        </w:tc>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line="300" w:lineRule="auto"/>
              <w:jc w:val="center"/>
            </w:pPr>
            <w:r/>
            <w:r>
              <w:rPr>
                <w:rFonts w:ascii="黑体" w:hAnsi="黑体" w:eastAsia="黑体" w:cs="黑体"/>
                <w:b/>
                <w:color w:val="000000"/>
                <w:sz w:val="24"/>
              </w:rPr>
              <w:t>关闭归档</w:t>
              <w:br/>
            </w:r>
            <w:r>
              <w:rPr>
                <w:rFonts w:ascii="宋体" w:hAnsi="宋体" w:eastAsia="宋体" w:cs="宋体"/>
                <w:b w:val="0"/>
                <w:color w:val="000000"/>
                <w:sz w:val="21"/>
              </w:rPr>
              <w:t>授权人员结束事件</w:t>
            </w:r>
          </w:p>
        </w:tc>
        <w:tc>
          <w:tcPr>
            <w:tcW w:type="dxa" w:w="2069"/>
            <w:vAlign w:val="center"/>
            <w:tcMar>
              <w:top w:w="170" w:type="dxa"/>
              <w:start w:w="100" w:type="dxa"/>
              <w:bottom w:w="17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line="300" w:lineRule="auto"/>
              <w:jc w:val="center"/>
            </w:pPr>
            <w:r/>
            <w:r>
              <w:rPr>
                <w:rFonts w:ascii="黑体" w:hAnsi="黑体" w:eastAsia="黑体" w:cs="黑体"/>
                <w:b/>
                <w:color w:val="000000"/>
                <w:sz w:val="24"/>
              </w:rPr>
              <w:t>统计复盘</w:t>
              <w:br/>
            </w:r>
            <w:r>
              <w:rPr>
                <w:rFonts w:ascii="宋体" w:hAnsi="宋体" w:eastAsia="宋体" w:cs="宋体"/>
                <w:b w:val="0"/>
                <w:color w:val="000000"/>
                <w:sz w:val="21"/>
              </w:rPr>
              <w:t>看板支持服务改进</w:t>
            </w:r>
          </w:p>
        </w:tc>
      </w:tr>
    </w:tbl>
    <w:p>
      <w:pPr>
        <w:spacing w:after="40"/>
      </w:pPr>
    </w:p>
    <w:p>
      <w:pPr>
        <w:pStyle w:val="Heading1"/>
        <w:keepNext/>
        <w:spacing w:before="320" w:after="140" w:line="300" w:lineRule="auto"/>
      </w:pPr>
      <w:r>
        <w:rPr>
          <w:rFonts w:ascii="黑体" w:hAnsi="黑体" w:eastAsia="黑体" w:cs="黑体"/>
          <w:b/>
          <w:color w:val="000000"/>
          <w:sz w:val="32"/>
        </w:rPr>
        <w:t>三、产品功能与业务设计</w:t>
      </w:r>
    </w:p>
    <w:p>
      <w:pPr>
        <w:pStyle w:val="Heading2"/>
        <w:keepNext/>
        <w:spacing w:before="200" w:after="100" w:line="300" w:lineRule="auto"/>
      </w:pPr>
      <w:r>
        <w:rPr>
          <w:rFonts w:ascii="黑体" w:hAnsi="黑体" w:eastAsia="黑体" w:cs="黑体"/>
          <w:b/>
          <w:color w:val="000000"/>
          <w:sz w:val="28"/>
        </w:rPr>
        <w:t>一  六类核心照护事件</w:t>
      </w:r>
    </w:p>
    <w:p>
      <w:pPr>
        <w:spacing w:before="100" w:after="100"/>
        <w:jc w:val="center"/>
      </w:pPr>
      <w:r>
        <w:rPr>
          <w:rFonts w:ascii="宋体" w:hAnsi="宋体" w:eastAsia="宋体" w:cs="宋体"/>
          <w:b w:val="0"/>
          <w:color w:val="000000"/>
          <w:sz w:val="24"/>
        </w:rPr>
        <w:t>表二 核心照护事件设计</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事件类型</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典型场景</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初始处理重点</w:t>
            </w:r>
          </w:p>
        </w:tc>
      </w:tr>
      <w:t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老人长时间未签到</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独居或高龄老人超过约定时间未确认平安</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优先联系家属或监护人，必要时派给社区工作人员</w:t>
            </w:r>
          </w:p>
        </w:tc>
      </w:tr>
      <w:t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老人主动求助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助餐、助洁、陪同、代办或紧急协助需求</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记录需求内容，按紧急程度形成任务</w:t>
            </w:r>
          </w:p>
        </w:tc>
      </w:tr>
      <w:t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疑似老人突发异常</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人工录入或模拟触发的疑似异常场景</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提示人工确认，不作医疗诊断</w:t>
            </w:r>
          </w:p>
        </w:tc>
      </w:tr>
      <w:t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儿童接送未确认</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约定接送时间已过但未收到确认</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通知监护人和相关托管或社区人员</w:t>
            </w:r>
          </w:p>
        </w:tc>
      </w:tr>
      <w:t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儿童托管签到异常</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应到未到、提前离开或签到信息不一致</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核实监护关系与接送授权信息</w:t>
            </w:r>
          </w:p>
        </w:tc>
      </w:tr>
      <w:tr>
        <w:tc>
          <w:tcPr>
            <w:tcW w:type="dxa" w:w="19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儿童主动求助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儿童或监护人发起的紧急协助请求</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按紧急规则通知监护人和社区值班人员</w:t>
            </w:r>
          </w:p>
        </w:tc>
      </w:tr>
    </w:tbl>
    <w:p>
      <w:pPr>
        <w:spacing w:after="40"/>
      </w:pPr>
    </w:p>
    <w:p>
      <w:pPr>
        <w:pStyle w:val="Heading2"/>
        <w:keepNext/>
        <w:spacing w:before="200" w:after="100" w:line="300" w:lineRule="auto"/>
      </w:pPr>
      <w:r>
        <w:rPr>
          <w:rFonts w:ascii="黑体" w:hAnsi="黑体" w:eastAsia="黑体" w:cs="黑体"/>
          <w:b/>
          <w:color w:val="000000"/>
          <w:sz w:val="28"/>
        </w:rPr>
        <w:t>二  权限与责任边界</w:t>
      </w:r>
    </w:p>
    <w:p>
      <w:pPr>
        <w:spacing w:line="360" w:lineRule="auto" w:after="120"/>
        <w:ind w:firstLine="480"/>
        <w:jc w:val="both"/>
      </w:pPr>
      <w:r>
        <w:rPr>
          <w:rFonts w:ascii="宋体" w:hAnsi="宋体" w:eastAsia="宋体" w:cs="宋体"/>
          <w:b w:val="0"/>
          <w:color w:val="000000"/>
          <w:sz w:val="24"/>
        </w:rPr>
        <w:t>平台遵循家属查看授权家庭、响应人查看本人任务、社区工作人员查看本社区事件的最小权限原则。权限在服务端执行，前端仅根据权限展示可用操作，不能绕过后端的查看和处置校验。关闭事件后，时间线转为只读，防止处置记录被事后覆盖。</w:t>
      </w:r>
    </w:p>
    <w:p>
      <w:pPr>
        <w:spacing w:before="100" w:after="100"/>
        <w:jc w:val="center"/>
      </w:pPr>
      <w:r>
        <w:rPr>
          <w:rFonts w:ascii="宋体" w:hAnsi="宋体" w:eastAsia="宋体" w:cs="宋体"/>
          <w:b w:val="0"/>
          <w:color w:val="000000"/>
          <w:sz w:val="24"/>
        </w:rPr>
        <w:t>表三 角色权限与责任边界</w:t>
      </w:r>
    </w:p>
    <w:tbl>
      <w:tblPr>
        <w:tblW w:type="auto" w:w="0"/>
        <w:jc w:val="center"/>
        <w:tblLayout w:type="fixed"/>
        <w:tblLook w:firstColumn="1" w:firstRow="1" w:lastColumn="0" w:lastRow="0" w:noHBand="0" w:noVBand="1" w:val="04A0"/>
      </w:tblPr>
      <w:tblGrid>
        <w:gridCol w:w="2183"/>
        <w:gridCol w:w="2183"/>
        <w:gridCol w:w="2183"/>
        <w:gridCol w:w="2183"/>
      </w:tblGrid>
      <w:tr>
        <w:trPr>
          <w:tblHeader w:val="true"/>
        </w:trPr>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角色</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查看范围</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主要动作</w:t>
            </w:r>
          </w:p>
        </w:tc>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限制</w:t>
            </w:r>
          </w:p>
        </w:tc>
      </w:tr>
      <w:tr>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家属与监护人</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被授权的照护对象及相关事件</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平安签到、发起求助、补充说明、确认关闭</w:t>
            </w:r>
          </w:p>
        </w:tc>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不能查看其他家庭和社区规则</w:t>
            </w:r>
          </w:p>
        </w:tc>
      </w:tr>
      <w:tr>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社区工作人员</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本社区全部照护对象和事件</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派单、接单、转派、处置、升级、授权关闭</w:t>
            </w:r>
          </w:p>
        </w:tc>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不能查看无关社区的数据</w:t>
            </w:r>
          </w:p>
        </w:tc>
      </w:tr>
      <w:tr>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社区响应人</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分配给自己的事件及必要对象信息</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接单、处置反馈、请求转派</w:t>
            </w:r>
          </w:p>
        </w:tc>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不能查看全部事件或修改对象档案</w:t>
            </w:r>
          </w:p>
        </w:tc>
      </w:tr>
      <w:tr>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社区管理员</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演示环境全部数据和统计</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管理演示数据与流程配置</w:t>
            </w:r>
          </w:p>
        </w:tc>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仅用于管理和演示场景</w:t>
            </w:r>
          </w:p>
        </w:tc>
      </w:tr>
    </w:tbl>
    <w:p>
      <w:pPr>
        <w:spacing w:after="40"/>
      </w:pPr>
    </w:p>
    <w:p>
      <w:pPr>
        <w:pStyle w:val="Heading2"/>
        <w:keepNext/>
        <w:spacing w:before="200" w:after="100" w:line="300" w:lineRule="auto"/>
      </w:pPr>
      <w:r>
        <w:rPr>
          <w:rFonts w:ascii="黑体" w:hAnsi="黑体" w:eastAsia="黑体" w:cs="黑体"/>
          <w:b/>
          <w:color w:val="000000"/>
          <w:sz w:val="28"/>
        </w:rPr>
        <w:t>三  可解释风险分级</w:t>
      </w:r>
    </w:p>
    <w:p>
      <w:pPr>
        <w:spacing w:line="360" w:lineRule="auto" w:after="120"/>
        <w:ind w:firstLine="480"/>
        <w:jc w:val="both"/>
      </w:pPr>
      <w:r>
        <w:rPr>
          <w:rFonts w:ascii="宋体" w:hAnsi="宋体" w:eastAsia="宋体" w:cs="宋体"/>
          <w:b w:val="0"/>
          <w:color w:val="000000"/>
          <w:sz w:val="24"/>
        </w:rPr>
        <w:t>风险等级由事件基础等级、照护对象风险标签、家属未响应、超时情况和已确认安全等因素共同计算，分为紧急、高风险和常规三个层级。详情页展示每项因素对风险分的影响，避免将规则结果包装为不可解释的自动判断。平台中的风险等级用于确定协同优先级和响应时限，不构成医疗诊断、健康判断或绝对安全承诺。</w:t>
      </w:r>
    </w:p>
    <w:p>
      <w:pPr>
        <w:pStyle w:val="Heading2"/>
        <w:keepNext/>
        <w:spacing w:before="200" w:after="100" w:line="300" w:lineRule="auto"/>
      </w:pPr>
      <w:r>
        <w:rPr>
          <w:rFonts w:ascii="黑体" w:hAnsi="黑体" w:eastAsia="黑体" w:cs="黑体"/>
          <w:b/>
          <w:color w:val="000000"/>
          <w:sz w:val="28"/>
        </w:rPr>
        <w:t>四  任务流转与过程留痕</w:t>
      </w:r>
    </w:p>
    <w:p>
      <w:pPr>
        <w:spacing w:line="360" w:lineRule="auto" w:after="120"/>
        <w:ind w:firstLine="480"/>
        <w:jc w:val="both"/>
      </w:pPr>
      <w:r>
        <w:rPr>
          <w:rFonts w:ascii="宋体" w:hAnsi="宋体" w:eastAsia="宋体" w:cs="宋体"/>
          <w:b w:val="0"/>
          <w:color w:val="000000"/>
          <w:sz w:val="24"/>
        </w:rPr>
        <w:t>每个照护事件同时只保留一个当前责任人，但可以保留多条历史派单和转派记录。责任人接单后进入处理中状态，处置人员可记录电话联系、到场查看、协助服务、联系监护人等事实动作；完成处置后进入待确认状态，由家属或授权社区人员填写关闭说明。超时未接单或未反馈时，系统按预设链路升级并生成新的通知和时间线记录。</w:t>
      </w:r>
    </w:p>
    <w:p>
      <w:pPr>
        <w:pStyle w:val="Heading1"/>
        <w:keepNext/>
        <w:spacing w:before="320" w:after="140" w:line="300" w:lineRule="auto"/>
      </w:pPr>
      <w:r>
        <w:rPr>
          <w:rFonts w:ascii="黑体" w:hAnsi="黑体" w:eastAsia="黑体" w:cs="黑体"/>
          <w:b/>
          <w:color w:val="000000"/>
          <w:sz w:val="32"/>
        </w:rPr>
        <w:t>四、技术方案与数据安全</w:t>
      </w:r>
    </w:p>
    <w:p>
      <w:pPr>
        <w:pStyle w:val="Heading2"/>
        <w:keepNext/>
        <w:spacing w:before="200" w:after="100" w:line="300" w:lineRule="auto"/>
      </w:pPr>
      <w:r>
        <w:rPr>
          <w:rFonts w:ascii="黑体" w:hAnsi="黑体" w:eastAsia="黑体" w:cs="黑体"/>
          <w:b/>
          <w:color w:val="000000"/>
          <w:sz w:val="28"/>
        </w:rPr>
        <w:t>一  模块化技术架构</w:t>
      </w:r>
    </w:p>
    <w:p>
      <w:pPr>
        <w:spacing w:line="360" w:lineRule="auto" w:after="120"/>
        <w:ind w:firstLine="480"/>
        <w:jc w:val="both"/>
      </w:pPr>
      <w:r>
        <w:rPr>
          <w:rFonts w:ascii="宋体" w:hAnsi="宋体" w:eastAsia="宋体" w:cs="宋体"/>
          <w:b w:val="0"/>
          <w:color w:val="000000"/>
          <w:sz w:val="24"/>
        </w:rPr>
        <w:t>项目采用前后端分离的模块化单体架构，适合比赛演示和初期试点。前端负责页面展示、表单交互与状态提示；后端负责身份会话、权限校验、事件状态机、风险规则、事务处理和数据持久化；数据库保存照护对象、关系授权、事件、任务、处置、通知和统计所需数据。</w:t>
      </w:r>
    </w:p>
    <w:p>
      <w:pPr>
        <w:spacing w:before="100" w:after="100"/>
        <w:jc w:val="center"/>
      </w:pPr>
      <w:r>
        <w:rPr>
          <w:rFonts w:ascii="宋体" w:hAnsi="宋体" w:eastAsia="宋体" w:cs="宋体"/>
          <w:b w:val="0"/>
          <w:color w:val="000000"/>
          <w:sz w:val="24"/>
        </w:rPr>
        <w:t>表四 技术架构分层</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层级</w:t>
            </w:r>
          </w:p>
        </w:tc>
        <w:tc>
          <w:tcPr>
            <w:tcW w:type="dxa" w:w="300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技术组成</w:t>
            </w:r>
          </w:p>
        </w:tc>
        <w:tc>
          <w:tcPr>
            <w:tcW w:type="dxa" w:w="39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主要职责</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前端交互层</w:t>
            </w:r>
          </w:p>
        </w:tc>
        <w:tc>
          <w:tcPr>
            <w:tcW w:type="dxa" w:w="300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网页前端、路由、会话状态、图表组件</w:t>
            </w:r>
          </w:p>
        </w:tc>
        <w:tc>
          <w:tcPr>
            <w:tcW w:type="dxa" w:w="39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登录、事件中心、对象档案、模拟台、详情页和统计看板</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业务服务层</w:t>
            </w:r>
          </w:p>
        </w:tc>
        <w:tc>
          <w:tcPr>
            <w:tcW w:type="dxa" w:w="300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接口服务、数据校验、领域规则、事务处理</w:t>
            </w:r>
          </w:p>
        </w:tc>
        <w:tc>
          <w:tcPr>
            <w:tcW w:type="dxa" w:w="39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权限控制、风险分级、派单转派、处置记录、升级、关闭</w:t>
            </w:r>
          </w:p>
        </w:tc>
      </w:tr>
      <w:tr>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数据持久层</w:t>
            </w:r>
          </w:p>
        </w:tc>
        <w:tc>
          <w:tcPr>
            <w:tcW w:type="dxa" w:w="300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关系型数据库、迁移工具、种子数据</w:t>
            </w:r>
          </w:p>
        </w:tc>
        <w:tc>
          <w:tcPr>
            <w:tcW w:type="dxa" w:w="39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保存事件全生命周期数据，支持本地演示和后续迁移扩展</w:t>
            </w:r>
          </w:p>
        </w:tc>
      </w:tr>
    </w:tbl>
    <w:p>
      <w:pPr>
        <w:spacing w:after="40"/>
      </w:pPr>
    </w:p>
    <w:p>
      <w:pPr>
        <w:pStyle w:val="Heading2"/>
        <w:keepNext/>
        <w:spacing w:before="200" w:after="100" w:line="300" w:lineRule="auto"/>
      </w:pPr>
      <w:r>
        <w:rPr>
          <w:rFonts w:ascii="黑体" w:hAnsi="黑体" w:eastAsia="黑体" w:cs="黑体"/>
          <w:b/>
          <w:color w:val="000000"/>
          <w:sz w:val="28"/>
        </w:rPr>
        <w:t>二  关键技术实现</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采用网页前端与接口服务分离的方式，保证页面交互与业务规则解耦。</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后端以统一事件引擎处理创建、派单、接单、转派、处置、超时升级、确认关闭和取消等状态变化。</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同一业务事务同步更新事件、任务、时间线和站内通知，降低数据状态不一致风险。</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通过数据库迁移、种子数据和一键重置保证演示环境可复现，支持比赛现场快速恢复。</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完成后端领域与接口测试、前端单元测试和关键流程端到端验证，覆盖老人和儿童的主要闭环。</w:t>
      </w:r>
    </w:p>
    <w:p>
      <w:pPr>
        <w:pStyle w:val="Heading2"/>
        <w:keepNext/>
        <w:spacing w:before="200" w:after="100" w:line="300" w:lineRule="auto"/>
      </w:pPr>
      <w:r>
        <w:rPr>
          <w:rFonts w:ascii="黑体" w:hAnsi="黑体" w:eastAsia="黑体" w:cs="黑体"/>
          <w:b/>
          <w:color w:val="000000"/>
          <w:sz w:val="28"/>
        </w:rPr>
        <w:t>三  数据安全与隐私保护</w:t>
      </w:r>
    </w:p>
    <w:p>
      <w:pPr>
        <w:spacing w:line="360" w:lineRule="auto" w:after="120"/>
        <w:ind w:firstLine="480"/>
        <w:jc w:val="both"/>
      </w:pPr>
      <w:r>
        <w:rPr>
          <w:rFonts w:ascii="宋体" w:hAnsi="宋体" w:eastAsia="宋体" w:cs="宋体"/>
          <w:b w:val="0"/>
          <w:color w:val="000000"/>
          <w:sz w:val="24"/>
        </w:rPr>
        <w:t>项目遵循最小化采集和最小权限访问原则。演示版本仅使用虚构、脱敏数据，不保存真实身份证号、精确住址、详细病历、视频内容或不必要的定位信息。服务端通过短期会话和角色权限控制访问范围，家属只能查看被授权对象，响应人只能查看完成任务所需的最少信息。关键操作写入时间线，便于追溯责任和处理过程。</w:t>
      </w:r>
    </w:p>
    <w:p>
      <w:pPr>
        <w:spacing w:line="360" w:lineRule="auto" w:after="120"/>
        <w:ind w:firstLine="480"/>
        <w:jc w:val="both"/>
      </w:pPr>
      <w:r>
        <w:rPr>
          <w:rFonts w:ascii="宋体" w:hAnsi="宋体" w:eastAsia="宋体" w:cs="宋体"/>
          <w:b w:val="0"/>
          <w:color w:val="000000"/>
          <w:sz w:val="24"/>
        </w:rPr>
        <w:t>当前版本不接入摄像头、手环、门禁、定位器、短信、即时通信、真实电话或外部应急系统。未来如需对接设备或消息渠道，将通过适配层把外部输入转化为统一事件，并在获得相关授权、完成安全评估后再投入实际使用。</w:t>
      </w:r>
    </w:p>
    <w:p>
      <w:pPr>
        <w:pStyle w:val="Heading1"/>
        <w:keepNext/>
        <w:spacing w:before="320" w:after="140" w:line="300" w:lineRule="auto"/>
      </w:pPr>
      <w:r>
        <w:rPr>
          <w:rFonts w:ascii="黑体" w:hAnsi="黑体" w:eastAsia="黑体" w:cs="黑体"/>
          <w:b/>
          <w:color w:val="000000"/>
          <w:sz w:val="32"/>
        </w:rPr>
        <w:t>五、项目创新与竞争优势</w:t>
      </w:r>
    </w:p>
    <w:p>
      <w:pPr>
        <w:spacing w:before="100" w:after="100"/>
        <w:jc w:val="center"/>
      </w:pPr>
      <w:r>
        <w:rPr>
          <w:rFonts w:ascii="宋体" w:hAnsi="宋体" w:eastAsia="宋体" w:cs="宋体"/>
          <w:b w:val="0"/>
          <w:color w:val="000000"/>
          <w:sz w:val="24"/>
        </w:rPr>
        <w:t>表五 项目创新点与竞争优势</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创新点</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具体体现</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实际价值</w:t>
            </w:r>
          </w:p>
        </w:tc>
      </w:tr>
      <w:tr>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一老一小统一事件引擎</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老人照护与儿童关爱使用同一套事件、任务、升级和关闭机制</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降低系统建设和培训成本，支持跨场景复制</w:t>
            </w:r>
          </w:p>
        </w:tc>
      </w:tr>
      <w:tr>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可解释风险规则</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展示事件类型、风险标签、超时和确认安全等因素</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便于社区人员理解优先级，避免黑箱式判断</w:t>
            </w:r>
          </w:p>
        </w:tc>
      </w:tr>
      <w:tr>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责任驱动的闭环流程</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每个事件具有当前责任人、响应时限、时间线和关闭依据</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减少遗漏和重复沟通，提升服务可追溯性</w:t>
            </w:r>
          </w:p>
        </w:tc>
      </w:tr>
      <w:tr>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轻量本地可部署</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不依赖硬件和外部消息服务，提供模拟事件与重置能力</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适合比赛演示、人员培训和低成本试点</w:t>
            </w:r>
          </w:p>
        </w:tc>
      </w:tr>
      <w:tr>
        <w:tc>
          <w:tcPr>
            <w:tcW w:type="dxa" w:w="19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最小权限与脱敏设计</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角色范围控制、虚构数据、模糊位置和最少必要信息</w:t>
            </w:r>
          </w:p>
        </w:tc>
        <w:tc>
          <w:tcPr>
            <w:tcW w:type="dxa" w:w="317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降低照护数据使用中的隐私与合规风险</w:t>
            </w:r>
          </w:p>
        </w:tc>
      </w:tr>
    </w:tbl>
    <w:p>
      <w:pPr>
        <w:spacing w:after="40"/>
      </w:pPr>
    </w:p>
    <w:p>
      <w:pPr>
        <w:spacing w:line="360" w:lineRule="auto" w:after="120"/>
        <w:ind w:firstLine="480"/>
        <w:jc w:val="both"/>
      </w:pPr>
      <w:r>
        <w:rPr>
          <w:rFonts w:ascii="宋体" w:hAnsi="宋体" w:eastAsia="宋体" w:cs="宋体"/>
          <w:b w:val="0"/>
          <w:color w:val="000000"/>
          <w:sz w:val="24"/>
        </w:rPr>
        <w:t>项目的差异化不在于宣称复杂算法或替代专业应急机构，而在于将分散的社区照护参与者组织到一条可执行、可解释、可追溯的事件链中。对于已有养老、托育、物业或志愿服务资源的企业和社区，平台可作为流程协同和服务质量管理的数字化基础。</w:t>
      </w:r>
    </w:p>
    <w:p>
      <w:pPr>
        <w:pStyle w:val="Heading1"/>
        <w:keepNext/>
        <w:spacing w:before="320" w:after="140" w:line="300" w:lineRule="auto"/>
      </w:pPr>
      <w:r>
        <w:rPr>
          <w:rFonts w:ascii="黑体" w:hAnsi="黑体" w:eastAsia="黑体" w:cs="黑体"/>
          <w:b/>
          <w:color w:val="000000"/>
          <w:sz w:val="32"/>
        </w:rPr>
        <w:t>六、企业试点与运营模式</w:t>
      </w:r>
    </w:p>
    <w:p>
      <w:pPr>
        <w:pStyle w:val="Heading2"/>
        <w:keepNext/>
        <w:spacing w:before="200" w:after="100" w:line="300" w:lineRule="auto"/>
      </w:pPr>
      <w:r>
        <w:rPr>
          <w:rFonts w:ascii="黑体" w:hAnsi="黑体" w:eastAsia="黑体" w:cs="黑体"/>
          <w:b/>
          <w:color w:val="000000"/>
          <w:sz w:val="28"/>
        </w:rPr>
        <w:t>一  试点对象与场景</w:t>
      </w:r>
    </w:p>
    <w:p>
      <w:pPr>
        <w:spacing w:line="360" w:lineRule="auto" w:after="120"/>
        <w:ind w:firstLine="480"/>
        <w:jc w:val="both"/>
      </w:pPr>
      <w:r>
        <w:rPr>
          <w:rFonts w:ascii="宋体" w:hAnsi="宋体" w:eastAsia="宋体" w:cs="宋体"/>
          <w:b w:val="0"/>
          <w:color w:val="000000"/>
          <w:sz w:val="24"/>
        </w:rPr>
        <w:t>项目优先面向具备社区服务资源的物业服务企业、社区养老服务机构、托育机构、街道社区服务中心和综合服务站开展试点。试点应选择服务对象关系清晰、工作人员职责明确、能够形成日常照护事件闭环的场景，例如独居老人平安确认、助餐服务跟踪、儿童托管签到核实和接送确认。</w:t>
      </w:r>
    </w:p>
    <w:p>
      <w:pPr>
        <w:pStyle w:val="Heading2"/>
        <w:keepNext/>
        <w:spacing w:before="200" w:after="100" w:line="300" w:lineRule="auto"/>
      </w:pPr>
      <w:r>
        <w:rPr>
          <w:rFonts w:ascii="黑体" w:hAnsi="黑体" w:eastAsia="黑体" w:cs="黑体"/>
          <w:b/>
          <w:color w:val="000000"/>
          <w:sz w:val="28"/>
        </w:rPr>
        <w:t>二  试点实施路径</w:t>
      </w:r>
    </w:p>
    <w:p>
      <w:pPr>
        <w:spacing w:before="100" w:after="100"/>
        <w:jc w:val="center"/>
      </w:pPr>
      <w:r>
        <w:rPr>
          <w:rFonts w:ascii="宋体" w:hAnsi="宋体" w:eastAsia="宋体" w:cs="宋体"/>
          <w:b w:val="0"/>
          <w:color w:val="000000"/>
          <w:sz w:val="24"/>
        </w:rPr>
        <w:t>表六 企业试点实施路径</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41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阶段</w:t>
            </w:r>
          </w:p>
        </w:tc>
        <w:tc>
          <w:tcPr>
            <w:tcW w:type="dxa" w:w="396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重点工作</w:t>
            </w:r>
          </w:p>
        </w:tc>
        <w:tc>
          <w:tcPr>
            <w:tcW w:type="dxa" w:w="323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阶段产出</w:t>
            </w:r>
          </w:p>
        </w:tc>
      </w:tr>
      <w:tr>
        <w:tc>
          <w:tcPr>
            <w:tcW w:type="dxa" w:w="141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准备阶段</w:t>
            </w:r>
          </w:p>
        </w:tc>
        <w:tc>
          <w:tcPr>
            <w:tcW w:type="dxa" w:w="396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梳理服务对象、授权关系、响应人员、事件规则和现有服务流程</w:t>
            </w:r>
          </w:p>
        </w:tc>
        <w:tc>
          <w:tcPr>
            <w:tcW w:type="dxa" w:w="323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试点清单、角色权限表、事件响应规则</w:t>
            </w:r>
          </w:p>
        </w:tc>
      </w:tr>
      <w:tr>
        <w:tc>
          <w:tcPr>
            <w:tcW w:type="dxa" w:w="141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上线阶段</w:t>
            </w:r>
          </w:p>
        </w:tc>
        <w:tc>
          <w:tcPr>
            <w:tcW w:type="dxa" w:w="396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导入脱敏基础信息，完成角色培训，使用模拟场景验证流程</w:t>
            </w:r>
          </w:p>
        </w:tc>
        <w:tc>
          <w:tcPr>
            <w:tcW w:type="dxa" w:w="323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可运行试点环境、培训记录、问题清单</w:t>
            </w:r>
          </w:p>
        </w:tc>
      </w:tr>
      <w:tr>
        <w:tc>
          <w:tcPr>
            <w:tcW w:type="dxa" w:w="141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运营阶段</w:t>
            </w:r>
          </w:p>
        </w:tc>
        <w:tc>
          <w:tcPr>
            <w:tcW w:type="dxa" w:w="396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选择真实但已授权的非敏感服务流程进行小范围使用，定期复盘</w:t>
            </w:r>
          </w:p>
        </w:tc>
        <w:tc>
          <w:tcPr>
            <w:tcW w:type="dxa" w:w="323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事件台账、响应时效分析、流程优化建议</w:t>
            </w:r>
          </w:p>
        </w:tc>
      </w:tr>
      <w:tr>
        <w:tc>
          <w:tcPr>
            <w:tcW w:type="dxa" w:w="1417"/>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复制阶段</w:t>
            </w:r>
          </w:p>
        </w:tc>
        <w:tc>
          <w:tcPr>
            <w:tcW w:type="dxa" w:w="396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沉淀配置模板、培训材料和部署手册，扩展到相邻社区或服务点</w:t>
            </w:r>
          </w:p>
        </w:tc>
        <w:tc>
          <w:tcPr>
            <w:tcW w:type="dxa" w:w="323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标准化交付包和复制方案</w:t>
            </w:r>
          </w:p>
        </w:tc>
      </w:tr>
    </w:tbl>
    <w:p>
      <w:pPr>
        <w:spacing w:after="40"/>
      </w:pPr>
    </w:p>
    <w:p>
      <w:pPr>
        <w:pStyle w:val="Heading2"/>
        <w:keepNext/>
        <w:spacing w:before="200" w:after="100" w:line="300" w:lineRule="auto"/>
      </w:pPr>
      <w:r>
        <w:rPr>
          <w:rFonts w:ascii="黑体" w:hAnsi="黑体" w:eastAsia="黑体" w:cs="黑体"/>
          <w:b/>
          <w:color w:val="000000"/>
          <w:sz w:val="28"/>
        </w:rPr>
        <w:t>三  运营与商业模式</w:t>
      </w:r>
    </w:p>
    <w:p>
      <w:pPr>
        <w:spacing w:line="360" w:lineRule="auto" w:after="120"/>
        <w:ind w:firstLine="480"/>
        <w:jc w:val="both"/>
      </w:pPr>
      <w:r>
        <w:rPr>
          <w:rFonts w:ascii="宋体" w:hAnsi="宋体" w:eastAsia="宋体" w:cs="宋体"/>
          <w:b w:val="0"/>
          <w:color w:val="000000"/>
          <w:sz w:val="24"/>
        </w:rPr>
        <w:t>项目拟采用面向机构的服务模式。对于社区、物业或服务机构，可提供本地部署与流程配置服务；对于多服务点场景，可在完成数据安全和多社区隔离能力建设后提供订阅式使用服务；对于已有养老、托育或物业业务的企业，可将平台作为服务质量管理、任务协同和客户沟通的数字化模块。首期重点不是追求大规模收费，而是通过试点验证事件闭环的可用性、服务人员接受度和关键流程改善效果。</w:t>
      </w:r>
    </w:p>
    <w:p>
      <w:pPr>
        <w:pStyle w:val="Heading2"/>
        <w:keepNext/>
        <w:spacing w:before="200" w:after="100" w:line="300" w:lineRule="auto"/>
      </w:pPr>
      <w:r>
        <w:rPr>
          <w:rFonts w:ascii="黑体" w:hAnsi="黑体" w:eastAsia="黑体" w:cs="黑体"/>
          <w:b/>
          <w:color w:val="000000"/>
          <w:sz w:val="28"/>
        </w:rPr>
        <w:t>四  试点评价指标</w:t>
      </w:r>
    </w:p>
    <w:p>
      <w:pPr>
        <w:spacing w:line="360" w:lineRule="auto" w:after="120"/>
        <w:ind w:firstLine="480"/>
        <w:jc w:val="both"/>
      </w:pPr>
      <w:r>
        <w:rPr>
          <w:rFonts w:ascii="宋体" w:hAnsi="宋体" w:eastAsia="宋体" w:cs="宋体"/>
          <w:b w:val="0"/>
          <w:color w:val="000000"/>
          <w:sz w:val="24"/>
        </w:rPr>
        <w:t>试点开始前由企业与项目团队共同确定基线数据，重点关注事件建档完整率、首次响应时长、超时事件占比、处置记录完整率、家属确认完成率和服务人员使用反馈。项目不预设未经验证的提升幅度，而是在试点过程中形成可比较的数据，以支撑后续产品迭代和推广决策。</w:t>
      </w:r>
    </w:p>
    <w:p>
      <w:pPr>
        <w:pStyle w:val="Heading1"/>
        <w:keepNext/>
        <w:spacing w:before="320" w:after="140" w:line="300" w:lineRule="auto"/>
      </w:pPr>
      <w:r>
        <w:rPr>
          <w:rFonts w:ascii="黑体" w:hAnsi="黑体" w:eastAsia="黑体" w:cs="黑体"/>
          <w:b/>
          <w:color w:val="000000"/>
          <w:sz w:val="32"/>
        </w:rPr>
        <w:t>七、项目进展与成果基础</w:t>
      </w:r>
    </w:p>
    <w:p>
      <w:pPr>
        <w:spacing w:line="360" w:lineRule="auto" w:after="120"/>
        <w:ind w:firstLine="480"/>
        <w:jc w:val="both"/>
      </w:pPr>
      <w:r>
        <w:rPr>
          <w:rFonts w:ascii="宋体" w:hAnsi="宋体" w:eastAsia="宋体" w:cs="宋体"/>
          <w:b w:val="0"/>
          <w:color w:val="000000"/>
          <w:sz w:val="24"/>
        </w:rPr>
        <w:t>目前项目已完成第一阶段可运行演示系统，形成产品设计、技术架构、领域上下文、数据库迁移、演示数据和测试用例等基础材料。系统可在本地启动，支持演示角色登录和权限切换，能够完整展示从模拟事件生成到风险分级、任务流转、处置反馈、超时升级、平安签到和关闭确认的业务闭环。</w:t>
      </w:r>
    </w:p>
    <w:p>
      <w:pPr>
        <w:spacing w:before="100" w:after="100"/>
        <w:jc w:val="center"/>
      </w:pPr>
      <w:r>
        <w:rPr>
          <w:rFonts w:ascii="宋体" w:hAnsi="宋体" w:eastAsia="宋体" w:cs="宋体"/>
          <w:b w:val="0"/>
          <w:color w:val="000000"/>
          <w:sz w:val="24"/>
        </w:rPr>
        <w:t>表七 项目现有成果基础</w:t>
      </w:r>
    </w:p>
    <w:tbl>
      <w:tblPr>
        <w:tblW w:type="auto" w:w="0"/>
        <w:jc w:val="center"/>
        <w:tblLayout w:type="fixed"/>
        <w:tblLook w:firstColumn="1" w:firstRow="1" w:lastColumn="0" w:lastRow="0" w:noHBand="0" w:noVBand="1" w:val="04A0"/>
      </w:tblPr>
      <w:tblGrid>
        <w:gridCol w:w="4366"/>
        <w:gridCol w:w="4366"/>
      </w:tblGrid>
      <w:tr>
        <w:trPr>
          <w:tblHeader w:val="true"/>
        </w:trP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已完成内容</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成果说明</w:t>
            </w:r>
          </w:p>
        </w:tc>
      </w:tr>
      <w:t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业务模型</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定义照护对象、家庭关系、照护事件、任务、处置记录、通知和关闭确认等核心对象</w:t>
            </w:r>
          </w:p>
        </w:tc>
      </w:tr>
      <w:t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事件闭环</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支持创建、派单、接单、转派、处置、升级、确认关闭、授权关闭和取消</w:t>
            </w:r>
          </w:p>
        </w:tc>
      </w:tr>
      <w:t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风险策略</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实现紧急、高风险和常规三级可解释风险分级及响应时限</w:t>
            </w:r>
          </w:p>
        </w:tc>
      </w:tr>
      <w:t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多角色协同</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提供家属、社区工作人员、社区响应人和管理员的演示登录与权限控制</w:t>
            </w:r>
          </w:p>
        </w:tc>
      </w:tr>
      <w:t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展示与复盘</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提供事件中心、对象档案、事件详情、模拟事件台、站内通知和统计看板</w:t>
            </w:r>
          </w:p>
        </w:tc>
      </w:tr>
      <w:tr>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工程质量</w:t>
            </w:r>
          </w:p>
        </w:tc>
        <w:tc>
          <w:tcPr>
            <w:tcW w:type="dxa" w:w="635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具备数据库迁移、演示数据重置、后端测试、前端测试和关键流程验证</w:t>
            </w:r>
          </w:p>
        </w:tc>
      </w:tr>
    </w:tbl>
    <w:p>
      <w:pPr>
        <w:spacing w:after="40"/>
      </w:pPr>
    </w:p>
    <w:p>
      <w:pPr>
        <w:pStyle w:val="Heading1"/>
        <w:keepNext/>
        <w:spacing w:before="320" w:after="140" w:line="300" w:lineRule="auto"/>
      </w:pPr>
      <w:r>
        <w:rPr>
          <w:rFonts w:ascii="黑体" w:hAnsi="黑体" w:eastAsia="黑体" w:cs="黑体"/>
          <w:b/>
          <w:color w:val="000000"/>
          <w:sz w:val="32"/>
        </w:rPr>
        <w:t>八、实施计划与阶段目标</w:t>
      </w:r>
    </w:p>
    <w:p>
      <w:pPr>
        <w:spacing w:before="100" w:after="100"/>
        <w:jc w:val="center"/>
      </w:pPr>
      <w:r>
        <w:rPr>
          <w:rFonts w:ascii="宋体" w:hAnsi="宋体" w:eastAsia="宋体" w:cs="宋体"/>
          <w:b w:val="0"/>
          <w:color w:val="000000"/>
          <w:sz w:val="24"/>
        </w:rPr>
        <w:t>表八 项目阶段计划</w:t>
      </w:r>
    </w:p>
    <w:tbl>
      <w:tblPr>
        <w:tblW w:type="auto" w:w="0"/>
        <w:jc w:val="center"/>
        <w:tblLayout w:type="fixed"/>
        <w:tblLook w:firstColumn="1" w:firstRow="1" w:lastColumn="0" w:lastRow="0" w:noHBand="0" w:noVBand="1" w:val="04A0"/>
      </w:tblPr>
      <w:tblGrid>
        <w:gridCol w:w="2183"/>
        <w:gridCol w:w="2183"/>
        <w:gridCol w:w="2183"/>
        <w:gridCol w:w="2183"/>
      </w:tblGrid>
      <w:tr>
        <w:trPr>
          <w:tblHeader w:val="true"/>
        </w:trPr>
        <w:tc>
          <w:tcPr>
            <w:tcW w:type="dxa" w:w="1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阶段</w:t>
            </w:r>
          </w:p>
        </w:tc>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周期</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工作重点</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验收结果</w:t>
            </w:r>
          </w:p>
        </w:tc>
      </w:tr>
      <w:tr>
        <w:tc>
          <w:tcPr>
            <w:tcW w:type="dxa" w:w="1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产品完善</w:t>
            </w:r>
          </w:p>
        </w:tc>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第一阶段</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根据企业命题细化事件规则、角色权限、界面文案和演示脚本</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形成稳定演示版本和项目申报材料</w:t>
            </w:r>
          </w:p>
        </w:tc>
      </w:tr>
      <w:tr>
        <w:tc>
          <w:tcPr>
            <w:tcW w:type="dxa" w:w="1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试点准备</w:t>
            </w:r>
          </w:p>
        </w:tc>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第二阶段</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完成企业场景调研、数据字段确认、人员清单和培训方案</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形成试点实施方案与配置模板</w:t>
            </w:r>
          </w:p>
        </w:tc>
      </w:tr>
      <w:tr>
        <w:tc>
          <w:tcPr>
            <w:tcW w:type="dxa" w:w="1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小范围验证</w:t>
            </w:r>
          </w:p>
        </w:tc>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第三阶段</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在授权范围内验证非敏感流程，采集使用反馈和过程指标</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形成试点复盘报告和迭代清单</w:t>
            </w:r>
          </w:p>
        </w:tc>
      </w:tr>
      <w:tr>
        <w:tc>
          <w:tcPr>
            <w:tcW w:type="dxa" w:w="13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产品复制</w:t>
            </w:r>
          </w:p>
        </w:tc>
        <w:tc>
          <w:tcPr>
            <w:tcW w:type="dxa" w:w="136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第四阶段</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沉淀部署手册、标准流程和服务支持机制</w:t>
            </w:r>
          </w:p>
        </w:tc>
        <w:tc>
          <w:tcPr>
            <w:tcW w:type="dxa" w:w="22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具备向同类社区和服务机构推广的条件</w:t>
            </w:r>
          </w:p>
        </w:tc>
      </w:tr>
    </w:tbl>
    <w:p>
      <w:pPr>
        <w:spacing w:after="40"/>
      </w:pPr>
    </w:p>
    <w:p>
      <w:pPr>
        <w:spacing w:line="360" w:lineRule="auto" w:after="120"/>
        <w:ind w:firstLine="480"/>
        <w:jc w:val="both"/>
      </w:pPr>
      <w:r>
        <w:rPr>
          <w:rFonts w:ascii="宋体" w:hAnsi="宋体" w:eastAsia="宋体" w:cs="宋体"/>
          <w:b w:val="0"/>
          <w:color w:val="000000"/>
          <w:sz w:val="24"/>
        </w:rPr>
        <w:t>各阶段以真实业务需求和合规要求为约束。涉及真实个人信息、外部设备或消息渠道的能力，必须在获得明确授权、完成安全评估并确定责任边界后再实施。</w:t>
      </w:r>
    </w:p>
    <w:p>
      <w:pPr>
        <w:pStyle w:val="Heading1"/>
        <w:keepNext/>
        <w:spacing w:before="320" w:after="140" w:line="300" w:lineRule="auto"/>
      </w:pPr>
      <w:r>
        <w:rPr>
          <w:rFonts w:ascii="黑体" w:hAnsi="黑体" w:eastAsia="黑体" w:cs="黑体"/>
          <w:b/>
          <w:color w:val="000000"/>
          <w:sz w:val="32"/>
        </w:rPr>
        <w:t>九、团队组织与项目管理</w:t>
      </w:r>
    </w:p>
    <w:p>
      <w:pPr>
        <w:spacing w:line="360" w:lineRule="auto" w:after="120"/>
        <w:ind w:firstLine="480"/>
        <w:jc w:val="both"/>
      </w:pPr>
      <w:r>
        <w:rPr>
          <w:rFonts w:ascii="宋体" w:hAnsi="宋体" w:eastAsia="宋体" w:cs="宋体"/>
          <w:b w:val="0"/>
          <w:color w:val="000000"/>
          <w:sz w:val="24"/>
        </w:rPr>
        <w:t>项目采用产品、技术、设计和运营协同的组织方式。团队成员信息以竞赛申报系统登记内容为准，项目内部按照需求确认、方案设计、研发实现、测试验证、材料撰写和试点沟通六类工作分工协作。</w:t>
      </w:r>
    </w:p>
    <w:p>
      <w:pPr>
        <w:spacing w:before="100" w:after="100"/>
        <w:jc w:val="center"/>
      </w:pPr>
      <w:r>
        <w:rPr>
          <w:rFonts w:ascii="宋体" w:hAnsi="宋体" w:eastAsia="宋体" w:cs="宋体"/>
          <w:b w:val="0"/>
          <w:color w:val="000000"/>
          <w:sz w:val="24"/>
        </w:rPr>
        <w:t>表九 团队组织与协作分工</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工作角色</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主要职责</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协作产出</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项目负责人</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统筹命题理解、进度安排、企业沟通和答辩组织</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项目计划、里程碑、答辩材料</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产品与业务成员</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梳理服务流程、角色权限和事件规则</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需求清单、流程图、试点方案</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技术成员</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完成系统架构、前后端开发、数据模型和测试</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可运行系统、技术文档、部署说明</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设计与运营成员</w:t>
            </w:r>
          </w:p>
        </w:tc>
        <w:tc>
          <w:tcPr>
            <w:tcW w:type="dxa" w:w="402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优化界面表达、演示脚本、用户培训和反馈整理</w:t>
            </w:r>
          </w:p>
        </w:tc>
        <w:tc>
          <w:tcPr>
            <w:tcW w:type="dxa" w:w="311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界面规范、演示材料、复盘报告</w:t>
            </w:r>
          </w:p>
        </w:tc>
      </w:tr>
    </w:tbl>
    <w:p>
      <w:pPr>
        <w:spacing w:after="40"/>
      </w:pPr>
    </w:p>
    <w:p>
      <w:pPr>
        <w:spacing w:line="360" w:lineRule="auto" w:after="120"/>
        <w:ind w:firstLine="480"/>
        <w:jc w:val="both"/>
      </w:pPr>
      <w:r>
        <w:rPr>
          <w:rFonts w:ascii="宋体" w:hAnsi="宋体" w:eastAsia="宋体" w:cs="宋体"/>
          <w:b w:val="0"/>
          <w:color w:val="000000"/>
          <w:sz w:val="24"/>
        </w:rPr>
        <w:t>项目管理采用阶段评审方式。每一阶段结束前，团队围绕功能完成度、流程可用性、数据安全、测试结果和材料一致性进行检查；重要流程变更需同步更新产品说明、技术说明和演示脚本，避免申报材料与实际系统不一致。</w:t>
      </w:r>
    </w:p>
    <w:p>
      <w:pPr>
        <w:pStyle w:val="Heading1"/>
        <w:keepNext/>
        <w:spacing w:before="320" w:after="140" w:line="300" w:lineRule="auto"/>
      </w:pPr>
      <w:r>
        <w:rPr>
          <w:rFonts w:ascii="黑体" w:hAnsi="黑体" w:eastAsia="黑体" w:cs="黑体"/>
          <w:b/>
          <w:color w:val="000000"/>
          <w:sz w:val="32"/>
        </w:rPr>
        <w:t>十、资金使用与预期成果</w:t>
      </w:r>
    </w:p>
    <w:p>
      <w:pPr>
        <w:pStyle w:val="Heading2"/>
        <w:keepNext/>
        <w:spacing w:before="200" w:after="100" w:line="300" w:lineRule="auto"/>
      </w:pPr>
      <w:r>
        <w:rPr>
          <w:rFonts w:ascii="黑体" w:hAnsi="黑体" w:eastAsia="黑体" w:cs="黑体"/>
          <w:b/>
          <w:color w:val="000000"/>
          <w:sz w:val="28"/>
        </w:rPr>
        <w:t>一  资金使用原则</w:t>
      </w:r>
    </w:p>
    <w:p>
      <w:pPr>
        <w:spacing w:line="360" w:lineRule="auto" w:after="120"/>
        <w:ind w:firstLine="480"/>
        <w:jc w:val="both"/>
      </w:pPr>
      <w:r>
        <w:rPr>
          <w:rFonts w:ascii="宋体" w:hAnsi="宋体" w:eastAsia="宋体" w:cs="宋体"/>
          <w:b w:val="0"/>
          <w:color w:val="000000"/>
          <w:sz w:val="24"/>
        </w:rPr>
        <w:t>项目资金如获得支持，将优先投入产品完善、试点部署、用户培训、数据安全、场景调研和运营验证，不用于与当前业务闭环无关的硬件堆砌或未经验证的功能扩张。具体金额根据竞赛支持、企业合作和团队实际情况另行制定。</w:t>
      </w:r>
    </w:p>
    <w:p>
      <w:pPr>
        <w:spacing w:before="100" w:after="100"/>
        <w:jc w:val="center"/>
      </w:pPr>
      <w:r>
        <w:rPr>
          <w:rFonts w:ascii="宋体" w:hAnsi="宋体" w:eastAsia="宋体" w:cs="宋体"/>
          <w:b w:val="0"/>
          <w:color w:val="000000"/>
          <w:sz w:val="24"/>
        </w:rPr>
        <w:t>表十 建议资金使用结构</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25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投入方向</w:t>
            </w:r>
          </w:p>
        </w:tc>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建议占比</w:t>
            </w:r>
          </w:p>
        </w:tc>
        <w:tc>
          <w:tcPr>
            <w:tcW w:type="dxa" w:w="470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主要用途</w:t>
            </w:r>
          </w:p>
        </w:tc>
      </w:tr>
      <w:tr>
        <w:tc>
          <w:tcPr>
            <w:tcW w:type="dxa" w:w="25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产品研发与体验优化</w:t>
            </w:r>
          </w:p>
        </w:tc>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百分之三十</w:t>
            </w:r>
          </w:p>
        </w:tc>
        <w:tc>
          <w:tcPr>
            <w:tcW w:type="dxa" w:w="470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功能完善、界面优化、测试与部署工具</w:t>
            </w:r>
          </w:p>
        </w:tc>
      </w:tr>
      <w:tr>
        <w:tc>
          <w:tcPr>
            <w:tcW w:type="dxa" w:w="25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场景调研与试点实施</w:t>
            </w:r>
          </w:p>
        </w:tc>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百分之二十五</w:t>
            </w:r>
          </w:p>
        </w:tc>
        <w:tc>
          <w:tcPr>
            <w:tcW w:type="dxa" w:w="470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企业沟通、流程梳理、培训与试点支持</w:t>
            </w:r>
          </w:p>
        </w:tc>
      </w:tr>
      <w:tr>
        <w:tc>
          <w:tcPr>
            <w:tcW w:type="dxa" w:w="25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数据安全与运维保障</w:t>
            </w:r>
          </w:p>
        </w:tc>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百分之十五</w:t>
            </w:r>
          </w:p>
        </w:tc>
        <w:tc>
          <w:tcPr>
            <w:tcW w:type="dxa" w:w="470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数据备份、安全评估、环境维护和技术支持</w:t>
            </w:r>
          </w:p>
        </w:tc>
      </w:tr>
      <w:tr>
        <w:tc>
          <w:tcPr>
            <w:tcW w:type="dxa" w:w="25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运营验证与材料沉淀</w:t>
            </w:r>
          </w:p>
        </w:tc>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百分之二十</w:t>
            </w:r>
          </w:p>
        </w:tc>
        <w:tc>
          <w:tcPr>
            <w:tcW w:type="dxa" w:w="470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用户反馈、复盘报告、标准化交付材料</w:t>
            </w:r>
          </w:p>
        </w:tc>
      </w:tr>
      <w:tr>
        <w:tc>
          <w:tcPr>
            <w:tcW w:type="dxa" w:w="25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风险预留</w:t>
            </w:r>
          </w:p>
        </w:tc>
        <w:tc>
          <w:tcPr>
            <w:tcW w:type="dxa" w:w="170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百分之十</w:t>
            </w:r>
          </w:p>
        </w:tc>
        <w:tc>
          <w:tcPr>
            <w:tcW w:type="dxa" w:w="470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试点过程中不可预见的合规、培训或部署成本</w:t>
            </w:r>
          </w:p>
        </w:tc>
      </w:tr>
    </w:tbl>
    <w:p>
      <w:pPr>
        <w:spacing w:after="40"/>
      </w:pPr>
    </w:p>
    <w:p>
      <w:pPr>
        <w:pStyle w:val="Heading2"/>
        <w:keepNext/>
        <w:spacing w:before="200" w:after="100" w:line="300" w:lineRule="auto"/>
      </w:pPr>
      <w:r>
        <w:rPr>
          <w:rFonts w:ascii="黑体" w:hAnsi="黑体" w:eastAsia="黑体" w:cs="黑体"/>
          <w:b/>
          <w:color w:val="000000"/>
          <w:sz w:val="28"/>
        </w:rPr>
        <w:t>二  预期成果</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形成可运行、可演示、可部署的社区照护事件协同系统。</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形成一老一小照护事件分类、风险分级、响应链路和处置记录的标准化流程。</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形成面向企业试点的部署手册、培训材料、演示脚本和复盘指标体系。</w:t>
      </w:r>
    </w:p>
    <w:p>
      <w:pPr>
        <w:spacing w:line="360" w:lineRule="auto" w:after="80"/>
        <w:ind w:left="420" w:hanging="283"/>
      </w:pPr>
      <w:r>
        <w:rPr>
          <w:rFonts w:ascii="宋体" w:hAnsi="宋体" w:eastAsia="宋体" w:cs="宋体"/>
          <w:b w:val="0"/>
          <w:color w:val="000000"/>
          <w:sz w:val="24"/>
        </w:rPr>
        <w:t xml:space="preserve">• </w:t>
      </w:r>
      <w:r>
        <w:rPr>
          <w:rFonts w:ascii="宋体" w:hAnsi="宋体" w:eastAsia="宋体" w:cs="宋体"/>
          <w:b w:val="0"/>
          <w:color w:val="000000"/>
          <w:sz w:val="24"/>
        </w:rPr>
        <w:t>在试点验证基础上沉淀可复制的社区服务数字化解决方案。</w:t>
      </w:r>
    </w:p>
    <w:p>
      <w:pPr>
        <w:pStyle w:val="Heading1"/>
        <w:keepNext/>
        <w:spacing w:before="320" w:after="140" w:line="300" w:lineRule="auto"/>
      </w:pPr>
      <w:r>
        <w:rPr>
          <w:rFonts w:ascii="黑体" w:hAnsi="黑体" w:eastAsia="黑体" w:cs="黑体"/>
          <w:b/>
          <w:color w:val="000000"/>
          <w:sz w:val="32"/>
        </w:rPr>
        <w:t>十一、风险控制与合规边界</w:t>
      </w:r>
    </w:p>
    <w:p>
      <w:pPr>
        <w:spacing w:before="100" w:after="100"/>
        <w:jc w:val="center"/>
      </w:pPr>
      <w:r>
        <w:rPr>
          <w:rFonts w:ascii="宋体" w:hAnsi="宋体" w:eastAsia="宋体" w:cs="宋体"/>
          <w:b w:val="0"/>
          <w:color w:val="000000"/>
          <w:sz w:val="24"/>
        </w:rPr>
        <w:t>表十一 主要风险与控制措施</w:t>
      </w:r>
    </w:p>
    <w:tbl>
      <w:tblPr>
        <w:tblW w:type="auto" w:w="0"/>
        <w:jc w:val="center"/>
        <w:tblLayout w:type="fixed"/>
        <w:tblLook w:firstColumn="1" w:firstRow="1" w:lastColumn="0" w:lastRow="0" w:noHBand="0" w:noVBand="1" w:val="04A0"/>
      </w:tblPr>
      <w:tblGrid>
        <w:gridCol w:w="2911"/>
        <w:gridCol w:w="2911"/>
        <w:gridCol w:w="2911"/>
      </w:tblGrid>
      <w:tr>
        <w:trPr>
          <w:tblHeader w:val="true"/>
        </w:trP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风险类别</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风险说明</w:t>
            </w:r>
          </w:p>
        </w:tc>
        <w:tc>
          <w:tcPr>
            <w:tcW w:type="dxa" w:w="36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24D" w:val="clear"/>
          </w:tcPr>
          <w:p>
            <w:pPr>
              <w:spacing w:before="0" w:after="0" w:line="300" w:lineRule="auto"/>
              <w:jc w:val="center"/>
            </w:pPr>
            <w:r/>
            <w:r>
              <w:rPr>
                <w:rFonts w:ascii="宋体" w:hAnsi="宋体" w:eastAsia="宋体" w:cs="宋体"/>
                <w:b/>
                <w:color w:val="FFFFFF"/>
                <w:sz w:val="24"/>
              </w:rPr>
              <w:t>控制措施</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业务边界风险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将协同工具误解为医疗诊断或专业应急替代服务</w:t>
            </w:r>
          </w:p>
        </w:tc>
        <w:tc>
          <w:tcPr>
            <w:tcW w:type="dxa" w:w="36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明确平台仅提供事件协同和人工确认，不输出医疗结论，不替代专业应急系统</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隐私与数据风险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照护对象信息涉及家庭关系和个人隐私</w:t>
            </w:r>
          </w:p>
        </w:tc>
        <w:tc>
          <w:tcPr>
            <w:tcW w:type="dxa" w:w="36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最小化采集、脱敏展示、角色权限控制、操作留痕和授权管理</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流程执行风险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线下人员职责不清可能导致事件仍被遗漏</w:t>
            </w:r>
          </w:p>
        </w:tc>
        <w:tc>
          <w:tcPr>
            <w:tcW w:type="dxa" w:w="36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在试点前确认响应链、责任人、时限和升级规则，定期复盘</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center"/>
            </w:pPr>
            <w:r/>
            <w:r>
              <w:rPr>
                <w:rFonts w:ascii="宋体" w:hAnsi="宋体" w:eastAsia="宋体" w:cs="宋体"/>
                <w:b w:val="0"/>
                <w:color w:val="000000"/>
                <w:sz w:val="24"/>
              </w:rPr>
              <w:t>技术稳定性风险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演示与试点环境可能出现服务中断或数据恢复需求</w:t>
            </w:r>
          </w:p>
        </w:tc>
        <w:tc>
          <w:tcPr>
            <w:tcW w:type="dxa" w:w="36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7F8" w:val="clear"/>
          </w:tcPr>
          <w:p>
            <w:pPr>
              <w:spacing w:before="0" w:after="0" w:line="300" w:lineRule="auto"/>
              <w:jc w:val="left"/>
            </w:pPr>
            <w:r/>
            <w:r>
              <w:rPr>
                <w:rFonts w:ascii="宋体" w:hAnsi="宋体" w:eastAsia="宋体" w:cs="宋体"/>
                <w:b w:val="0"/>
                <w:color w:val="000000"/>
                <w:sz w:val="24"/>
              </w:rPr>
              <w:t>提供数据库迁移、种子数据、演示重置和备份恢复方案</w:t>
            </w:r>
          </w:p>
        </w:tc>
      </w:tr>
      <w:tr>
        <w:tc>
          <w:tcPr>
            <w:tcW w:type="dxa" w:w="181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center"/>
            </w:pPr>
            <w:r/>
            <w:r>
              <w:rPr>
                <w:rFonts w:ascii="宋体" w:hAnsi="宋体" w:eastAsia="宋体" w:cs="宋体"/>
                <w:b w:val="0"/>
                <w:color w:val="000000"/>
                <w:sz w:val="24"/>
              </w:rPr>
              <w:t>推广适配风险</w:t>
            </w:r>
          </w:p>
        </w:tc>
        <w:tc>
          <w:tcPr>
            <w:tcW w:type="dxa" w:w="35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不同社区和企业的服务流程存在差异</w:t>
            </w:r>
          </w:p>
        </w:tc>
        <w:tc>
          <w:tcPr>
            <w:tcW w:type="dxa" w:w="36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300" w:lineRule="auto"/>
              <w:jc w:val="left"/>
            </w:pPr>
            <w:r/>
            <w:r>
              <w:rPr>
                <w:rFonts w:ascii="宋体" w:hAnsi="宋体" w:eastAsia="宋体" w:cs="宋体"/>
                <w:b w:val="0"/>
                <w:color w:val="000000"/>
                <w:sz w:val="24"/>
              </w:rPr>
              <w:t>采用可配置事件规则和分阶段试点，避免一次性大范围上线</w:t>
            </w:r>
          </w:p>
        </w:tc>
      </w:tr>
    </w:tbl>
    <w:p>
      <w:pPr>
        <w:spacing w:after="40"/>
      </w:pPr>
    </w:p>
    <w:p>
      <w:pPr>
        <w:spacing w:line="360" w:lineRule="auto" w:after="120"/>
        <w:ind w:firstLine="480"/>
        <w:jc w:val="both"/>
      </w:pPr>
      <w:r>
        <w:rPr>
          <w:rFonts w:ascii="宋体" w:hAnsi="宋体" w:eastAsia="宋体" w:cs="宋体"/>
          <w:b w:val="0"/>
          <w:color w:val="000000"/>
          <w:sz w:val="24"/>
        </w:rPr>
        <w:t>项目在后续落地过程中将严格遵守数据保护、个人信息处理和相关行业管理要求。涉及真实数据时，需由合作企业明确数据处理主体、授权方式、保存期限、访问范围和应急处置机制；在制度和技术措施完备前，不将演示环境直接用于真实敏感信息处理。</w:t>
      </w:r>
    </w:p>
    <w:p>
      <w:pPr>
        <w:pStyle w:val="Heading1"/>
        <w:keepNext/>
        <w:spacing w:before="320" w:after="140" w:line="300" w:lineRule="auto"/>
      </w:pPr>
      <w:r>
        <w:rPr>
          <w:rFonts w:ascii="黑体" w:hAnsi="黑体" w:eastAsia="黑体" w:cs="黑体"/>
          <w:b/>
          <w:color w:val="000000"/>
          <w:sz w:val="32"/>
        </w:rPr>
        <w:t>十二、结语</w:t>
      </w:r>
    </w:p>
    <w:p>
      <w:pPr>
        <w:spacing w:line="360" w:lineRule="auto" w:after="120"/>
        <w:ind w:firstLine="480"/>
        <w:jc w:val="both"/>
      </w:pPr>
      <w:r>
        <w:rPr>
          <w:rFonts w:ascii="宋体" w:hAnsi="宋体" w:eastAsia="宋体" w:cs="宋体"/>
          <w:b w:val="0"/>
          <w:color w:val="000000"/>
          <w:sz w:val="24"/>
        </w:rPr>
        <w:t>邻里智护以完整社区中的一老一小服务需求为切入点，聚焦最容易被忽视但最需要协同的照护事件处置过程。项目通过统一事件模型、可解释风险分级、责任驱动的任务流转和可追溯的关闭确认，把家属、社区和服务资源连接到一条清晰的协同链路中。</w:t>
      </w:r>
    </w:p>
    <w:p>
      <w:pPr>
        <w:spacing w:line="360" w:lineRule="auto" w:after="120"/>
        <w:ind w:firstLine="480"/>
        <w:jc w:val="both"/>
      </w:pPr>
      <w:r>
        <w:rPr>
          <w:rFonts w:ascii="宋体" w:hAnsi="宋体" w:eastAsia="宋体" w:cs="宋体"/>
          <w:b w:val="0"/>
          <w:color w:val="000000"/>
          <w:sz w:val="24"/>
        </w:rPr>
        <w:t>当前系统已具备可运行的演示基础，下一步将以企业实际场景为导向，围绕试点流程、人员培训、数据安全和运营评价持续打磨。项目希望成为社区服务机构的数字协同助手，让每一条需要关注的照护事件都能被看见、被响应、被记录并被妥善确认。</w:t>
      </w:r>
    </w:p>
    <w:p>
      <w:pPr>
        <w:pStyle w:val="Heading1"/>
        <w:keepNext/>
        <w:spacing w:before="320" w:after="140" w:line="300" w:lineRule="auto"/>
      </w:pPr>
      <w:r>
        <w:rPr>
          <w:rFonts w:ascii="黑体" w:hAnsi="黑体" w:eastAsia="黑体" w:cs="黑体"/>
          <w:b/>
          <w:color w:val="000000"/>
          <w:sz w:val="32"/>
        </w:rPr>
        <w:t>参考资料</w:t>
      </w:r>
    </w:p>
    <w:p>
      <w:pPr>
        <w:spacing w:line="360" w:lineRule="auto" w:after="120"/>
        <w:jc w:val="both"/>
      </w:pPr>
      <w:r>
        <w:rPr>
          <w:rFonts w:ascii="宋体" w:hAnsi="宋体" w:eastAsia="宋体" w:cs="宋体"/>
          <w:b w:val="0"/>
          <w:color w:val="000000"/>
          <w:sz w:val="24"/>
        </w:rPr>
        <w:t>一、住房和城乡建设部办公厅：《完整居住社区建设指南》。</w:t>
      </w:r>
    </w:p>
    <w:p>
      <w:pPr>
        <w:spacing w:line="360" w:lineRule="auto" w:after="120"/>
        <w:jc w:val="both"/>
      </w:pPr>
      <w:r>
        <w:rPr>
          <w:rFonts w:ascii="宋体" w:hAnsi="宋体" w:eastAsia="宋体" w:cs="宋体"/>
          <w:b w:val="0"/>
          <w:color w:val="000000"/>
          <w:sz w:val="24"/>
        </w:rPr>
        <w:t>二、国家发展改革委：一老一小服务高质量发展相关公开资料。</w:t>
      </w:r>
    </w:p>
    <w:p>
      <w:pPr>
        <w:spacing w:line="360" w:lineRule="auto" w:after="120"/>
        <w:jc w:val="both"/>
      </w:pPr>
      <w:r>
        <w:rPr>
          <w:rFonts w:ascii="宋体" w:hAnsi="宋体" w:eastAsia="宋体" w:cs="宋体"/>
          <w:b w:val="0"/>
          <w:color w:val="000000"/>
          <w:sz w:val="24"/>
        </w:rPr>
        <w:t>三、《邻里智护第一阶段产品设计方案》。</w:t>
      </w:r>
    </w:p>
    <w:p>
      <w:pPr>
        <w:spacing w:line="360" w:lineRule="auto" w:after="120"/>
        <w:jc w:val="both"/>
      </w:pPr>
      <w:r>
        <w:rPr>
          <w:rFonts w:ascii="宋体" w:hAnsi="宋体" w:eastAsia="宋体" w:cs="宋体"/>
          <w:b w:val="0"/>
          <w:color w:val="000000"/>
          <w:sz w:val="24"/>
        </w:rPr>
        <w:t>四、《邻里智护第一阶段技术架构方案》。</w:t>
      </w:r>
    </w:p>
    <w:p>
      <w:pPr>
        <w:spacing w:line="360" w:lineRule="auto" w:after="120"/>
        <w:jc w:val="both"/>
      </w:pPr>
      <w:r>
        <w:rPr>
          <w:rFonts w:ascii="宋体" w:hAnsi="宋体" w:eastAsia="宋体" w:cs="宋体"/>
          <w:b w:val="0"/>
          <w:color w:val="000000"/>
          <w:sz w:val="24"/>
        </w:rPr>
        <w:t>五、《邻里智护竞品调研与轻量产品方案》。</w:t>
      </w:r>
    </w:p>
    <w:sectPr w:rsidR="00FC693F" w:rsidRPr="0006063C" w:rsidSect="00034616">
      <w:headerReference w:type="default" r:id="rId9"/>
      <w:footerReference w:type="default" r:id="rId10"/>
      <w:pgSz w:w="11906" w:h="16838"/>
      <w:pgMar w:top="1440" w:right="1587" w:bottom="1361" w:left="158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宋体" w:hAnsi="宋体" w:eastAsia="宋体" w:cs="宋体"/>
        <w:b w:val="0"/>
        <w:color w:val="000000"/>
        <w:sz w:val="18"/>
      </w:rPr>
      <w:t xml:space="preserve">第 </w:t>
    </w:r>
    <w:r>
      <w:rPr>
        <w:rFonts w:ascii="宋体" w:hAnsi="宋体" w:eastAsia="宋体" w:cs="宋体"/>
        <w:b w:val="0"/>
        <w:color w:val="000000"/>
        <w:sz w:val="18"/>
      </w:rPr>
      <w:fldChar w:fldCharType="begin"/>
      <w:instrText xml:space="preserve"> PAGE </w:instrText>
      <w:fldChar w:fldCharType="separate"/>
      <w:t>1</w:t>
      <w:fldChar w:fldCharType="end"/>
    </w:r>
    <w:r>
      <w:rPr>
        <w:rFonts w:ascii="宋体" w:hAnsi="宋体" w:eastAsia="宋体" w:cs="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宋体" w:hAnsi="宋体" w:eastAsia="宋体" w:cs="宋体"/>
        <w:b w:val="0"/>
        <w:color w:val="000000"/>
        <w:sz w:val="18"/>
      </w:rPr>
      <w:t>邻里智护项目计划书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邻里智护项目计划书</dc:title>
  <dc:subject>完整社区老年人与儿童照护事件闭环及应急协同平台</dc:subject>
  <dc:creator>邻里智护项目团队</dc:creator>
  <cp:keywords>完整社区 一老一小 照护事件 协同平台</cp:keywords>
  <dc:description>generated by python-docx</dc:description>
  <cp:lastModifiedBy/>
  <cp:revision>1</cp:revision>
  <dcterms:created xsi:type="dcterms:W3CDTF">2013-12-23T23:15:00Z</dcterms:created>
  <dcterms:modified xsi:type="dcterms:W3CDTF">2013-12-23T23:15:00Z</dcterms:modified>
  <cp:category/>
</cp:coreProperties>
</file>