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94005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</w:pPr>
    </w:p>
    <w:p w14:paraId="1AB33011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嵌入式操作系统及应用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》</w:t>
      </w:r>
    </w:p>
    <w:p w14:paraId="11FDC499">
      <w:pPr>
        <w:jc w:val="center"/>
        <w:rPr>
          <w:rFonts w:hint="eastAsia" w:ascii="微软雅黑" w:hAnsi="微软雅黑" w:eastAsia="微软雅黑" w:cs="微软雅黑"/>
          <w:b/>
          <w:bCs/>
          <w:kern w:val="0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240"/>
          <w:w w:val="100"/>
          <w:kern w:val="0"/>
          <w:sz w:val="72"/>
          <w:szCs w:val="72"/>
          <w:fitText w:val="4320" w:id="1264585153"/>
          <w:lang w:val="en-US" w:eastAsia="zh-CN"/>
        </w:rPr>
        <w:t>课程标</w:t>
      </w:r>
      <w:r>
        <w:rPr>
          <w:rFonts w:hint="eastAsia" w:ascii="微软雅黑" w:hAnsi="微软雅黑" w:eastAsia="微软雅黑" w:cs="微软雅黑"/>
          <w:b/>
          <w:bCs/>
          <w:spacing w:val="0"/>
          <w:w w:val="100"/>
          <w:kern w:val="0"/>
          <w:sz w:val="72"/>
          <w:szCs w:val="72"/>
          <w:fitText w:val="4320" w:id="1264585153"/>
          <w:lang w:val="en-US" w:eastAsia="zh-CN"/>
        </w:rPr>
        <w:t>准</w:t>
      </w:r>
    </w:p>
    <w:p w14:paraId="125386F8">
      <w:pPr>
        <w:jc w:val="center"/>
        <w:rPr>
          <w:rFonts w:hint="eastAsia" w:ascii="微软雅黑" w:hAnsi="微软雅黑" w:eastAsia="微软雅黑" w:cs="微软雅黑"/>
          <w:b/>
          <w:bCs/>
          <w:w w:val="100"/>
          <w:sz w:val="48"/>
          <w:szCs w:val="48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1035050</wp:posOffset>
            </wp:positionH>
            <wp:positionV relativeFrom="paragraph">
              <wp:posOffset>19050</wp:posOffset>
            </wp:positionV>
            <wp:extent cx="3075940" cy="3406775"/>
            <wp:effectExtent l="0" t="0" r="0" b="0"/>
            <wp:wrapNone/>
            <wp:docPr id="1" name="图片 1" descr="福信LOGO陈宝琛体4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福信LOGO陈宝琛体4_画板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B1497">
      <w:pPr>
        <w:ind w:firstLine="2570" w:firstLineChars="8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0167E7C2">
      <w:pPr>
        <w:ind w:firstLine="2570" w:firstLineChars="8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2FFDC9E9">
      <w:pPr>
        <w:ind w:firstLine="2570" w:firstLineChars="8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07558405">
      <w:pPr>
        <w:ind w:firstLine="2570" w:firstLineChars="8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5961854C">
      <w:pPr>
        <w:ind w:firstLine="2570" w:firstLineChars="8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7904D490">
      <w:pPr>
        <w:ind w:firstLine="2570" w:firstLineChars="8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427047A3">
      <w:pPr>
        <w:ind w:firstLine="2570" w:firstLineChars="8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38D295C3">
      <w:pPr>
        <w:ind w:firstLine="2570" w:firstLineChars="8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3A8E30C7">
      <w:pPr>
        <w:ind w:firstLine="2570" w:firstLineChars="8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117B9AEA">
      <w:pPr>
        <w:ind w:firstLine="2570" w:firstLineChars="8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62B2FD6A">
      <w:pPr>
        <w:ind w:firstLine="2570" w:firstLineChars="8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0833938A">
      <w:pPr>
        <w:ind w:firstLine="2570" w:firstLineChars="800"/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506D511E">
      <w:pPr>
        <w:ind w:firstLine="1925" w:firstLineChars="400"/>
        <w:jc w:val="left"/>
        <w:rPr>
          <w:rFonts w:hint="default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/>
          <w:b/>
          <w:bCs/>
          <w:spacing w:val="80"/>
          <w:kern w:val="0"/>
          <w:sz w:val="32"/>
          <w:szCs w:val="32"/>
          <w:fitText w:val="2240" w:id="356410898"/>
          <w:lang w:val="en-US" w:eastAsia="zh-CN"/>
        </w:rPr>
        <w:t>开设学院</w:t>
      </w:r>
      <w:r>
        <w:rPr>
          <w:rFonts w:hint="eastAsia"/>
          <w:b/>
          <w:bCs/>
          <w:spacing w:val="0"/>
          <w:kern w:val="0"/>
          <w:sz w:val="32"/>
          <w:szCs w:val="32"/>
          <w:fitText w:val="2240" w:id="356410898"/>
          <w:lang w:val="en-US" w:eastAsia="zh-CN"/>
        </w:rPr>
        <w:t>：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物联网与人工智能学院 </w:t>
      </w:r>
    </w:p>
    <w:p w14:paraId="2A709BAE">
      <w:pPr>
        <w:ind w:firstLine="1925" w:firstLineChars="400"/>
        <w:jc w:val="left"/>
        <w:rPr>
          <w:rFonts w:hint="eastAsia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/>
          <w:b/>
          <w:bCs/>
          <w:spacing w:val="80"/>
          <w:w w:val="100"/>
          <w:kern w:val="0"/>
          <w:sz w:val="32"/>
          <w:szCs w:val="32"/>
          <w:fitText w:val="2240" w:id="868315166"/>
          <w:lang w:val="en-US" w:eastAsia="zh-CN"/>
        </w:rPr>
        <w:t>任课教师</w:t>
      </w:r>
      <w:r>
        <w:rPr>
          <w:rFonts w:hint="eastAsia"/>
          <w:b/>
          <w:bCs/>
          <w:spacing w:val="0"/>
          <w:w w:val="100"/>
          <w:kern w:val="0"/>
          <w:sz w:val="32"/>
          <w:szCs w:val="32"/>
          <w:fitText w:val="2240" w:id="868315166"/>
          <w:lang w:val="en-US" w:eastAsia="zh-CN"/>
        </w:rPr>
        <w:t>：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郑俊强              </w:t>
      </w:r>
    </w:p>
    <w:p w14:paraId="0A64383C">
      <w:pPr>
        <w:rPr>
          <w:rFonts w:ascii="方正楷体简体" w:eastAsia="方正楷体简体"/>
          <w:b/>
        </w:rPr>
      </w:pPr>
      <w:r>
        <w:rPr>
          <w:rFonts w:ascii="方正楷体简体" w:eastAsia="方正楷体简体"/>
          <w:b/>
        </w:rPr>
        <w:br w:type="page"/>
      </w:r>
    </w:p>
    <w:p w14:paraId="4953BB2E">
      <w:pPr>
        <w:pStyle w:val="21"/>
        <w:rPr>
          <w:rFonts w:ascii="方正楷体简体" w:eastAsia="方正楷体简体"/>
          <w:b/>
        </w:rPr>
      </w:pPr>
      <w:r>
        <w:rPr>
          <w:rFonts w:ascii="方正楷体简体" w:eastAsia="方正楷体简体"/>
          <w:b/>
        </w:rPr>
        <w:t>《</w:t>
      </w:r>
      <w:r>
        <w:rPr>
          <w:rFonts w:hint="eastAsia" w:ascii="方正楷体简体" w:eastAsia="方正楷体简体"/>
          <w:b/>
          <w:lang w:val="en-US" w:eastAsia="zh-CN"/>
        </w:rPr>
        <w:t>嵌入式操作系统及应用</w:t>
      </w:r>
      <w:r>
        <w:rPr>
          <w:rFonts w:ascii="方正楷体简体" w:eastAsia="方正楷体简体"/>
          <w:b/>
        </w:rPr>
        <w:t>》</w:t>
      </w:r>
    </w:p>
    <w:p w14:paraId="46DB3419">
      <w:pPr>
        <w:pStyle w:val="21"/>
      </w:pPr>
      <w:r>
        <w:rPr>
          <w:rFonts w:ascii="方正楷体简体" w:eastAsia="方正楷体简体"/>
          <w:b/>
        </w:rPr>
        <w:t>课程标准</w:t>
      </w:r>
    </w:p>
    <w:p w14:paraId="626A8589">
      <w:pPr>
        <w:jc w:val="left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一、课程信息</w:t>
      </w:r>
    </w:p>
    <w:p w14:paraId="2B91CC89">
      <w:pPr>
        <w:jc w:val="center"/>
        <w:rPr>
          <w:rFonts w:ascii="宋体" w:hAnsi="宋体"/>
          <w:b/>
          <w:bCs/>
          <w:color w:val="000000"/>
          <w:szCs w:val="21"/>
        </w:rPr>
      </w:pPr>
      <w:r>
        <w:rPr>
          <w:rFonts w:hint="eastAsia" w:ascii="宋体" w:hAnsi="宋体"/>
          <w:b/>
          <w:bCs/>
          <w:color w:val="000000"/>
          <w:szCs w:val="21"/>
        </w:rPr>
        <w:t>表1 课程信息表</w:t>
      </w:r>
    </w:p>
    <w:tbl>
      <w:tblPr>
        <w:tblStyle w:val="12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501"/>
        <w:gridCol w:w="1559"/>
        <w:gridCol w:w="11"/>
        <w:gridCol w:w="1519"/>
        <w:gridCol w:w="29"/>
        <w:gridCol w:w="1429"/>
        <w:gridCol w:w="1512"/>
      </w:tblGrid>
      <w:tr w14:paraId="0EAD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188" w:type="dxa"/>
            <w:vAlign w:val="center"/>
          </w:tcPr>
          <w:p w14:paraId="13606F9A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课程名称</w:t>
            </w:r>
          </w:p>
        </w:tc>
        <w:tc>
          <w:tcPr>
            <w:tcW w:w="3060" w:type="dxa"/>
            <w:gridSpan w:val="2"/>
            <w:vAlign w:val="center"/>
          </w:tcPr>
          <w:p w14:paraId="75A61386"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嵌入式操作系统及应用</w:t>
            </w:r>
          </w:p>
        </w:tc>
        <w:tc>
          <w:tcPr>
            <w:tcW w:w="1530" w:type="dxa"/>
            <w:gridSpan w:val="2"/>
            <w:vAlign w:val="center"/>
          </w:tcPr>
          <w:p w14:paraId="7F47FECD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课程代码</w:t>
            </w:r>
          </w:p>
        </w:tc>
        <w:tc>
          <w:tcPr>
            <w:tcW w:w="2970" w:type="dxa"/>
            <w:gridSpan w:val="3"/>
            <w:vAlign w:val="center"/>
          </w:tcPr>
          <w:p w14:paraId="0806F9E2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F6FA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88" w:type="dxa"/>
            <w:vAlign w:val="center"/>
          </w:tcPr>
          <w:p w14:paraId="6DC3F9AC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学分</w:t>
            </w:r>
          </w:p>
        </w:tc>
        <w:tc>
          <w:tcPr>
            <w:tcW w:w="1501" w:type="dxa"/>
            <w:vAlign w:val="center"/>
          </w:tcPr>
          <w:p w14:paraId="124E2117"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559" w:type="dxa"/>
            <w:vAlign w:val="center"/>
          </w:tcPr>
          <w:p w14:paraId="5A582E85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总学时</w:t>
            </w:r>
          </w:p>
        </w:tc>
        <w:tc>
          <w:tcPr>
            <w:tcW w:w="1530" w:type="dxa"/>
            <w:gridSpan w:val="2"/>
            <w:vAlign w:val="center"/>
          </w:tcPr>
          <w:p w14:paraId="03FD82E1"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64</w:t>
            </w:r>
          </w:p>
        </w:tc>
        <w:tc>
          <w:tcPr>
            <w:tcW w:w="1458" w:type="dxa"/>
            <w:gridSpan w:val="2"/>
            <w:vAlign w:val="center"/>
          </w:tcPr>
          <w:p w14:paraId="2F92AE0F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开课学期</w:t>
            </w:r>
          </w:p>
        </w:tc>
        <w:tc>
          <w:tcPr>
            <w:tcW w:w="1512" w:type="dxa"/>
            <w:vAlign w:val="center"/>
          </w:tcPr>
          <w:p w14:paraId="292C3165"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7</w:t>
            </w:r>
          </w:p>
        </w:tc>
      </w:tr>
      <w:tr w14:paraId="4E4C7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88" w:type="dxa"/>
            <w:vAlign w:val="center"/>
          </w:tcPr>
          <w:p w14:paraId="36EA0116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课程类型</w:t>
            </w:r>
            <w:r>
              <w:rPr>
                <w:rFonts w:hint="eastAsia" w:ascii="宋体" w:hAnsi="宋体" w:cs="宋体"/>
                <w:color w:val="000000"/>
                <w:szCs w:val="21"/>
                <w:vertAlign w:val="superscript"/>
              </w:rPr>
              <w:t>1</w:t>
            </w:r>
          </w:p>
        </w:tc>
        <w:tc>
          <w:tcPr>
            <w:tcW w:w="1501" w:type="dxa"/>
            <w:vAlign w:val="center"/>
          </w:tcPr>
          <w:p w14:paraId="26D98E23"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理实一体课</w:t>
            </w:r>
          </w:p>
        </w:tc>
        <w:tc>
          <w:tcPr>
            <w:tcW w:w="1559" w:type="dxa"/>
            <w:vAlign w:val="center"/>
          </w:tcPr>
          <w:p w14:paraId="1E4B158D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课程性质</w:t>
            </w:r>
            <w:r>
              <w:rPr>
                <w:rFonts w:hint="eastAsia" w:ascii="宋体" w:hAnsi="宋体" w:cs="宋体"/>
                <w:color w:val="000000"/>
                <w:szCs w:val="21"/>
                <w:vertAlign w:val="superscript"/>
              </w:rPr>
              <w:t>2</w:t>
            </w:r>
          </w:p>
        </w:tc>
        <w:tc>
          <w:tcPr>
            <w:tcW w:w="1530" w:type="dxa"/>
            <w:gridSpan w:val="2"/>
            <w:vAlign w:val="center"/>
          </w:tcPr>
          <w:p w14:paraId="30EE92E3"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  <w:t>专业能力课程</w:t>
            </w:r>
          </w:p>
        </w:tc>
        <w:tc>
          <w:tcPr>
            <w:tcW w:w="1458" w:type="dxa"/>
            <w:gridSpan w:val="2"/>
            <w:vAlign w:val="center"/>
          </w:tcPr>
          <w:p w14:paraId="032EAE8F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核心课程</w:t>
            </w:r>
          </w:p>
        </w:tc>
        <w:tc>
          <w:tcPr>
            <w:tcW w:w="1512" w:type="dxa"/>
            <w:vAlign w:val="center"/>
          </w:tcPr>
          <w:p w14:paraId="30EB4F42"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是</w:t>
            </w:r>
            <w:r>
              <w:rPr>
                <w:rFonts w:hint="eastAsia" w:ascii="宋体" w:hAnsi="宋体" w:cs="宋体"/>
                <w:color w:val="000000"/>
                <w:szCs w:val="21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 xml:space="preserve"> 否</w:t>
            </w:r>
            <w:r>
              <w:rPr>
                <w:rFonts w:hint="eastAsia" w:ascii="宋体" w:hAnsi="宋体" w:cs="宋体"/>
                <w:color w:val="000000"/>
                <w:szCs w:val="21"/>
                <w:lang w:eastAsia="zh-CN"/>
              </w:rPr>
              <w:t>☑</w:t>
            </w:r>
          </w:p>
        </w:tc>
      </w:tr>
      <w:tr w14:paraId="39E71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188" w:type="dxa"/>
            <w:vAlign w:val="center"/>
          </w:tcPr>
          <w:p w14:paraId="64B9C51D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适用专业</w:t>
            </w:r>
          </w:p>
        </w:tc>
        <w:tc>
          <w:tcPr>
            <w:tcW w:w="7560" w:type="dxa"/>
            <w:gridSpan w:val="7"/>
            <w:vAlign w:val="center"/>
          </w:tcPr>
          <w:p w14:paraId="45CBE398"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物联网应用技术</w:t>
            </w:r>
          </w:p>
        </w:tc>
      </w:tr>
      <w:tr w14:paraId="689C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188" w:type="dxa"/>
            <w:vAlign w:val="center"/>
          </w:tcPr>
          <w:p w14:paraId="5C856CD7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开课单位</w:t>
            </w:r>
          </w:p>
        </w:tc>
        <w:tc>
          <w:tcPr>
            <w:tcW w:w="7560" w:type="dxa"/>
            <w:gridSpan w:val="7"/>
            <w:vAlign w:val="center"/>
          </w:tcPr>
          <w:p w14:paraId="05AD68D9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物联网与人工智能学院物联网应用技术教研室</w:t>
            </w:r>
          </w:p>
        </w:tc>
      </w:tr>
      <w:tr w14:paraId="614AA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188" w:type="dxa"/>
            <w:vAlign w:val="center"/>
          </w:tcPr>
          <w:p w14:paraId="1EBB5684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合作开发企业</w:t>
            </w:r>
          </w:p>
        </w:tc>
        <w:tc>
          <w:tcPr>
            <w:tcW w:w="7560" w:type="dxa"/>
            <w:gridSpan w:val="7"/>
            <w:vAlign w:val="center"/>
          </w:tcPr>
          <w:p w14:paraId="13F2B65C"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</w:p>
        </w:tc>
      </w:tr>
      <w:tr w14:paraId="21D0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188" w:type="dxa"/>
            <w:vAlign w:val="center"/>
          </w:tcPr>
          <w:p w14:paraId="2D504BB2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执笔人</w:t>
            </w:r>
          </w:p>
        </w:tc>
        <w:tc>
          <w:tcPr>
            <w:tcW w:w="3071" w:type="dxa"/>
            <w:gridSpan w:val="3"/>
            <w:vAlign w:val="center"/>
          </w:tcPr>
          <w:p w14:paraId="7C74A44E"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郑俊强</w:t>
            </w:r>
          </w:p>
        </w:tc>
        <w:tc>
          <w:tcPr>
            <w:tcW w:w="1548" w:type="dxa"/>
            <w:gridSpan w:val="2"/>
            <w:vAlign w:val="center"/>
          </w:tcPr>
          <w:p w14:paraId="76A2EBC7">
            <w:pPr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审核人</w:t>
            </w:r>
          </w:p>
        </w:tc>
        <w:tc>
          <w:tcPr>
            <w:tcW w:w="2941" w:type="dxa"/>
            <w:gridSpan w:val="2"/>
            <w:vAlign w:val="center"/>
          </w:tcPr>
          <w:p w14:paraId="15C31FFC"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王洪</w:t>
            </w:r>
          </w:p>
        </w:tc>
      </w:tr>
    </w:tbl>
    <w:p w14:paraId="0DCCC5F3">
      <w:pPr>
        <w:snapToGrid w:val="0"/>
        <w:spacing w:line="360" w:lineRule="auto"/>
        <w:rPr>
          <w:rFonts w:ascii="宋体" w:hAnsi="宋体" w:cs="宋体"/>
          <w:color w:val="000000"/>
          <w:szCs w:val="21"/>
        </w:rPr>
      </w:pPr>
      <w:r>
        <w:rPr>
          <w:rFonts w:hint="eastAsia"/>
        </w:rPr>
        <w:t>注1：课程类型指</w:t>
      </w:r>
      <w:r>
        <w:rPr>
          <w:rFonts w:hint="eastAsia" w:ascii="宋体" w:hAnsi="宋体" w:cs="宋体"/>
          <w:color w:val="000000"/>
          <w:szCs w:val="21"/>
        </w:rPr>
        <w:t>理论课/理实一体课/纯实践课</w:t>
      </w:r>
    </w:p>
    <w:p w14:paraId="49A7ADC3">
      <w:pPr>
        <w:pStyle w:val="3"/>
        <w:snapToGrid w:val="0"/>
        <w:spacing w:line="360" w:lineRule="auto"/>
        <w:ind w:left="0" w:leftChars="0"/>
      </w:pPr>
      <w:r>
        <w:rPr>
          <w:rFonts w:hint="eastAsia"/>
        </w:rPr>
        <w:t>注2：课程性质指公共基础课程/专业（群）基础课程/专业能力课程/职业能力模块课程/素质拓展课程</w:t>
      </w:r>
    </w:p>
    <w:p w14:paraId="7E0AE148">
      <w:pPr>
        <w:snapToGrid w:val="0"/>
        <w:spacing w:line="360" w:lineRule="auto"/>
        <w:jc w:val="left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二、课程性质与任务</w:t>
      </w:r>
    </w:p>
    <w:p w14:paraId="38F53F94">
      <w:pPr>
        <w:pStyle w:val="3"/>
        <w:numPr>
          <w:numId w:val="0"/>
        </w:numPr>
        <w:tabs>
          <w:tab w:val="right" w:pos="8306"/>
        </w:tabs>
        <w:snapToGrid w:val="0"/>
        <w:spacing w:line="360" w:lineRule="auto"/>
        <w:ind w:leftChars="0"/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  <w:lang w:eastAsia="zh-CN"/>
        </w:rPr>
        <w:t>（</w:t>
      </w:r>
      <w:r>
        <w:rPr>
          <w:rFonts w:hint="eastAsia" w:ascii="黑体" w:hAnsi="黑体" w:eastAsia="黑体"/>
          <w:sz w:val="24"/>
          <w:lang w:val="en-US" w:eastAsia="zh-CN"/>
        </w:rPr>
        <w:t>一</w:t>
      </w:r>
      <w:r>
        <w:rPr>
          <w:rFonts w:hint="eastAsia" w:ascii="黑体" w:hAnsi="黑体" w:eastAsia="黑体"/>
          <w:sz w:val="24"/>
          <w:lang w:eastAsia="zh-CN"/>
        </w:rPr>
        <w:t>）</w:t>
      </w:r>
      <w:r>
        <w:rPr>
          <w:rFonts w:hint="eastAsia" w:ascii="黑体" w:hAnsi="黑体" w:eastAsia="黑体"/>
          <w:sz w:val="24"/>
        </w:rPr>
        <w:t>课程</w:t>
      </w:r>
      <w:r>
        <w:rPr>
          <w:rFonts w:hint="eastAsia" w:ascii="方正楷体简体" w:eastAsia="方正楷体简体"/>
          <w:sz w:val="24"/>
        </w:rPr>
        <w:t>性质</w:t>
      </w:r>
    </w:p>
    <w:p w14:paraId="30A7E6C5">
      <w:pPr>
        <w:ind w:firstLine="576" w:firstLineChars="300"/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本课程是物联网应用技术专业开设的</w:t>
      </w:r>
      <w:r>
        <w:rPr>
          <w:rStyle w:val="1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理实一体类专业能力课程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，是衔接专业基础课程与岗位实践的核心桥梁。课程聚焦嵌入式操作系统（以鸿蒙系统为核心）的开发与应用，将理论知识与实操技能深度融合，既是对前期《物联网硬件基础》《程序设计基础》等课程的知识深化，也是培养学生面向鸿蒙应用开发、物联网终端设备调试等岗位能力的关键课程，为学生后续进入嵌入式开发、物联网系统集成等领域就业奠定技术基础。</w:t>
      </w:r>
    </w:p>
    <w:p w14:paraId="42755705">
      <w:pPr>
        <w:pStyle w:val="3"/>
        <w:numPr>
          <w:numId w:val="0"/>
        </w:numPr>
        <w:tabs>
          <w:tab w:val="right" w:pos="8306"/>
        </w:tabs>
        <w:snapToGrid w:val="0"/>
        <w:spacing w:line="360" w:lineRule="auto"/>
        <w:ind w:leftChars="0"/>
        <w:rPr>
          <w:rFonts w:ascii="方正楷体简体" w:eastAsia="方正楷体简体"/>
          <w:sz w:val="24"/>
        </w:rPr>
      </w:pPr>
      <w:r>
        <w:rPr>
          <w:rFonts w:hint="eastAsia" w:ascii="黑体" w:hAnsi="黑体" w:eastAsia="黑体"/>
          <w:sz w:val="24"/>
          <w:lang w:eastAsia="zh-CN"/>
        </w:rPr>
        <w:t>（</w:t>
      </w:r>
      <w:r>
        <w:rPr>
          <w:rFonts w:hint="eastAsia" w:ascii="黑体" w:hAnsi="黑体" w:eastAsia="黑体"/>
          <w:sz w:val="24"/>
          <w:lang w:val="en-US" w:eastAsia="zh-CN"/>
        </w:rPr>
        <w:t>二</w:t>
      </w:r>
      <w:r>
        <w:rPr>
          <w:rFonts w:hint="eastAsia" w:ascii="黑体" w:hAnsi="黑体" w:eastAsia="黑体"/>
          <w:sz w:val="24"/>
          <w:lang w:eastAsia="zh-CN"/>
        </w:rPr>
        <w:t>）</w:t>
      </w:r>
      <w:r>
        <w:rPr>
          <w:rFonts w:hint="eastAsia" w:ascii="方正楷体简体" w:eastAsia="方正楷体简体"/>
          <w:sz w:val="24"/>
        </w:rPr>
        <w:t>课程任务</w:t>
      </w:r>
    </w:p>
    <w:p w14:paraId="05E6B133">
      <w:pPr>
        <w:numPr>
          <w:ilvl w:val="0"/>
          <w:numId w:val="3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帮助学生掌握嵌入式操作系统（鸿蒙）的核心原理，包括任务调度、内存管理、外设驱动等基础理论；</w:t>
      </w:r>
    </w:p>
    <w:p w14:paraId="1745888C">
      <w:pPr>
        <w:numPr>
          <w:ilvl w:val="0"/>
          <w:numId w:val="3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培养学生熟练使用Ubuntu开发环境、鸿蒙编译工具、远程连接与文件映射等工具的实操能力，能独立完成嵌入式系统环境搭建与调试；</w:t>
      </w:r>
    </w:p>
    <w:p w14:paraId="277A5D20">
      <w:pPr>
        <w:numPr>
          <w:ilvl w:val="0"/>
          <w:numId w:val="3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指导学生掌握信号量、定时器、TCP/UDP通信、GPIO控制等嵌入式开发核心技术，以及MQTT协议、云平台对接（华为云IoT、通鸿联网平台）的实战技能；</w:t>
      </w:r>
    </w:p>
    <w:p w14:paraId="483F2E4F">
      <w:pPr>
        <w:numPr>
          <w:ilvl w:val="0"/>
          <w:numId w:val="3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通过智慧井盖、智慧路灯等物联网应用案例开发，提升学生解决实际工程问题的能力，同时融入思政元素，培养学生的职业素养与家国情怀。</w:t>
      </w:r>
    </w:p>
    <w:p w14:paraId="79E7BC53">
      <w:pPr>
        <w:pStyle w:val="3"/>
        <w:numPr>
          <w:numId w:val="0"/>
        </w:numPr>
        <w:tabs>
          <w:tab w:val="right" w:pos="8306"/>
        </w:tabs>
        <w:snapToGrid w:val="0"/>
        <w:spacing w:line="360" w:lineRule="auto"/>
        <w:rPr>
          <w:rFonts w:ascii="方正楷体简体" w:eastAsia="方正楷体简体"/>
          <w:sz w:val="24"/>
        </w:rPr>
      </w:pPr>
      <w:r>
        <w:rPr>
          <w:rFonts w:ascii="方正楷体简体" w:eastAsia="方正楷体简体"/>
          <w:sz w:val="24"/>
        </w:rPr>
        <w:tab/>
      </w:r>
    </w:p>
    <w:p w14:paraId="5EAD3430">
      <w:pPr>
        <w:snapToGrid w:val="0"/>
        <w:spacing w:line="360" w:lineRule="auto"/>
        <w:jc w:val="left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三、课程目标与要求</w:t>
      </w:r>
    </w:p>
    <w:p w14:paraId="35B8066E">
      <w:pPr>
        <w:pStyle w:val="3"/>
        <w:snapToGrid w:val="0"/>
        <w:spacing w:line="360" w:lineRule="auto"/>
        <w:ind w:left="0" w:leftChars="0" w:firstLine="0" w:firstLineChars="0"/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（一）知识目标：</w:t>
      </w:r>
    </w:p>
    <w:p w14:paraId="15728106">
      <w:pPr>
        <w:numPr>
          <w:ilvl w:val="0"/>
          <w:numId w:val="4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理解嵌入式操作系统的基本概念与工作原理，掌握鸿蒙系统的架构组成、任务调度机制、内存管理逻辑；</w:t>
      </w:r>
    </w:p>
    <w:p w14:paraId="4EAABC3C">
      <w:pPr>
        <w:numPr>
          <w:ilvl w:val="0"/>
          <w:numId w:val="4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掌握Ubuntu开发环境搭建流程，包括系统安装、远程连接（Windows与Ubuntu交互）、文件映射、驱动工具安装与bin文件烧写方法；</w:t>
      </w:r>
    </w:p>
    <w:p w14:paraId="1EA8A7E4">
      <w:pPr>
        <w:numPr>
          <w:ilvl w:val="0"/>
          <w:numId w:val="4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熟悉鸿蒙系统编译流程与log查看技巧，理解Hello World程序的运行逻辑，掌握信号量、任务、定时器、事件、互斥锁等同步/异步通信机制的原理；</w:t>
      </w:r>
    </w:p>
    <w:p w14:paraId="032EC00C">
      <w:pPr>
        <w:numPr>
          <w:ilvl w:val="0"/>
          <w:numId w:val="4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掌握GPIO控制、标准PWM控制、ADC按键检测、UART通信（打印与收发）、I2C设备扫描、NFC标签读写、LCD/OLED显示等外设驱动开发知识；</w:t>
      </w:r>
    </w:p>
    <w:p w14:paraId="7566E654">
      <w:pPr>
        <w:numPr>
          <w:ilvl w:val="0"/>
          <w:numId w:val="4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理解TCP/UDP网络通信协议、MQTT协议的工作原理，掌握华为云IoT、通鸿联网平台的对接流程，熟悉智慧农业、车载应用等物联网场景的业务逻辑。</w:t>
      </w:r>
    </w:p>
    <w:p w14:paraId="3307BEE4"/>
    <w:p w14:paraId="52DDA6D6">
      <w:pPr>
        <w:pStyle w:val="3"/>
        <w:numPr>
          <w:ilvl w:val="0"/>
          <w:numId w:val="5"/>
        </w:numPr>
        <w:snapToGrid w:val="0"/>
        <w:spacing w:line="360" w:lineRule="auto"/>
        <w:ind w:left="0" w:leftChars="0" w:firstLine="0" w:firstLineChars="0"/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能力目标：</w:t>
      </w:r>
    </w:p>
    <w:p w14:paraId="08F8D32A">
      <w:pPr>
        <w:numPr>
          <w:ilvl w:val="0"/>
          <w:numId w:val="6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实操能力：能独立完成Ubuntu开发环境搭建、鸿蒙系统编译与程序烧写，能通过log排查环境配置与程序运行故障；能熟练使用工具完成GPIO、PWM、ADC等外设的调试与控制；</w:t>
      </w:r>
    </w:p>
    <w:p w14:paraId="4062A72F">
      <w:pPr>
        <w:numPr>
          <w:ilvl w:val="0"/>
          <w:numId w:val="6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开发能力：能编写基于鸿蒙系统的Hello World、信号量同步、定时器触发等基础程序；能独立完成TCP/UDP通信、UART数据收发、LCD/OLED显示等功能开发；</w:t>
      </w:r>
    </w:p>
    <w:p w14:paraId="5E2ABB1F">
      <w:pPr>
        <w:numPr>
          <w:ilvl w:val="0"/>
          <w:numId w:val="6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实战能力：能基于华为云IoT平台开发智慧井盖、智慧路灯、人体感应等物联网应用案例，能完成MQTT协议对接与通鸿联网平台数据交互；</w:t>
      </w:r>
    </w:p>
    <w:p w14:paraId="113F6925">
      <w:pPr>
        <w:numPr>
          <w:ilvl w:val="0"/>
          <w:numId w:val="6"/>
        </w:numPr>
        <w:ind w:left="425" w:leftChars="0" w:hanging="425" w:firstLine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问题解决能力：面对开发中的环境报错、程序bug、外设通信故障等问题，能通过查阅文档、分析log、调试代码等方式独立排查并解决。</w:t>
      </w:r>
    </w:p>
    <w:p w14:paraId="121BDA62">
      <w:pPr>
        <w:numPr>
          <w:numId w:val="0"/>
        </w:numPr>
      </w:pPr>
    </w:p>
    <w:p w14:paraId="314DED6D">
      <w:pPr>
        <w:pStyle w:val="3"/>
        <w:snapToGrid w:val="0"/>
        <w:spacing w:line="360" w:lineRule="auto"/>
        <w:ind w:left="0" w:leftChars="0" w:firstLine="0" w:firstLineChars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（三）素养目标：</w:t>
      </w:r>
    </w:p>
    <w:p w14:paraId="396B6215">
      <w:pPr>
        <w:pStyle w:val="3"/>
        <w:snapToGrid w:val="0"/>
        <w:spacing w:line="360" w:lineRule="auto"/>
        <w:ind w:left="0" w:leftChars="0" w:firstLine="0" w:firstLineChars="0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1.专业素养</w:t>
      </w:r>
    </w:p>
    <w:p w14:paraId="0CD7D9AF">
      <w:pPr>
        <w:ind w:firstLine="420" w:firstLineChars="0"/>
        <w:rPr>
          <w:rFonts w:hint="eastAsia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养成规范的代码编写习惯（如注释清晰、逻辑严谨），具备嵌入式开发所需的细致性与耐心，能主动关注鸿蒙系统、物联网技术的最新发展动态；</w:t>
      </w:r>
    </w:p>
    <w:p w14:paraId="266C6E80">
      <w:pPr>
        <w:pStyle w:val="3"/>
        <w:snapToGrid w:val="0"/>
        <w:spacing w:line="360" w:lineRule="auto"/>
        <w:ind w:left="0" w:leftChars="0" w:firstLine="0" w:firstLineChars="0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2.思政素养</w:t>
      </w:r>
    </w:p>
    <w:p w14:paraId="2A3BE08B">
      <w:pPr>
        <w:ind w:firstLine="420" w:firstLineChars="0"/>
        <w:rPr>
          <w:rFonts w:hint="eastAsia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通过鸿蒙系统国产技术学习，增强爱国情怀与民族自豪感；通过“科技强国”主题引导，树立为我国物联网与嵌入式技术发展贡献力量的使命担当；</w:t>
      </w:r>
    </w:p>
    <w:p w14:paraId="79D63A7C">
      <w:pPr>
        <w:pStyle w:val="3"/>
        <w:snapToGrid w:val="0"/>
        <w:spacing w:line="360" w:lineRule="auto"/>
        <w:ind w:left="0" w:leftChars="0" w:firstLine="0" w:firstLineChars="0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3.职业素养</w:t>
      </w:r>
    </w:p>
    <w:p w14:paraId="5128FB22">
      <w:pPr>
        <w:ind w:firstLine="420" w:firstLine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在团队协作开发（如案例分组实操）中培养沟通协作能力；在反复调试程序（如环境搭建、外设控制）中锤炼精益求精的工匠精神；在解决复杂问题（如云平台对接故障）中提升自主学习与创新意识。</w:t>
      </w:r>
    </w:p>
    <w:p w14:paraId="57BAA650">
      <w:pPr>
        <w:pStyle w:val="3"/>
        <w:snapToGrid w:val="0"/>
        <w:spacing w:line="360" w:lineRule="auto"/>
        <w:ind w:left="0" w:leftChars="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四、课程结构与内容</w:t>
      </w:r>
    </w:p>
    <w:p w14:paraId="2E8B1F35">
      <w:pPr>
        <w:pStyle w:val="3"/>
        <w:snapToGrid w:val="0"/>
        <w:spacing w:line="360" w:lineRule="auto"/>
        <w:ind w:left="0" w:leftChars="0" w:firstLine="0" w:firstLineChars="0"/>
        <w:rPr>
          <w:rFonts w:ascii="黑体" w:hAnsi="黑体" w:eastAsia="黑体"/>
          <w:sz w:val="24"/>
          <w:szCs w:val="32"/>
        </w:rPr>
      </w:pPr>
      <w:r>
        <w:rPr>
          <w:rFonts w:hint="eastAsia" w:ascii="黑体" w:hAnsi="黑体" w:eastAsia="黑体"/>
          <w:sz w:val="24"/>
          <w:szCs w:val="32"/>
        </w:rPr>
        <w:t>（一）课程设计思路</w:t>
      </w:r>
    </w:p>
    <w:p w14:paraId="7E1F7B0F">
      <w:pPr>
        <w:snapToGrid w:val="0"/>
        <w:spacing w:line="360" w:lineRule="auto"/>
        <w:rPr>
          <w:rFonts w:hint="eastAsia" w:ascii="宋体" w:hAnsi="宋体" w:cs="Times New Roman"/>
        </w:rPr>
      </w:pPr>
      <w:r>
        <w:rPr>
          <w:rFonts w:hint="eastAsia" w:ascii="宋体" w:hAnsi="宋体" w:cs="Times New Roman"/>
        </w:rPr>
        <w:t>1.以产教融合为引导</w:t>
      </w:r>
    </w:p>
    <w:p w14:paraId="521D75E4">
      <w:pPr>
        <w:snapToGrid w:val="0"/>
        <w:spacing w:line="360" w:lineRule="auto"/>
        <w:ind w:firstLine="384" w:firstLineChars="200"/>
        <w:rPr>
          <w:rFonts w:hint="eastAsia" w:ascii="宋体" w:hAnsi="宋体" w:cs="Times New Roman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结合物联网行业对嵌入式开发岗位的需求（如鸿蒙应用开发、物联网终端调试），引入华为云IoT、通鸿联网平台等企业级技术与案例，对接行业标准；</w:t>
      </w:r>
    </w:p>
    <w:p w14:paraId="76BE1B2F">
      <w:pPr>
        <w:snapToGrid w:val="0"/>
        <w:spacing w:line="360" w:lineRule="auto"/>
        <w:rPr>
          <w:rFonts w:hint="eastAsia" w:ascii="宋体" w:hAnsi="宋体" w:cs="Times New Roman"/>
        </w:rPr>
      </w:pPr>
      <w:r>
        <w:rPr>
          <w:rFonts w:hint="eastAsia" w:ascii="宋体" w:hAnsi="宋体" w:cs="Times New Roman"/>
        </w:rPr>
        <w:t>2.以职业能力为重点</w:t>
      </w:r>
    </w:p>
    <w:p w14:paraId="2631E693">
      <w:pPr>
        <w:snapToGrid w:val="0"/>
        <w:spacing w:line="360" w:lineRule="auto"/>
        <w:ind w:firstLine="384" w:firstLineChars="200"/>
        <w:rPr>
          <w:rFonts w:hint="eastAsia" w:ascii="宋体" w:hAnsi="宋体" w:cs="Times New Roman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围绕“环境搭建→基础开发→案例开发”三阶能力递进逻辑，将岗位技能（如外设驱动开发、云平台对接）拆解为32个具体任务，实现“学练一体”；</w:t>
      </w:r>
    </w:p>
    <w:p w14:paraId="3BBBC902">
      <w:pPr>
        <w:numPr>
          <w:ilvl w:val="0"/>
          <w:numId w:val="7"/>
        </w:numPr>
        <w:snapToGrid w:val="0"/>
        <w:spacing w:line="360" w:lineRule="auto"/>
        <w:ind w:left="-420" w:leftChars="0" w:firstLine="420" w:firstLineChars="0"/>
        <w:rPr>
          <w:rFonts w:hint="eastAsia" w:ascii="宋体" w:hAnsi="宋体" w:cs="Times New Roman"/>
        </w:rPr>
      </w:pPr>
      <w:r>
        <w:rPr>
          <w:rFonts w:hint="eastAsia" w:ascii="宋体" w:hAnsi="宋体" w:cs="Times New Roman"/>
        </w:rPr>
        <w:t>以就业导向为主线</w:t>
      </w:r>
    </w:p>
    <w:p w14:paraId="405A246D">
      <w:pPr>
        <w:numPr>
          <w:numId w:val="0"/>
        </w:numPr>
        <w:snapToGrid w:val="0"/>
        <w:spacing w:line="360" w:lineRule="auto"/>
        <w:ind w:firstLine="420" w:firstLineChars="0"/>
        <w:rPr>
          <w:rFonts w:hint="eastAsia" w:ascii="宋体" w:hAnsi="宋体" w:cs="Times New Roman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课程内容覆盖嵌入式开发工程师、物联网系统集成工程师等岗位的核心技能，案例开发贴合实际项目场景（如智慧农业、车载应用），提升学生就业竞争力；</w:t>
      </w:r>
    </w:p>
    <w:p w14:paraId="4494D685">
      <w:pPr>
        <w:numPr>
          <w:ilvl w:val="0"/>
          <w:numId w:val="7"/>
        </w:numPr>
        <w:snapToGrid w:val="0"/>
        <w:spacing w:line="360" w:lineRule="auto"/>
        <w:ind w:left="-420" w:leftChars="0" w:firstLine="420" w:firstLineChars="0"/>
        <w:rPr>
          <w:rFonts w:hint="eastAsia" w:ascii="宋体" w:hAnsi="宋体" w:cs="Times New Roman"/>
        </w:rPr>
      </w:pPr>
      <w:r>
        <w:rPr>
          <w:rFonts w:hint="eastAsia" w:ascii="宋体" w:hAnsi="宋体" w:cs="Times New Roman"/>
        </w:rPr>
        <w:t>以课程思政为贯穿</w:t>
      </w:r>
    </w:p>
    <w:p w14:paraId="21182AA0">
      <w:pPr>
        <w:widowControl w:val="0"/>
        <w:numPr>
          <w:numId w:val="0"/>
        </w:numPr>
        <w:snapToGrid w:val="0"/>
        <w:spacing w:line="360" w:lineRule="auto"/>
        <w:ind w:firstLine="420" w:firstLineChars="0"/>
        <w:jc w:val="both"/>
        <w:rPr>
          <w:rFonts w:hint="eastAsia" w:ascii="宋体" w:hAnsi="宋体" w:cs="Times New Roman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每个任务均融入对应的思政元素（如爱国情怀、工匠精神），将价值引领与知识传授、技能培养同步推进。</w:t>
      </w:r>
    </w:p>
    <w:p w14:paraId="7B3F4710">
      <w:pPr>
        <w:pStyle w:val="3"/>
        <w:spacing w:line="360" w:lineRule="auto"/>
        <w:rPr>
          <w:rFonts w:ascii="黑体" w:hAnsi="黑体" w:eastAsia="黑体"/>
          <w:sz w:val="24"/>
          <w:szCs w:val="32"/>
        </w:rPr>
      </w:pPr>
      <w:r>
        <w:rPr>
          <w:rFonts w:hint="eastAsia" w:ascii="黑体" w:hAnsi="黑体" w:eastAsia="黑体"/>
          <w:sz w:val="24"/>
          <w:szCs w:val="32"/>
        </w:rPr>
        <w:t>（二）课程结构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4191"/>
        <w:gridCol w:w="1524"/>
        <w:gridCol w:w="1277"/>
      </w:tblGrid>
      <w:tr w14:paraId="7BDCB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1" w:hRule="atLeast"/>
          <w:jc w:val="center"/>
        </w:trPr>
        <w:tc>
          <w:tcPr>
            <w:tcW w:w="1242" w:type="dxa"/>
            <w:vAlign w:val="center"/>
          </w:tcPr>
          <w:p w14:paraId="45962733">
            <w:pPr>
              <w:snapToGrid w:val="0"/>
              <w:jc w:val="center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序号</w:t>
            </w:r>
          </w:p>
        </w:tc>
        <w:tc>
          <w:tcPr>
            <w:tcW w:w="4191" w:type="dxa"/>
            <w:vAlign w:val="center"/>
          </w:tcPr>
          <w:p w14:paraId="2C6AA911">
            <w:pPr>
              <w:snapToGrid w:val="0"/>
              <w:rPr>
                <w:rFonts w:ascii="宋体" w:hAnsi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szCs w:val="21"/>
                <w:highlight w:val="none"/>
              </w:rPr>
              <w:t>项目名称</w:t>
            </w:r>
          </w:p>
        </w:tc>
        <w:tc>
          <w:tcPr>
            <w:tcW w:w="1524" w:type="dxa"/>
            <w:vAlign w:val="center"/>
          </w:tcPr>
          <w:p w14:paraId="12E4CD57">
            <w:pPr>
              <w:snapToGrid w:val="0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学时安排</w:t>
            </w:r>
          </w:p>
        </w:tc>
        <w:tc>
          <w:tcPr>
            <w:tcW w:w="1277" w:type="dxa"/>
            <w:vAlign w:val="center"/>
          </w:tcPr>
          <w:p w14:paraId="6EA6461D">
            <w:pPr>
              <w:snapToGrid w:val="0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总学时</w:t>
            </w:r>
          </w:p>
        </w:tc>
      </w:tr>
      <w:tr w14:paraId="418D5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242" w:type="dxa"/>
            <w:vAlign w:val="center"/>
          </w:tcPr>
          <w:p w14:paraId="5DCA08F6">
            <w:pPr>
              <w:snapToGrid w:val="0"/>
              <w:jc w:val="center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1</w:t>
            </w:r>
          </w:p>
        </w:tc>
        <w:tc>
          <w:tcPr>
            <w:tcW w:w="4191" w:type="dxa"/>
            <w:vAlign w:val="center"/>
          </w:tcPr>
          <w:p w14:paraId="4A631F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textAlignment w:val="auto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环境搭建</w:t>
            </w:r>
          </w:p>
        </w:tc>
        <w:tc>
          <w:tcPr>
            <w:tcW w:w="1524" w:type="dxa"/>
            <w:vAlign w:val="center"/>
          </w:tcPr>
          <w:p w14:paraId="255FD1AE">
            <w:pPr>
              <w:snapToGrid w:val="0"/>
              <w:jc w:val="center"/>
              <w:rPr>
                <w:rFonts w:hint="default" w:ascii="宋体" w:hAnsi="宋体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10</w:t>
            </w:r>
          </w:p>
        </w:tc>
        <w:tc>
          <w:tcPr>
            <w:tcW w:w="1277" w:type="dxa"/>
            <w:vMerge w:val="restart"/>
            <w:vAlign w:val="center"/>
          </w:tcPr>
          <w:p w14:paraId="67FBCA50">
            <w:pPr>
              <w:snapToGrid w:val="0"/>
              <w:jc w:val="center"/>
              <w:rPr>
                <w:rFonts w:hint="default" w:ascii="宋体" w:hAnsi="宋体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64</w:t>
            </w:r>
          </w:p>
        </w:tc>
      </w:tr>
      <w:tr w14:paraId="22514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42" w:type="dxa"/>
            <w:vAlign w:val="center"/>
          </w:tcPr>
          <w:p w14:paraId="657E7D0A">
            <w:pPr>
              <w:snapToGrid w:val="0"/>
              <w:jc w:val="center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2</w:t>
            </w:r>
          </w:p>
        </w:tc>
        <w:tc>
          <w:tcPr>
            <w:tcW w:w="4191" w:type="dxa"/>
            <w:vAlign w:val="center"/>
          </w:tcPr>
          <w:p w14:paraId="57FC91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textAlignment w:val="auto"/>
              <w:rPr>
                <w:rFonts w:hint="default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基础开发</w:t>
            </w:r>
          </w:p>
        </w:tc>
        <w:tc>
          <w:tcPr>
            <w:tcW w:w="1524" w:type="dxa"/>
            <w:vAlign w:val="center"/>
          </w:tcPr>
          <w:p w14:paraId="69DBE2D2">
            <w:pPr>
              <w:snapToGrid w:val="0"/>
              <w:jc w:val="center"/>
              <w:rPr>
                <w:rFonts w:hint="default" w:ascii="宋体" w:hAnsi="宋体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38</w:t>
            </w:r>
          </w:p>
        </w:tc>
        <w:tc>
          <w:tcPr>
            <w:tcW w:w="1277" w:type="dxa"/>
            <w:vMerge w:val="continue"/>
            <w:vAlign w:val="center"/>
          </w:tcPr>
          <w:p w14:paraId="33997CB0">
            <w:pPr>
              <w:snapToGrid w:val="0"/>
              <w:rPr>
                <w:rFonts w:ascii="宋体" w:hAnsi="宋体"/>
                <w:color w:val="0000FF"/>
                <w:szCs w:val="21"/>
              </w:rPr>
            </w:pPr>
          </w:p>
        </w:tc>
      </w:tr>
      <w:tr w14:paraId="2B67F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2" w:type="dxa"/>
            <w:vAlign w:val="center"/>
          </w:tcPr>
          <w:p w14:paraId="2CEC4E3E">
            <w:pPr>
              <w:snapToGrid w:val="0"/>
              <w:jc w:val="center"/>
              <w:rPr>
                <w:rFonts w:hint="eastAsia" w:ascii="宋体" w:hAnsi="宋体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3</w:t>
            </w:r>
          </w:p>
        </w:tc>
        <w:tc>
          <w:tcPr>
            <w:tcW w:w="4191" w:type="dxa"/>
            <w:vAlign w:val="center"/>
          </w:tcPr>
          <w:p w14:paraId="307818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textAlignment w:val="auto"/>
              <w:rPr>
                <w:rFonts w:hint="default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案例开发</w:t>
            </w:r>
          </w:p>
        </w:tc>
        <w:tc>
          <w:tcPr>
            <w:tcW w:w="1524" w:type="dxa"/>
            <w:vAlign w:val="center"/>
          </w:tcPr>
          <w:p w14:paraId="795D6082">
            <w:pPr>
              <w:snapToGrid w:val="0"/>
              <w:jc w:val="center"/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16</w:t>
            </w:r>
          </w:p>
        </w:tc>
        <w:tc>
          <w:tcPr>
            <w:tcW w:w="1277" w:type="dxa"/>
            <w:vMerge w:val="continue"/>
            <w:vAlign w:val="center"/>
          </w:tcPr>
          <w:p w14:paraId="131DE007">
            <w:pPr>
              <w:snapToGrid w:val="0"/>
              <w:rPr>
                <w:rFonts w:ascii="宋体" w:hAnsi="宋体"/>
                <w:color w:val="0000FF"/>
                <w:szCs w:val="21"/>
              </w:rPr>
            </w:pPr>
          </w:p>
        </w:tc>
      </w:tr>
    </w:tbl>
    <w:p w14:paraId="55504A8E">
      <w:pPr>
        <w:pStyle w:val="3"/>
        <w:rPr>
          <w:color w:val="0000FF"/>
        </w:rPr>
      </w:pPr>
    </w:p>
    <w:p w14:paraId="15593E26">
      <w:pPr>
        <w:pStyle w:val="3"/>
        <w:spacing w:line="360" w:lineRule="auto"/>
        <w:rPr>
          <w:rFonts w:ascii="黑体" w:hAnsi="黑体" w:eastAsia="黑体"/>
          <w:color w:val="auto"/>
          <w:sz w:val="24"/>
          <w:szCs w:val="32"/>
        </w:rPr>
      </w:pPr>
      <w:r>
        <w:rPr>
          <w:rFonts w:hint="eastAsia" w:ascii="黑体" w:hAnsi="黑体" w:eastAsia="黑体"/>
          <w:color w:val="auto"/>
          <w:sz w:val="24"/>
          <w:szCs w:val="32"/>
        </w:rPr>
        <w:t>（三）教学内容与要求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364"/>
        <w:gridCol w:w="3096"/>
        <w:gridCol w:w="1734"/>
        <w:gridCol w:w="697"/>
        <w:gridCol w:w="706"/>
      </w:tblGrid>
      <w:tr w14:paraId="30CD1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vAlign w:val="center"/>
          </w:tcPr>
          <w:p w14:paraId="1BB1F121">
            <w:pPr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  <w:t>项目/任务/章节名称</w:t>
            </w:r>
          </w:p>
        </w:tc>
        <w:tc>
          <w:tcPr>
            <w:tcW w:w="932" w:type="pct"/>
            <w:vAlign w:val="center"/>
          </w:tcPr>
          <w:p w14:paraId="2E0F83D3">
            <w:pPr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  <w:t>主要内容</w:t>
            </w:r>
          </w:p>
        </w:tc>
        <w:tc>
          <w:tcPr>
            <w:tcW w:w="1321" w:type="pct"/>
            <w:vAlign w:val="center"/>
          </w:tcPr>
          <w:p w14:paraId="2440FB6A">
            <w:pPr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  <w:t>教学目标</w:t>
            </w:r>
          </w:p>
          <w:p w14:paraId="6BF9C91A">
            <w:pPr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  <w:t>（含知识、技能、思政目标）</w:t>
            </w:r>
          </w:p>
        </w:tc>
        <w:tc>
          <w:tcPr>
            <w:tcW w:w="1149" w:type="pct"/>
            <w:vAlign w:val="center"/>
          </w:tcPr>
          <w:p w14:paraId="68A4E21B">
            <w:pPr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  <w:t>教学重</w:t>
            </w:r>
          </w:p>
          <w:p w14:paraId="188302CC">
            <w:pPr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  <w:t>难点</w:t>
            </w:r>
          </w:p>
        </w:tc>
        <w:tc>
          <w:tcPr>
            <w:tcW w:w="373" w:type="pct"/>
            <w:vAlign w:val="center"/>
          </w:tcPr>
          <w:p w14:paraId="750F0F8B">
            <w:pPr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highlight w:val="none"/>
              </w:rPr>
              <w:t>思政元素</w:t>
            </w:r>
          </w:p>
        </w:tc>
        <w:tc>
          <w:tcPr>
            <w:tcW w:w="546" w:type="pct"/>
            <w:vAlign w:val="center"/>
          </w:tcPr>
          <w:p w14:paraId="5DD4339E">
            <w:pPr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  <w:t>参考学时</w:t>
            </w:r>
          </w:p>
        </w:tc>
      </w:tr>
      <w:tr w14:paraId="770A9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5" w:type="pct"/>
            <w:vAlign w:val="center"/>
          </w:tcPr>
          <w:p w14:paraId="4649049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</w:p>
          <w:p w14:paraId="4E46B62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</w:p>
          <w:p w14:paraId="09C6962A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2D99831A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环境搭建</w:t>
            </w:r>
          </w:p>
          <w:p w14:paraId="06A8B498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安装ubuntu开发环境</w:t>
            </w:r>
          </w:p>
        </w:tc>
        <w:tc>
          <w:tcPr>
            <w:tcW w:w="1321" w:type="pct"/>
            <w:vAlign w:val="center"/>
          </w:tcPr>
          <w:p w14:paraId="3BC44309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Ubuntu系统（64位）的下载与安装步骤；2. 系统初始化配置（更新源、安装基础依赖库）；3. 开发环境验证（终端命令测试、软件安装检测）</w:t>
            </w:r>
          </w:p>
        </w:tc>
        <w:tc>
          <w:tcPr>
            <w:tcW w:w="1149" w:type="pct"/>
            <w:vAlign w:val="center"/>
          </w:tcPr>
          <w:p w14:paraId="1E807A54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重点：Ubuntu系统安装与源更新配置；难点：安装过程中分区报错、依赖库缺失问题排查</w:t>
            </w:r>
          </w:p>
        </w:tc>
        <w:tc>
          <w:tcPr>
            <w:tcW w:w="373" w:type="pct"/>
            <w:vAlign w:val="center"/>
          </w:tcPr>
          <w:p w14:paraId="136A66E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爱国情怀，民族自豪感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103DE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009D8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vAlign w:val="center"/>
          </w:tcPr>
          <w:p w14:paraId="45CBFDB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536A87A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环境搭建</w:t>
            </w:r>
          </w:p>
          <w:p w14:paraId="595198FE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在windows上远程连接服务器</w:t>
            </w:r>
          </w:p>
          <w:p w14:paraId="4BC89528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ubuntu文件映射到windows上</w:t>
            </w:r>
          </w:p>
        </w:tc>
        <w:tc>
          <w:tcPr>
            <w:tcW w:w="1321" w:type="pct"/>
            <w:vAlign w:val="center"/>
          </w:tcPr>
          <w:p w14:paraId="094784E8">
            <w:p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远程连接工具（如Xshell、Putty）的安装与配置；2. Ubuntu系统SSH服务开启与IP配置；3. Samba服务安装与文件映射设置（实现Windows与Ubuntu文件互通）</w:t>
            </w:r>
          </w:p>
        </w:tc>
        <w:tc>
          <w:tcPr>
            <w:tcW w:w="1149" w:type="pct"/>
            <w:vAlign w:val="center"/>
          </w:tcPr>
          <w:p w14:paraId="0EC4452E">
            <w:p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重点：SSH服务配置与远程连接建立；难点：文件映射权限报错、网络不通问题排查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529FF231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精益求精，工匠精神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4633D1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5E33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vAlign w:val="center"/>
          </w:tcPr>
          <w:p w14:paraId="0D6636C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35143FA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环境搭建</w:t>
            </w:r>
          </w:p>
          <w:p w14:paraId="188315C2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鸿蒙编译</w:t>
            </w:r>
          </w:p>
        </w:tc>
        <w:tc>
          <w:tcPr>
            <w:tcW w:w="1321" w:type="pct"/>
            <w:vAlign w:val="center"/>
          </w:tcPr>
          <w:p w14:paraId="223BF73E">
            <w:p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鸿蒙源码的下载（从官方仓库获取）与解压；2. 编译工具链（如gcc-arm-none-eabi）的安装与环境变量配置；3. 鸿蒙工程编译命令（如hpm dist）的使用与编译日志解读</w:t>
            </w:r>
          </w:p>
        </w:tc>
        <w:tc>
          <w:tcPr>
            <w:tcW w:w="1149" w:type="pct"/>
            <w:vAlign w:val="center"/>
          </w:tcPr>
          <w:p w14:paraId="0D0D1E01">
            <w:p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重点：编译工具链安装与环境变量配置；难点：编译报错（如依赖缺失、版本不兼容）排查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4D0E89ED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76406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673F7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1" w:hRule="atLeast"/>
        </w:trPr>
        <w:tc>
          <w:tcPr>
            <w:tcW w:w="675" w:type="pct"/>
            <w:vAlign w:val="center"/>
          </w:tcPr>
          <w:p w14:paraId="4642613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27D9B9D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环境搭建</w:t>
            </w:r>
          </w:p>
          <w:p w14:paraId="17671F85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安装windows 驱动工具</w:t>
            </w:r>
          </w:p>
          <w:p w14:paraId="2257AF90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烧写bin文件</w:t>
            </w:r>
          </w:p>
          <w:p w14:paraId="0D6003D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21" w:type="pct"/>
            <w:vAlign w:val="center"/>
          </w:tcPr>
          <w:p w14:paraId="1D07E2F8">
            <w:p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嵌入式设备（如开发板）Windows驱动的安装与验证；2. 烧写工具（如HiBurn）的配置（端口选择、波特率设置）；3. bin文件烧写步骤与烧写进度监控</w:t>
            </w:r>
          </w:p>
        </w:tc>
        <w:tc>
          <w:tcPr>
            <w:tcW w:w="1149" w:type="pct"/>
            <w:vAlign w:val="center"/>
          </w:tcPr>
          <w:p w14:paraId="4FFC4A8A">
            <w:p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重点：驱动安装与烧写工具配置；难点：烧写失败（如端口占用、设备未识别）问题解决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7D6E646C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团队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协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作，创新意识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25684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2E62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6" w:hRule="atLeast"/>
        </w:trPr>
        <w:tc>
          <w:tcPr>
            <w:tcW w:w="675" w:type="pct"/>
            <w:vAlign w:val="center"/>
          </w:tcPr>
          <w:p w14:paraId="2887235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0D32DF5D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环境搭建</w:t>
            </w:r>
          </w:p>
          <w:p w14:paraId="002A98BC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运行程序</w:t>
            </w:r>
          </w:p>
          <w:p w14:paraId="6A5A3B3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查看log</w:t>
            </w:r>
          </w:p>
        </w:tc>
        <w:tc>
          <w:tcPr>
            <w:tcW w:w="1321" w:type="pct"/>
            <w:vAlign w:val="center"/>
          </w:tcPr>
          <w:p w14:paraId="43267988">
            <w:p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嵌入式设备（开发板）的上电与启动流程；2. 程序运行命令（如./app）的执行与状态查看；3. log查看工具（如dmesg、串口工具）的使用，解读log中的错误信息</w:t>
            </w:r>
          </w:p>
        </w:tc>
        <w:tc>
          <w:tcPr>
            <w:tcW w:w="1149" w:type="pct"/>
            <w:vAlign w:val="center"/>
          </w:tcPr>
          <w:p w14:paraId="067F1F42">
            <w:p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重点：log工具使用与信息解读；难点：log中关键错误信息识别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1F50F28E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学习能力，解决能力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73BC52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11B6A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vAlign w:val="center"/>
          </w:tcPr>
          <w:p w14:paraId="295BC82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428021C9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503014C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Hello World</w:t>
            </w:r>
          </w:p>
        </w:tc>
        <w:tc>
          <w:tcPr>
            <w:tcW w:w="1321" w:type="pct"/>
            <w:vAlign w:val="center"/>
          </w:tcPr>
          <w:p w14:paraId="5C764788">
            <w:pPr>
              <w:jc w:val="both"/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鸿蒙应用工程的创建（目录结构、配置文件）；2. Hello World程序的编写（主函数、打印语句）；3. 程序编译、烧写与运行验证（终端打印“Hello World”）</w:t>
            </w:r>
          </w:p>
        </w:tc>
        <w:tc>
          <w:tcPr>
            <w:tcW w:w="1149" w:type="pct"/>
            <w:vAlign w:val="center"/>
          </w:tcPr>
          <w:p w14:paraId="6EF06F6D">
            <w:p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重点：工程创建与程序编写；难点：程序编译报错（如语法错误）修正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094B4FF7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精益求精，工匠精神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4AB393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18396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vAlign w:val="center"/>
          </w:tcPr>
          <w:p w14:paraId="5210BEF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0360F0A7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1ADABF0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信号量</w:t>
            </w:r>
          </w:p>
        </w:tc>
        <w:tc>
          <w:tcPr>
            <w:tcW w:w="1321" w:type="pct"/>
            <w:vAlign w:val="center"/>
          </w:tcPr>
          <w:p w14:paraId="719B6804">
            <w:p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信号量的概念与作用（同步/互斥）；2. 鸿蒙系统中信号量的创建（osSemaphoreNew）、获取（osSemaphoreAcquire）、释放（osSemaphoreRelease）API使用；3. 信号量同步案例（如“按键触发LED点亮”）开发</w:t>
            </w:r>
          </w:p>
        </w:tc>
        <w:tc>
          <w:tcPr>
            <w:tcW w:w="1149" w:type="pct"/>
            <w:vAlign w:val="center"/>
          </w:tcPr>
          <w:p w14:paraId="28A0C8F1">
            <w:p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重点：信号量API使用与同步逻辑设计；难点：多任务下信号量死锁问题避免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47F71EED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7257B4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77882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7DF9A62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5FFE2CDD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452409A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任务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083110D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嵌入式任务的概念与生命周期（创建、就绪、运行、阻塞）；2. 鸿蒙系统任务创建（osThreadNew）、优先级设置、删除API使用；3. 多任务调度案例（如“LED闪烁+按键检测”并行执行）开发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881E107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重点：任务创建与优先级配置；难点：多任务资源竞争问题处理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13BFEB7A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613F99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41C23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7551DBB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02FA04AC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6D7448C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"https://gitee.com/Lockzhiner-Electronics/lockzhiner-rk2206-openharmony3.0lts/blob/master/vendor/lockzhiner/rk2206/samples/a3_kernel_timer/README_zh.md"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定时器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DB87617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定时器的概念与分类（一次性、周期性）；2. 鸿蒙系统定时器创建（osTimerNew）、启动（osTimerStart）、停止（osTimerStop）API使用；3. 定时器应用案例（如“周期性读取传感器数据”）开发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C78A03D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重点：定时器API使用与触发逻辑设计；难点：定时器中断与任务的协同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6703ECAA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589270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7B73E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43E493E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</w:p>
          <w:p w14:paraId="5C860E5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</w:p>
          <w:p w14:paraId="559FDAA9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1BAC4F10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39763999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"https://gitee.com/Lockzhiner-Electronics/lockzhiner-rk2206-openharmony3.0lts/blob/master/vendor/lockzhiner/rk2206/samples/a6_kernel_event/README_zh.md"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事件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5C9D6F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事件的概念与作用（多任务间异步通信）；2. 鸿蒙系统事件创建（osEventFlagsNew）、设置（osEventFlagsSet）、等待（osEventFlagsWait）API使用；3. 事件通信案例（如“传感器触发→LED报警”）开发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0DB2C3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重点：事件API使用与异步逻辑设计；难点：多事件组合触发的配置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0654ADC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爱国情怀，民族自豪感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425931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32DE4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576D244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13EC292D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4201412F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"https://gitee.com/Lockzhiner-Electronics/lockzhiner-rk2206-openharmony3.0lts/blob/master/vendor/lockzhiner/rk2206/samples/a8_hal_pwm/README_zh.md"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标准PWM控制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EF1B2E6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PWM的概念与原理（占空比、频率对输出的影响）；2. 鸿蒙系统PWM驱动的初始化（引脚配置、频率/占空比设置）；3. PWM应用案例（如“LED呼吸灯”“电机转速调节”）开发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D839344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重点：PWM驱动初始化与参数配置；难点：占空比与设备状态的匹配调试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2B819592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精益求精，工匠精神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5DB3F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707AC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8" w:hRule="atLeast"/>
        </w:trPr>
        <w:tc>
          <w:tcPr>
            <w:tcW w:w="675" w:type="pct"/>
            <w:shd w:val="clear" w:color="auto" w:fill="auto"/>
            <w:vAlign w:val="center"/>
          </w:tcPr>
          <w:p w14:paraId="70C87E5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12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50C0162F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404FB408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"https://gitee.com/Lockzhiner-Electronics/lockzhiner-rk2206-openharmony3.0lts/blob/master/vendor/lockzhiner/rk2206/samples/b1_adc/README_zh.md"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ADC按键检测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BFDDFC5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ADC的概念与作用（模拟信号转数字信号）；2. 鸿蒙系统ADC驱动的初始化（引脚配置、采样精度设置）；3. ADC按键检测案例（如“不同电压值对应不同按键功能”）开发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4AB7749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重点：ADC驱动初始化与采样值读取；难点：采样噪声过滤与按键阈值设置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69DAB67B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49C2C3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36C3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0B5975E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13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0FD3B63F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2A0F728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"https://gitee.com/Lockzhiner-Electronics/lockzhiner-rk2206-openharmony3.0lts/blob/master/vendor/lockzhiner/rk2206/samples/b2_nfc/README_zh.md"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NFC标签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140791C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NFC的概念与通信原理（近场耦合）；2. 鸿蒙系统NFC模块的初始化（协议配置、读写模式设置）；3. NFC标签读写案例（如“读取标签ID、写入文本信息”）开发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FCEE993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重点：NFC模块初始化与标签识别；难点：NFC通信距离与数据传输稳定性调试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2FF4F6A6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团队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协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作，创新意识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7D93AF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33C3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7CCB1B8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0CD6FECE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7CD0FB1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"https://gitee.com/Lockzhiner-Electronics/lockzhiner-rk2206-openharmony3.0lts/blob/master/vendor/lockzhiner/rk2206/samples/b4_lcd/README_zh.md"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LCD显示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778D6FA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LCD的显示原理与接口类型（如SPI、RGB）；2. 鸿蒙系统LCD驱动的初始化（分辨率配置、显示缓存设置）；3. LCD显示案例（如“显示文字、图片、动态图形”）开发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4FFC23B5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重点：LCD驱动初始化与显示缓存配置；难点：显示内容错位、颜色异常问题解决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2DFD1424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学习能力，解决能力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35E888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5BA43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1D60147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15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26A9F60E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51BB42F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"https://gitee.com/Lockzhiner-Electronics/lockzhiner-rk2206-openharmony3.0lts/blob/master/vendor/lockzhiner/rk2206/samples/b5_oled/README_zh.md"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OLED显示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FB41C67">
            <w:pPr>
              <w:jc w:val="both"/>
              <w:rPr>
                <w:rFonts w:hint="eastAsia" w:ascii="宋体" w:hAnsi="宋体" w:eastAsia="宋体" w:cs="宋体"/>
                <w:color w:val="0000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OLED的显示原理与接口特性（如I2C）；2. 鸿蒙系统OLED驱动的初始化（I2C地址配置、显示模式设置）；3. OLED显示案例（如“显示传感器数据、简单动画”）开发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6DF0C63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重点：OLED驱动初始化与I2C通信；难点：显示内容刷新速度优化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3EAE92B2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精益求精，工匠精神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1C5AE8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7505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1AD66AD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16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40F4BCAB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3A23240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"https://gitee.com/Lockzhiner-Electronics/lockzhiner-rk2206-openharmony3.0lts/blob/master/vendor/lockzhiner/rk2206/samples/b6_uart0/README_zh.md"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UART打印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"https://gitee.com/Lockzhiner-Electronics/lockzhiner-rk2206-openharmony3.0lts/blob/master/vendor/lockzhiner/rk2206/samples/b6_uart2/README_zh.md"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UART2收发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6159F49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UART的概念与通信原理（异步串行通信）；2. 鸿蒙系统UART驱动的初始化（波特率、数据位、停止位配置）；3. UART应用案例（如“终端打印调试信息、UART2与外设数据收发”）开发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4583D90D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重点：UART参数配置与数据收发；难点：UART通信噪声过滤与数据校验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44CC034E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5EC75C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5AC8F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4E465D2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17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16605F63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714C1ED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互斥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2E25620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互斥锁的概念与作用（解决多任务资源竞争）；2. 鸿蒙系统互斥锁创建（osMutexNew）、获取（osMutexAcquire）、释放（osMutexRelease）API使用；3. 互斥锁应用案例（如“多任务共享串口资源”）开发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84FCE97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重点：互斥锁API使用与资源保护设计；难点：互斥锁死锁问题避免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2426E857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44E0DA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76F4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2F721A7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18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44EE66AD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02A6D7A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"https://gitee.com/Lockzhiner-Electronics/lockzhiner-rk2206-openharmony3.0lts/blob/master/vendor/lockzhiner/rk2206/samples/b7_wifi_tcp/README_zh.md"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TCP通信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40A84A0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TCP协议的概念与特性（面向连接、可靠传输）；2. 鸿蒙系统TCP客户端/服务器的创建（socket初始化、连接建立、数据收发）；3. TCP通信案例（如“开发板与PC端的双向数据传输”）开发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0CF656E9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重点：TCP socket创建与连接管理；难点：网络异常断开后的重连机制实现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75BDA710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338296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490D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3B081FFD">
            <w:pPr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</w:p>
          <w:p w14:paraId="35F454EE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0FB449E2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546D33A3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"https://gitee.com/Lockzhiner-Electronics/lockzhiner-rk2206-openharmony3.0lts/blob/master/vendor/lockzhiner/rk2206/samples/b8_wifi_udp/README_zh.md"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UDP通信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6A515B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UDP协议的概念与特性（无连接、不可靠传输）；2. 鸿蒙系统UDP客户端的创建（socket初始化、数据发送/接收）；3. UDP通信案例（如“开发板向PC端广播传感器数据”）开发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63510A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重点：UDP socket创建与数据收发；难点：数据丢包后的重传逻辑设计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6F895BD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爱国情怀，民族自豪感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76FF1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178CF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8" w:hRule="atLeast"/>
        </w:trPr>
        <w:tc>
          <w:tcPr>
            <w:tcW w:w="675" w:type="pct"/>
            <w:shd w:val="clear" w:color="auto" w:fill="auto"/>
            <w:vAlign w:val="center"/>
          </w:tcPr>
          <w:p w14:paraId="263A42E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64A91E3A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711EE265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"https://gitee.com/Lockzhiner-Electronics/lockzhiner-rk2206-openharmony3.0lts/blob/master/vendor/lockzhiner/rk2206/samples/b9_gpio/README_zh.md"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GPIO控制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7D0A924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GPIO的概念与作用（通用输入/输出）；2. 鸿蒙系统GPIO驱动的初始化（引脚方向、电平状态配置）；3. GPIO应用案例（如“LED点亮/熄灭、按键检测”）开发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39A5B53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重点：GPIO引脚配置与电平控制；难点：GPIO引脚冲突问题处理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61A236F0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精益求精，工匠精神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774719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360FC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7F844AC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21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6BCF1533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基础案例</w:t>
            </w:r>
          </w:p>
          <w:p w14:paraId="72F3AB5F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"https://gitee.com/Lockzhiner-Electronics/lockzhiner-rk2206-openharmony3.0lts/blob/master/vendor/lockzhiner/rk2206/samples/b12_watchdog/README_zh.md"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看门狗控制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2532A7D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看门狗的概念与作用（防止程序死机，自动复位）；2. 鸿蒙系统看门狗驱动的初始化（超时时间设置、喂狗机制）；3. 看门狗应用案例（如“程序异常时触发系统复位”）开发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DA3C28C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重点：看门狗初始化与喂狗逻辑设计；难点：超时时间与程序运行周期的匹配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43946776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61B1F0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109C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675" w:type="pct"/>
            <w:shd w:val="clear" w:color="auto" w:fill="auto"/>
            <w:vAlign w:val="center"/>
          </w:tcPr>
          <w:p w14:paraId="2BCBC48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22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34CB23BF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7C1A423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"https://gitee.com/Lockzhiner-Electronics/lockzhiner-rk2206-openharmony3.0lts/blob/master/vendor/lockzhiner/rk2206/samples/b13_reboot/README_zh.md"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重启控制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369F51E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嵌入式系统重启的原理（软件触发、硬件触发）；2. 鸿蒙系统重启API（如sys_restart）的使用；3. 重启控制案例（如“按键触发系统重启、定时重启”）开发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0CF827DA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重点：重启API使用与触发条件设计；难点：重启前数据保存逻辑实现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1841E5FB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团队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协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作，创新意识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3C53D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6AC7A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371563E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23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138503BB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3E206A2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"https://gitee.com/Lockzhiner-Electronics/lockzhiner-rk2206-openharmony3.0lts/blob/master/vendor/lockzhiner/rk2206/samples/b14_wifi_ap/README_zh.md"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WiFi路由模式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1FA0CE6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WiFi路由模式的概念与工作原理（AP模式，提供网络接入）；2. 鸿蒙系统WiFi模块的初始化（SSID、密码配置、AP模式开启）；3. WiFi路由模式案例（如“开发板作为热点，供其他设备接入”）开发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FB04590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重点：WiFi模块初始化与AP模式配置；难点：WiFi信号强度与接入设备数量优化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4A7DE352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学习能力，解决能力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733FE9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11992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43E0267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24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3CBDD573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基础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</w:t>
            </w:r>
          </w:p>
          <w:p w14:paraId="021B959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instrText xml:space="preserve"> HYPERLINK "https://gitee.com/Lockzhiner-Electronics/lockzhiner-rk2206-openharmony3.0lts/blob/master/vendor/lockzhiner/rk2206/samples/b11_i2c_scan/README_zh.md"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i2c扫描从设备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fldChar w:fldCharType="end"/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EEC4CB1">
            <w:pPr>
              <w:jc w:val="both"/>
              <w:rPr>
                <w:rFonts w:hint="eastAsia" w:ascii="宋体" w:hAnsi="宋体" w:eastAsia="宋体" w:cs="宋体"/>
                <w:color w:val="0000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I2C的概念与通信原理（主从通信）；2. 鸿蒙系统I2C驱动的初始化（主设备配置、从设备地址扫描）；3. I2C扫描案例（如“扫描I2C总线上的OLED、传感器等从设备”）开发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ED6D508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重点：I2C总线初始化与地址扫描；难点：从设备地址冲突问题排查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00457A50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精益求精，工匠精神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6E1D9A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7704E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3EBACFA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322A7596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案例开发</w:t>
            </w:r>
          </w:p>
          <w:p w14:paraId="47376AF5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en-US"/>
              </w:rPr>
              <w:t>MQTT协议开发</w:t>
            </w:r>
          </w:p>
          <w:p w14:paraId="51DD964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23D03C39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MQTT协议的概念与特性（轻量级、发布-订阅模式）；2. MQTT客户端的初始化（Broker地址配置、主题订阅/发布）；3. MQTT通信案例（如“开发板向MQTT Broker发布传感器数据”）开发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EE4BEE4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重点：MQTT客户端配置与主题交互；难点：断线重连与消息重发机制实现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677823E8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053C31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7FFDA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2DBA4F1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26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12E3415F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案例开发</w:t>
            </w:r>
          </w:p>
          <w:p w14:paraId="10C60AC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基于华为云IoT的智慧井盖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EBD9210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华为云IoT平台的设备注册（产品创建、设备添加、证书配置）；2. 开发板与华为云IoT的连接（MQTT协议对接、数据上报格式）；3. 智慧井盖功能开发（如“井盖状态（打开/关闭）检测与云平台上报”）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00995FD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重点：云平台设备配置与数据上报；难点：设备离线后的重连与数据补传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2A01BB36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352853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24853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316BD2F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27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6EF9132A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40485B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案例开发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</w:p>
          <w:p w14:paraId="2B5D257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华为云IoT的智慧路灯应用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9E4EB49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华为云IoT平台的命令下发功能（创建命令、参数配置）；2. 开发板接收云平台命令的逻辑（命令解析、执行控制）；3. 智慧路灯功能开发（如“云平台远程控制路灯亮/灭、调节亮度”）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DD6A425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重点：云平台命令创建与设备解析；难点：命令执行结果的反馈机制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12F37B3B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5FC8BB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393A3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6" w:hRule="atLeast"/>
        </w:trPr>
        <w:tc>
          <w:tcPr>
            <w:tcW w:w="675" w:type="pct"/>
            <w:shd w:val="clear" w:color="auto" w:fill="auto"/>
            <w:vAlign w:val="center"/>
          </w:tcPr>
          <w:p w14:paraId="0445415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28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68367F7E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40485B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案例开发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</w:p>
          <w:p w14:paraId="00F6BF3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华为云IoT的智慧车载应用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4B8EAC3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车载传感器（如加速度传感器）的数据采集；2. 华为云IoT平台的数据流配置（数据存储、可视化展示）；3. 智慧车载功能开发（如“采集车速数据并上报云平台，实现可视化监控”）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8350D06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重点：传感器数据采集与云平台数据流配置；难点：多数据并发上报的稳定性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41004247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07BCFD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57A4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1DB64FD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29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5125CE61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40485B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案例开发</w:t>
            </w:r>
          </w:p>
          <w:p w14:paraId="70DC6DE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华为云IoT的人体感应应用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C36F831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人体红外传感器的原理与数据采集；2. 华为云IoT平台的告警功能配置（阈值设置、告警触发）；3. 人体感应功能开发（如“检测到人体时上报云平台并触发告警”）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D1E1667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重点：传感器数据采集与告警阈值配置；难点：误触发告警的过滤逻辑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3E546127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48FE60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590C7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2" w:hRule="atLeast"/>
        </w:trPr>
        <w:tc>
          <w:tcPr>
            <w:tcW w:w="675" w:type="pct"/>
            <w:shd w:val="clear" w:color="auto" w:fill="auto"/>
            <w:vAlign w:val="center"/>
          </w:tcPr>
          <w:p w14:paraId="31A64BD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30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09D7F9A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  <w:p w14:paraId="0AC6546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  <w:p w14:paraId="144517B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  <w:p w14:paraId="40D57CDA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40485B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案例开发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</w:p>
          <w:p w14:paraId="10FD6BA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85B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华为云IoT的手势感应应用</w:t>
            </w:r>
          </w:p>
          <w:p w14:paraId="58546D1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  <w:p w14:paraId="76715E1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137A9D19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手势传感器的原理与手势识别（如上下滑动、左右滑动）；2. 华为云IoT平台的命令下发与设备响应逻辑；3. 手势感应功能开发（如“手势控制云平台下发命令，调节LED亮度”）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2F16BAF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重点：手势识别数据采集与云命令联动；难点：手势识别的准确率优化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6CE8181D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007EAD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13664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shd w:val="clear" w:color="auto" w:fill="auto"/>
            <w:vAlign w:val="center"/>
          </w:tcPr>
          <w:p w14:paraId="778D751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31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0AAD8A2B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95EAB"/>
                <w:spacing w:val="0"/>
                <w:sz w:val="24"/>
                <w:szCs w:val="24"/>
                <w:u w:val="none"/>
                <w:shd w:val="clear" w:fill="FFFFFF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案例开发</w:t>
            </w:r>
          </w:p>
          <w:p w14:paraId="49954E8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华为云IoT的智慧农业应用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571B3D7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农业传感器（如温湿度传感器、土壤湿度传感器）的数据采集；2. 华为云IoT平台的数据分析与报表生成；3. 智慧农业功能开发（如“上报温湿度数据，云平台生成趋势报表”）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B8B4367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重点：多传感器数据采集与云平台分析配置；难点：传感器数据校准与精度提升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3A328B75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733181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531F1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0" w:hRule="atLeast"/>
        </w:trPr>
        <w:tc>
          <w:tcPr>
            <w:tcW w:w="675" w:type="pct"/>
            <w:shd w:val="clear" w:color="auto" w:fill="auto"/>
            <w:vAlign w:val="center"/>
          </w:tcPr>
          <w:p w14:paraId="2FF7591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32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71FEE602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95EAB"/>
                <w:spacing w:val="0"/>
                <w:sz w:val="24"/>
                <w:szCs w:val="24"/>
                <w:u w:val="none"/>
                <w:shd w:val="clear" w:fill="FFFFFF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案例开发</w:t>
            </w:r>
          </w:p>
          <w:p w14:paraId="2BACBA4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对接通鸿联网平台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A23E703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通鸿联网平台的设备接入流程（账号注册、产品创建、设备绑定）；2. 开发板与通鸿平台的通信协议（如MQTT、HTTP）对接；3. 数据交互案例（如“开发板向通鸿平台上报设备状态，接收平台控制命令”）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78B81CD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知识：掌握通鸿联网平台的接入逻辑与通信协议；技能：能完成开发板与通鸿平台的对接与数据交互；思政：结合国产物联网平台，强化科技强国的使命担当；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7694BB43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  <w14:ligatures w14:val="none"/>
              </w:rPr>
              <w:t>科技强国，使命担当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64E9E1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</w:tbl>
    <w:p w14:paraId="63288A9A">
      <w:pPr>
        <w:pStyle w:val="3"/>
        <w:ind w:left="0" w:leftChars="0" w:firstLine="419"/>
      </w:pPr>
    </w:p>
    <w:p w14:paraId="5E95E964">
      <w:pPr>
        <w:pStyle w:val="3"/>
        <w:ind w:left="0" w:leftChars="0"/>
        <w:rPr>
          <w:rFonts w:ascii="黑体" w:hAnsi="黑体" w:eastAsia="黑体"/>
          <w:bCs/>
          <w:sz w:val="28"/>
          <w:szCs w:val="28"/>
        </w:rPr>
      </w:pPr>
      <w:r>
        <w:rPr>
          <w:rFonts w:ascii="黑体" w:hAnsi="黑体" w:eastAsia="黑体"/>
          <w:bCs/>
          <w:sz w:val="28"/>
          <w:szCs w:val="28"/>
        </w:rPr>
        <w:t>五、学生考核与评价</w:t>
      </w:r>
    </w:p>
    <w:p w14:paraId="3B80B58E">
      <w:pPr>
        <w:pStyle w:val="3"/>
        <w:ind w:left="0" w:leftChars="0" w:firstLine="420" w:firstLineChars="200"/>
        <w:rPr>
          <w:rFonts w:ascii="宋体" w:hAnsi="宋体"/>
          <w:color w:val="212121"/>
          <w:szCs w:val="21"/>
        </w:rPr>
      </w:pPr>
      <w:r>
        <w:rPr>
          <w:rFonts w:hint="eastAsia" w:ascii="宋体" w:hAnsi="宋体"/>
          <w:color w:val="212121"/>
          <w:szCs w:val="21"/>
        </w:rPr>
        <w:t>本课程为考查科目，期评成绩由平时成绩、实践成绩、期考成绩等组成。理论考试为开卷考试。平时成绩的考核主要有</w:t>
      </w:r>
      <w:r>
        <w:rPr>
          <w:rFonts w:hint="eastAsia"/>
        </w:rPr>
        <w:t>考勤</w:t>
      </w:r>
      <w:r>
        <w:rPr>
          <w:rFonts w:hint="eastAsia" w:ascii="宋体" w:hAnsi="宋体"/>
          <w:color w:val="212121"/>
          <w:szCs w:val="21"/>
        </w:rPr>
        <w:t>、</w:t>
      </w:r>
      <w:r>
        <w:rPr>
          <w:rFonts w:hint="eastAsia"/>
        </w:rPr>
        <w:t>作业</w:t>
      </w:r>
      <w:r>
        <w:rPr>
          <w:rFonts w:hint="eastAsia" w:ascii="宋体" w:hAnsi="宋体"/>
          <w:color w:val="212121"/>
          <w:szCs w:val="21"/>
        </w:rPr>
        <w:t>、</w:t>
      </w:r>
      <w:r>
        <w:rPr>
          <w:rFonts w:hint="eastAsia"/>
        </w:rPr>
        <w:t>课堂表现</w:t>
      </w:r>
      <w:r>
        <w:rPr>
          <w:rFonts w:hint="eastAsia" w:ascii="宋体" w:hAnsi="宋体"/>
          <w:color w:val="212121"/>
          <w:szCs w:val="21"/>
        </w:rPr>
        <w:t>等形式。</w:t>
      </w:r>
    </w:p>
    <w:p w14:paraId="68E7F4FD">
      <w:pPr>
        <w:spacing w:line="360" w:lineRule="auto"/>
        <w:ind w:firstLine="480"/>
        <w:rPr>
          <w:sz w:val="20"/>
          <w:szCs w:val="20"/>
        </w:rPr>
      </w:pPr>
      <w:r>
        <w:rPr>
          <w:rFonts w:hint="eastAsia"/>
          <w:sz w:val="20"/>
          <w:szCs w:val="20"/>
        </w:rPr>
        <w:t>（1）</w:t>
      </w:r>
      <w:r>
        <w:rPr>
          <w:sz w:val="20"/>
          <w:szCs w:val="20"/>
        </w:rPr>
        <w:t>采用过程性评价和终结性评价相结合的方式。突出过程评</w:t>
      </w:r>
      <w:r>
        <w:rPr>
          <w:rFonts w:hint="eastAsia"/>
          <w:sz w:val="20"/>
          <w:szCs w:val="20"/>
        </w:rPr>
        <w:t>价，结合课堂提问、课后作业等手段，加强实践性教学环节的考核，注重平时采分。定量评价和定性评价相结合，教师评价和学生自评、互评相结合，使考核与评价有利于激发学生的学习热情，促进学生的发展。</w:t>
      </w:r>
    </w:p>
    <w:p w14:paraId="25AE86D9">
      <w:pPr>
        <w:spacing w:line="360" w:lineRule="auto"/>
        <w:ind w:firstLine="480"/>
        <w:rPr>
          <w:sz w:val="20"/>
          <w:szCs w:val="20"/>
          <w:highlight w:val="none"/>
        </w:rPr>
      </w:pPr>
      <w:r>
        <w:rPr>
          <w:rFonts w:hint="eastAsia"/>
          <w:sz w:val="20"/>
          <w:szCs w:val="20"/>
          <w:highlight w:val="none"/>
        </w:rPr>
        <w:t>（2）考核与评价要根据本课程的特点，改革单一考核方式，不仅关注学生对知识的理解、技能的掌握和能力的提高，还要重视</w:t>
      </w:r>
      <w:r>
        <w:rPr>
          <w:rFonts w:hint="eastAsia"/>
          <w:sz w:val="20"/>
          <w:szCs w:val="20"/>
          <w:highlight w:val="none"/>
          <w:lang w:val="en-US" w:eastAsia="zh-CN"/>
        </w:rPr>
        <w:t>网络</w:t>
      </w:r>
      <w:r>
        <w:rPr>
          <w:rFonts w:hint="eastAsia"/>
          <w:sz w:val="20"/>
          <w:szCs w:val="20"/>
          <w:highlight w:val="none"/>
        </w:rPr>
        <w:t>规范操作、</w:t>
      </w:r>
      <w:r>
        <w:rPr>
          <w:rFonts w:hint="eastAsia"/>
          <w:sz w:val="20"/>
          <w:szCs w:val="20"/>
          <w:highlight w:val="none"/>
          <w:lang w:val="en-US" w:eastAsia="zh-CN"/>
        </w:rPr>
        <w:t>网络安全</w:t>
      </w:r>
      <w:r>
        <w:rPr>
          <w:rFonts w:hint="eastAsia"/>
          <w:sz w:val="20"/>
          <w:szCs w:val="20"/>
          <w:highlight w:val="none"/>
        </w:rPr>
        <w:t>等职业素质的形成，以及树立</w:t>
      </w:r>
      <w:r>
        <w:rPr>
          <w:rFonts w:hint="eastAsia"/>
          <w:sz w:val="20"/>
          <w:szCs w:val="20"/>
          <w:highlight w:val="none"/>
          <w:lang w:val="en-US" w:eastAsia="zh-CN"/>
        </w:rPr>
        <w:t>健康网络</w:t>
      </w:r>
      <w:r>
        <w:rPr>
          <w:rFonts w:hint="eastAsia"/>
          <w:sz w:val="20"/>
          <w:szCs w:val="20"/>
          <w:highlight w:val="none"/>
        </w:rPr>
        <w:t>等意识与观念。</w:t>
      </w:r>
    </w:p>
    <w:p w14:paraId="3377ECC1">
      <w:pPr>
        <w:ind w:firstLine="480"/>
        <w:rPr>
          <w:sz w:val="20"/>
          <w:szCs w:val="20"/>
        </w:rPr>
      </w:pPr>
      <w:r>
        <w:rPr>
          <w:rFonts w:hint="eastAsia"/>
          <w:sz w:val="20"/>
          <w:szCs w:val="20"/>
        </w:rPr>
        <w:t>本课程考核评价建议，如下面表格所示：</w:t>
      </w:r>
    </w:p>
    <w:p w14:paraId="1AC26B40">
      <w:pPr>
        <w:spacing w:before="156" w:beforeLines="50" w:after="156" w:afterLines="50"/>
        <w:jc w:val="center"/>
      </w:pPr>
      <w:r>
        <w:rPr>
          <w:rFonts w:hint="eastAsia"/>
        </w:rPr>
        <w:t>《</w:t>
      </w:r>
      <w:r>
        <w:rPr>
          <w:rFonts w:hint="eastAsia"/>
          <w:lang w:eastAsia="zh-CN"/>
        </w:rPr>
        <w:t>嵌入式操作系统及应用</w:t>
      </w:r>
      <w:r>
        <w:rPr>
          <w:rFonts w:hint="eastAsia"/>
        </w:rPr>
        <w:t>》平时成绩考核表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6"/>
        <w:gridCol w:w="2076"/>
        <w:gridCol w:w="2076"/>
      </w:tblGrid>
      <w:tr w14:paraId="11AC4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DDD9C4"/>
          </w:tcPr>
          <w:p w14:paraId="2F99468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076" w:type="dxa"/>
            <w:shd w:val="clear" w:color="auto" w:fill="DDD9C4"/>
          </w:tcPr>
          <w:p w14:paraId="26326495">
            <w:pPr>
              <w:jc w:val="center"/>
            </w:pPr>
            <w:r>
              <w:rPr>
                <w:rFonts w:hint="eastAsia"/>
              </w:rPr>
              <w:t>考核内容</w:t>
            </w:r>
          </w:p>
        </w:tc>
        <w:tc>
          <w:tcPr>
            <w:tcW w:w="2076" w:type="dxa"/>
            <w:shd w:val="clear" w:color="auto" w:fill="DDD9C4"/>
          </w:tcPr>
          <w:p w14:paraId="764977ED">
            <w:pPr>
              <w:jc w:val="center"/>
            </w:pPr>
            <w:r>
              <w:rPr>
                <w:rFonts w:hint="eastAsia"/>
              </w:rPr>
              <w:t>权重</w:t>
            </w:r>
          </w:p>
        </w:tc>
        <w:tc>
          <w:tcPr>
            <w:tcW w:w="2076" w:type="dxa"/>
            <w:shd w:val="clear" w:color="auto" w:fill="DDD9C4"/>
          </w:tcPr>
          <w:p w14:paraId="7B8AAA18">
            <w:pPr>
              <w:jc w:val="center"/>
            </w:pPr>
            <w:r>
              <w:rPr>
                <w:rFonts w:hint="eastAsia"/>
              </w:rPr>
              <w:t>占总分值</w:t>
            </w:r>
          </w:p>
        </w:tc>
      </w:tr>
      <w:tr w14:paraId="2D7F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vMerge w:val="restart"/>
            <w:vAlign w:val="center"/>
          </w:tcPr>
          <w:p w14:paraId="189C8A5A">
            <w:pPr>
              <w:jc w:val="center"/>
            </w:pPr>
            <w:r>
              <w:rPr>
                <w:rFonts w:hint="eastAsia"/>
              </w:rPr>
              <w:t>平时评价考核</w:t>
            </w:r>
          </w:p>
        </w:tc>
        <w:tc>
          <w:tcPr>
            <w:tcW w:w="2076" w:type="dxa"/>
            <w:vAlign w:val="center"/>
          </w:tcPr>
          <w:p w14:paraId="48745697">
            <w:pPr>
              <w:jc w:val="center"/>
            </w:pPr>
            <w:r>
              <w:rPr>
                <w:rFonts w:hint="eastAsia"/>
              </w:rPr>
              <w:t>考勤情况</w:t>
            </w:r>
          </w:p>
        </w:tc>
        <w:tc>
          <w:tcPr>
            <w:tcW w:w="2076" w:type="dxa"/>
            <w:vAlign w:val="center"/>
          </w:tcPr>
          <w:p w14:paraId="322ACC07">
            <w:pPr>
              <w:jc w:val="center"/>
            </w:pPr>
            <w:r>
              <w:rPr>
                <w:rFonts w:hint="eastAsia"/>
              </w:rPr>
              <w:t>1</w:t>
            </w:r>
            <w:r>
              <w:t>0%</w:t>
            </w:r>
          </w:p>
        </w:tc>
        <w:tc>
          <w:tcPr>
            <w:tcW w:w="2076" w:type="dxa"/>
            <w:vMerge w:val="restart"/>
            <w:vAlign w:val="center"/>
          </w:tcPr>
          <w:p w14:paraId="2EE1F4F9">
            <w:pPr>
              <w:jc w:val="center"/>
            </w:pPr>
            <w:r>
              <w:rPr>
                <w:rFonts w:hint="eastAsia"/>
              </w:rPr>
              <w:t>6</w:t>
            </w:r>
            <w:r>
              <w:t>0%</w:t>
            </w:r>
          </w:p>
        </w:tc>
      </w:tr>
      <w:tr w14:paraId="273C8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vMerge w:val="continue"/>
            <w:vAlign w:val="center"/>
          </w:tcPr>
          <w:p w14:paraId="16ECBB65">
            <w:pPr>
              <w:jc w:val="center"/>
            </w:pPr>
          </w:p>
        </w:tc>
        <w:tc>
          <w:tcPr>
            <w:tcW w:w="2076" w:type="dxa"/>
            <w:vAlign w:val="center"/>
          </w:tcPr>
          <w:p w14:paraId="12DDC339">
            <w:pPr>
              <w:jc w:val="center"/>
            </w:pPr>
            <w:r>
              <w:rPr>
                <w:rFonts w:hint="eastAsia"/>
              </w:rPr>
              <w:t>作业情况</w:t>
            </w:r>
          </w:p>
        </w:tc>
        <w:tc>
          <w:tcPr>
            <w:tcW w:w="2076" w:type="dxa"/>
            <w:vAlign w:val="center"/>
          </w:tcPr>
          <w:p w14:paraId="609717A7">
            <w:pPr>
              <w:jc w:val="center"/>
            </w:pPr>
            <w:r>
              <w:rPr>
                <w:rFonts w:hint="eastAsia"/>
              </w:rPr>
              <w:t>1</w:t>
            </w:r>
            <w:r>
              <w:t>0%</w:t>
            </w:r>
          </w:p>
        </w:tc>
        <w:tc>
          <w:tcPr>
            <w:tcW w:w="2076" w:type="dxa"/>
            <w:vMerge w:val="continue"/>
            <w:vAlign w:val="center"/>
          </w:tcPr>
          <w:p w14:paraId="1F73597B">
            <w:pPr>
              <w:jc w:val="center"/>
            </w:pPr>
          </w:p>
        </w:tc>
      </w:tr>
      <w:tr w14:paraId="3163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vMerge w:val="continue"/>
            <w:vAlign w:val="center"/>
          </w:tcPr>
          <w:p w14:paraId="5840B435">
            <w:pPr>
              <w:jc w:val="center"/>
            </w:pPr>
          </w:p>
        </w:tc>
        <w:tc>
          <w:tcPr>
            <w:tcW w:w="2076" w:type="dxa"/>
            <w:vAlign w:val="center"/>
          </w:tcPr>
          <w:p w14:paraId="454E463F">
            <w:pPr>
              <w:jc w:val="center"/>
            </w:pPr>
            <w:r>
              <w:rPr>
                <w:rFonts w:hint="eastAsia"/>
              </w:rPr>
              <w:t>课堂表现</w:t>
            </w:r>
          </w:p>
        </w:tc>
        <w:tc>
          <w:tcPr>
            <w:tcW w:w="2076" w:type="dxa"/>
            <w:vAlign w:val="center"/>
          </w:tcPr>
          <w:p w14:paraId="66E9B56D">
            <w:pPr>
              <w:jc w:val="center"/>
            </w:pPr>
            <w:r>
              <w:rPr>
                <w:rFonts w:hint="eastAsia"/>
              </w:rPr>
              <w:t>1</w:t>
            </w:r>
            <w:r>
              <w:t>0%</w:t>
            </w:r>
          </w:p>
        </w:tc>
        <w:tc>
          <w:tcPr>
            <w:tcW w:w="2076" w:type="dxa"/>
            <w:vMerge w:val="continue"/>
            <w:vAlign w:val="center"/>
          </w:tcPr>
          <w:p w14:paraId="2EE20EEF">
            <w:pPr>
              <w:jc w:val="center"/>
            </w:pPr>
          </w:p>
        </w:tc>
      </w:tr>
      <w:tr w14:paraId="2B71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2075" w:type="dxa"/>
            <w:vMerge w:val="restart"/>
            <w:vAlign w:val="center"/>
          </w:tcPr>
          <w:p w14:paraId="593F5E4F">
            <w:pPr>
              <w:jc w:val="center"/>
            </w:pPr>
            <w:r>
              <w:rPr>
                <w:rFonts w:hint="eastAsia"/>
              </w:rPr>
              <w:t>项目实施过程考核</w:t>
            </w:r>
          </w:p>
        </w:tc>
        <w:tc>
          <w:tcPr>
            <w:tcW w:w="2076" w:type="dxa"/>
            <w:vAlign w:val="center"/>
          </w:tcPr>
          <w:p w14:paraId="6F11F050">
            <w:pPr>
              <w:jc w:val="center"/>
            </w:pPr>
            <w:r>
              <w:rPr>
                <w:rFonts w:hint="eastAsia"/>
              </w:rPr>
              <w:t>知识点掌握</w:t>
            </w:r>
          </w:p>
        </w:tc>
        <w:tc>
          <w:tcPr>
            <w:tcW w:w="2076" w:type="dxa"/>
            <w:vAlign w:val="center"/>
          </w:tcPr>
          <w:p w14:paraId="1E3D1152">
            <w:pPr>
              <w:jc w:val="center"/>
            </w:pPr>
            <w:r>
              <w:rPr>
                <w:rFonts w:hint="eastAsia"/>
              </w:rPr>
              <w:t>2</w:t>
            </w:r>
            <w:r>
              <w:t>0%</w:t>
            </w:r>
          </w:p>
        </w:tc>
        <w:tc>
          <w:tcPr>
            <w:tcW w:w="2076" w:type="dxa"/>
            <w:vMerge w:val="continue"/>
            <w:vAlign w:val="center"/>
          </w:tcPr>
          <w:p w14:paraId="27CE2BC4">
            <w:pPr>
              <w:jc w:val="center"/>
            </w:pPr>
          </w:p>
        </w:tc>
      </w:tr>
      <w:tr w14:paraId="54424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75" w:type="dxa"/>
            <w:vMerge w:val="continue"/>
            <w:vAlign w:val="center"/>
          </w:tcPr>
          <w:p w14:paraId="46243614">
            <w:pPr>
              <w:jc w:val="center"/>
            </w:pPr>
          </w:p>
        </w:tc>
        <w:tc>
          <w:tcPr>
            <w:tcW w:w="2076" w:type="dxa"/>
            <w:vAlign w:val="center"/>
          </w:tcPr>
          <w:p w14:paraId="763B72FB">
            <w:pPr>
              <w:jc w:val="center"/>
            </w:pPr>
            <w:r>
              <w:rPr>
                <w:rFonts w:hint="eastAsia"/>
              </w:rPr>
              <w:t>技能点掌握</w:t>
            </w:r>
          </w:p>
        </w:tc>
        <w:tc>
          <w:tcPr>
            <w:tcW w:w="2076" w:type="dxa"/>
            <w:vAlign w:val="center"/>
          </w:tcPr>
          <w:p w14:paraId="61B6FF97">
            <w:pPr>
              <w:jc w:val="center"/>
            </w:pPr>
            <w:r>
              <w:rPr>
                <w:rFonts w:hint="eastAsia"/>
              </w:rPr>
              <w:t>3</w:t>
            </w:r>
            <w:r>
              <w:t>0%</w:t>
            </w:r>
          </w:p>
        </w:tc>
        <w:tc>
          <w:tcPr>
            <w:tcW w:w="2076" w:type="dxa"/>
            <w:vMerge w:val="continue"/>
            <w:vAlign w:val="center"/>
          </w:tcPr>
          <w:p w14:paraId="44784029">
            <w:pPr>
              <w:jc w:val="center"/>
            </w:pPr>
          </w:p>
        </w:tc>
      </w:tr>
      <w:tr w14:paraId="6271D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vMerge w:val="continue"/>
            <w:vAlign w:val="center"/>
          </w:tcPr>
          <w:p w14:paraId="0E648D57">
            <w:pPr>
              <w:jc w:val="center"/>
            </w:pPr>
          </w:p>
        </w:tc>
        <w:tc>
          <w:tcPr>
            <w:tcW w:w="2076" w:type="dxa"/>
            <w:vAlign w:val="center"/>
          </w:tcPr>
          <w:p w14:paraId="428EFD59">
            <w:pPr>
              <w:jc w:val="center"/>
            </w:pPr>
            <w:r>
              <w:rPr>
                <w:rFonts w:hint="eastAsia"/>
              </w:rPr>
              <w:t>综合素质</w:t>
            </w:r>
          </w:p>
        </w:tc>
        <w:tc>
          <w:tcPr>
            <w:tcW w:w="2076" w:type="dxa"/>
            <w:vAlign w:val="center"/>
          </w:tcPr>
          <w:p w14:paraId="029A28C3">
            <w:pPr>
              <w:jc w:val="center"/>
            </w:pPr>
            <w:r>
              <w:rPr>
                <w:rFonts w:hint="eastAsia"/>
              </w:rPr>
              <w:t>1</w:t>
            </w:r>
            <w:r>
              <w:t>0%</w:t>
            </w:r>
          </w:p>
        </w:tc>
        <w:tc>
          <w:tcPr>
            <w:tcW w:w="2076" w:type="dxa"/>
            <w:vMerge w:val="continue"/>
            <w:vAlign w:val="center"/>
          </w:tcPr>
          <w:p w14:paraId="6F1A63C1">
            <w:pPr>
              <w:jc w:val="center"/>
            </w:pPr>
          </w:p>
        </w:tc>
      </w:tr>
      <w:tr w14:paraId="2FF7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vAlign w:val="center"/>
          </w:tcPr>
          <w:p w14:paraId="441F5AA3">
            <w:pPr>
              <w:jc w:val="center"/>
            </w:pPr>
            <w:r>
              <w:rPr>
                <w:rFonts w:hint="eastAsia"/>
              </w:rPr>
              <w:t>项目综合评价考核</w:t>
            </w:r>
          </w:p>
        </w:tc>
        <w:tc>
          <w:tcPr>
            <w:tcW w:w="2076" w:type="dxa"/>
            <w:vAlign w:val="center"/>
          </w:tcPr>
          <w:p w14:paraId="01E504AC">
            <w:pPr>
              <w:jc w:val="center"/>
            </w:pPr>
            <w:r>
              <w:rPr>
                <w:rFonts w:hint="eastAsia"/>
              </w:rPr>
              <w:t>项目完成整体评价</w:t>
            </w:r>
          </w:p>
        </w:tc>
        <w:tc>
          <w:tcPr>
            <w:tcW w:w="2076" w:type="dxa"/>
            <w:vAlign w:val="center"/>
          </w:tcPr>
          <w:p w14:paraId="49F0EBB6">
            <w:pPr>
              <w:jc w:val="center"/>
            </w:pPr>
            <w:r>
              <w:rPr>
                <w:rFonts w:hint="eastAsia"/>
              </w:rPr>
              <w:t>1</w:t>
            </w:r>
            <w:r>
              <w:t>0%</w:t>
            </w:r>
          </w:p>
        </w:tc>
        <w:tc>
          <w:tcPr>
            <w:tcW w:w="2076" w:type="dxa"/>
            <w:vMerge w:val="continue"/>
            <w:vAlign w:val="center"/>
          </w:tcPr>
          <w:p w14:paraId="3A8F8BEC">
            <w:pPr>
              <w:jc w:val="center"/>
            </w:pPr>
          </w:p>
        </w:tc>
      </w:tr>
    </w:tbl>
    <w:p w14:paraId="4C0D239E">
      <w:pPr>
        <w:spacing w:before="156" w:beforeLines="50" w:after="156" w:afterLines="50"/>
        <w:jc w:val="center"/>
      </w:pPr>
      <w:r>
        <w:rPr>
          <w:rFonts w:hint="eastAsia"/>
        </w:rPr>
        <w:t>《</w:t>
      </w:r>
      <w:r>
        <w:rPr>
          <w:rFonts w:hint="eastAsia"/>
          <w:lang w:eastAsia="zh-CN"/>
        </w:rPr>
        <w:t>嵌入式操作系统及应用</w:t>
      </w:r>
      <w:r>
        <w:rPr>
          <w:rFonts w:hint="eastAsia"/>
        </w:rPr>
        <w:t>》课程期末考核表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6"/>
        <w:gridCol w:w="2076"/>
        <w:gridCol w:w="2076"/>
      </w:tblGrid>
      <w:tr w14:paraId="7AE33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DDD9C4"/>
            <w:vAlign w:val="center"/>
          </w:tcPr>
          <w:p w14:paraId="2F1C4D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076" w:type="dxa"/>
            <w:shd w:val="clear" w:color="auto" w:fill="DDD9C4"/>
            <w:vAlign w:val="center"/>
          </w:tcPr>
          <w:p w14:paraId="6BE540CD">
            <w:pPr>
              <w:jc w:val="center"/>
            </w:pPr>
            <w:r>
              <w:rPr>
                <w:rFonts w:hint="eastAsia"/>
              </w:rPr>
              <w:t>考核内容</w:t>
            </w:r>
          </w:p>
        </w:tc>
        <w:tc>
          <w:tcPr>
            <w:tcW w:w="2076" w:type="dxa"/>
            <w:shd w:val="clear" w:color="auto" w:fill="DDD9C4"/>
            <w:vAlign w:val="center"/>
          </w:tcPr>
          <w:p w14:paraId="54F3E6EB">
            <w:pPr>
              <w:jc w:val="center"/>
            </w:pPr>
            <w:r>
              <w:rPr>
                <w:rFonts w:hint="eastAsia"/>
              </w:rPr>
              <w:t>权重</w:t>
            </w:r>
          </w:p>
        </w:tc>
        <w:tc>
          <w:tcPr>
            <w:tcW w:w="2076" w:type="dxa"/>
            <w:shd w:val="clear" w:color="auto" w:fill="DDD9C4"/>
            <w:vAlign w:val="center"/>
          </w:tcPr>
          <w:p w14:paraId="2BEE9552">
            <w:pPr>
              <w:jc w:val="center"/>
            </w:pPr>
            <w:r>
              <w:rPr>
                <w:rFonts w:hint="eastAsia"/>
              </w:rPr>
              <w:t>占总分值</w:t>
            </w:r>
          </w:p>
        </w:tc>
      </w:tr>
      <w:tr w14:paraId="116A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vAlign w:val="center"/>
          </w:tcPr>
          <w:p w14:paraId="7AB5D2B4">
            <w:pPr>
              <w:jc w:val="center"/>
            </w:pPr>
            <w:r>
              <w:rPr>
                <w:rFonts w:hint="eastAsia"/>
              </w:rPr>
              <w:t>期末理论考核</w:t>
            </w:r>
          </w:p>
        </w:tc>
        <w:tc>
          <w:tcPr>
            <w:tcW w:w="2076" w:type="dxa"/>
            <w:vAlign w:val="center"/>
          </w:tcPr>
          <w:p w14:paraId="2C612CF7">
            <w:r>
              <w:rPr>
                <w:rFonts w:hint="eastAsia"/>
              </w:rPr>
              <w:t>本课程所有项目所涉及的所有知识点。建立理论试题库，学生随机抽题考核。</w:t>
            </w:r>
          </w:p>
        </w:tc>
        <w:tc>
          <w:tcPr>
            <w:tcW w:w="2076" w:type="dxa"/>
            <w:vAlign w:val="center"/>
          </w:tcPr>
          <w:p w14:paraId="2706D706">
            <w:pPr>
              <w:jc w:val="center"/>
            </w:pPr>
            <w:r>
              <w:rPr>
                <w:rFonts w:hint="eastAsia"/>
                <w:lang w:val="en-US" w:eastAsia="zh-CN"/>
              </w:rPr>
              <w:t>70</w:t>
            </w:r>
            <w:r>
              <w:t>%</w:t>
            </w:r>
          </w:p>
        </w:tc>
        <w:tc>
          <w:tcPr>
            <w:tcW w:w="2076" w:type="dxa"/>
            <w:vMerge w:val="restart"/>
            <w:vAlign w:val="center"/>
          </w:tcPr>
          <w:p w14:paraId="4C73CC1C">
            <w:pPr>
              <w:jc w:val="center"/>
            </w:pPr>
            <w:r>
              <w:rPr>
                <w:rFonts w:hint="eastAsia"/>
              </w:rPr>
              <w:t>4</w:t>
            </w:r>
            <w:r>
              <w:t>0%</w:t>
            </w:r>
          </w:p>
        </w:tc>
      </w:tr>
      <w:tr w14:paraId="5D8F1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vAlign w:val="center"/>
          </w:tcPr>
          <w:p w14:paraId="2E7CE48F">
            <w:pPr>
              <w:jc w:val="center"/>
            </w:pPr>
            <w:r>
              <w:rPr>
                <w:rFonts w:hint="eastAsia"/>
              </w:rPr>
              <w:t>期末技能考核</w:t>
            </w:r>
          </w:p>
        </w:tc>
        <w:tc>
          <w:tcPr>
            <w:tcW w:w="2076" w:type="dxa"/>
            <w:vAlign w:val="center"/>
          </w:tcPr>
          <w:p w14:paraId="0859125A">
            <w:r>
              <w:rPr>
                <w:rFonts w:hint="eastAsia"/>
              </w:rPr>
              <w:t>本课程所有项目所涉及的所有技能点。建立技能试题库，学生随机抽题考核。</w:t>
            </w:r>
          </w:p>
        </w:tc>
        <w:tc>
          <w:tcPr>
            <w:tcW w:w="2076" w:type="dxa"/>
            <w:vAlign w:val="center"/>
          </w:tcPr>
          <w:p w14:paraId="5C21B659">
            <w:pPr>
              <w:jc w:val="center"/>
            </w:pPr>
            <w:r>
              <w:rPr>
                <w:rFonts w:hint="eastAsia"/>
                <w:lang w:val="en-US" w:eastAsia="zh-CN"/>
              </w:rPr>
              <w:t>30</w:t>
            </w:r>
            <w:r>
              <w:t>%</w:t>
            </w:r>
          </w:p>
        </w:tc>
        <w:tc>
          <w:tcPr>
            <w:tcW w:w="2076" w:type="dxa"/>
            <w:vMerge w:val="continue"/>
            <w:vAlign w:val="center"/>
          </w:tcPr>
          <w:p w14:paraId="145D6241"/>
        </w:tc>
      </w:tr>
    </w:tbl>
    <w:p w14:paraId="5658441E">
      <w:pPr>
        <w:pStyle w:val="3"/>
        <w:ind w:left="0" w:leftChars="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六、教学实施与保障</w:t>
      </w:r>
    </w:p>
    <w:p w14:paraId="144711E7">
      <w:pPr>
        <w:spacing w:line="360" w:lineRule="auto"/>
        <w:rPr>
          <w:rFonts w:hint="eastAsia" w:ascii="黑体" w:hAnsi="黑体" w:eastAsia="黑体" w:cs="黑体"/>
          <w:sz w:val="24"/>
          <w:lang w:eastAsia="zh-CN"/>
        </w:rPr>
      </w:pPr>
      <w:r>
        <w:rPr>
          <w:rFonts w:hint="eastAsia" w:ascii="黑体" w:hAnsi="黑体" w:eastAsia="黑体" w:cs="黑体"/>
          <w:sz w:val="24"/>
          <w:lang w:eastAsia="zh-CN"/>
        </w:rPr>
        <w:t>（一）授课教师的基本要求</w:t>
      </w:r>
    </w:p>
    <w:p w14:paraId="20D3D5DB">
      <w:pPr>
        <w:spacing w:line="360" w:lineRule="auto"/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首先，教师应具备扎实的专业知识，能够准确、深入地讲解课程内容。其次，教师应具备良好的教学能力，能够运用多样化的教学方法，激发学生的学习兴趣和积极性。此外，教师还应具备良好的沟通技巧，能够有效地与学生互动，了解学生的需求和困惑，并给予及时的反馈和指导。最后，教师应具备持续学习和自我提升的意识，不断更新教学内容和方法，以适应教育发展的需求。</w:t>
      </w:r>
    </w:p>
    <w:p w14:paraId="67B55A40">
      <w:pPr>
        <w:spacing w:line="360" w:lineRule="auto"/>
        <w:rPr>
          <w:rFonts w:hint="eastAsia" w:ascii="黑体" w:hAnsi="黑体" w:eastAsia="黑体" w:cs="黑体"/>
          <w:sz w:val="24"/>
          <w:lang w:eastAsia="zh-CN"/>
        </w:rPr>
      </w:pPr>
      <w:r>
        <w:rPr>
          <w:rFonts w:hint="eastAsia" w:ascii="黑体" w:hAnsi="黑体" w:eastAsia="黑体" w:cs="黑体"/>
          <w:sz w:val="24"/>
          <w:lang w:eastAsia="zh-CN"/>
        </w:rPr>
        <w:t>（二）教材及参考书的选用</w:t>
      </w:r>
    </w:p>
    <w:p w14:paraId="3082DC40">
      <w:pPr>
        <w:spacing w:line="360" w:lineRule="auto"/>
        <w:ind w:firstLine="420" w:firstLineChars="2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教材应具备科学性、系统性和实用性，能够全面覆盖课程大纲的要求，并且内容应贴近实际，易于学生理解和掌握。参考书则应具有较高的学术价值和参考价值，能够为学生提供更广泛的知识视野和深入的学习资料。教师在选用教材和参考书时，应充分考虑学生的实际情况，选择适合学生认知水平和学习需求的书籍。同时，教师还应关注教材的更新情况，及时引入最新的研究成果和学术动态，以保证教学内容的前沿性和时效性。</w:t>
      </w:r>
    </w:p>
    <w:p w14:paraId="361DDA2F">
      <w:pPr>
        <w:spacing w:line="360" w:lineRule="auto"/>
        <w:rPr>
          <w:rFonts w:hint="eastAsia" w:ascii="黑体" w:hAnsi="黑体" w:eastAsia="黑体" w:cs="黑体"/>
          <w:sz w:val="24"/>
          <w:lang w:eastAsia="zh-CN"/>
        </w:rPr>
      </w:pPr>
      <w:r>
        <w:rPr>
          <w:rFonts w:hint="eastAsia" w:ascii="黑体" w:hAnsi="黑体" w:eastAsia="黑体" w:cs="黑体"/>
          <w:sz w:val="24"/>
          <w:lang w:eastAsia="zh-CN"/>
        </w:rPr>
        <w:t>（三）教学方法与教学策略</w:t>
      </w:r>
    </w:p>
    <w:p w14:paraId="47E1DAB2">
      <w:pPr>
        <w:spacing w:line="360" w:lineRule="auto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val="en-US" w:eastAsia="zh-CN"/>
        </w:rPr>
        <w:t xml:space="preserve">    </w:t>
      </w:r>
      <w:r>
        <w:rPr>
          <w:rFonts w:hint="eastAsia" w:ascii="宋体" w:hAnsi="宋体"/>
          <w:szCs w:val="21"/>
          <w:lang w:eastAsia="zh-CN"/>
        </w:rPr>
        <w:t>教师应根据课程特点和学生实际情况，灵活运用多种教学方法，如讲授法、讨论法、案例分析法、实验法等，以提高学生的学习兴趣和参与度。同时，教师还应制定科学的教学策略，如分层教学、个性化教学、合作学习等，以满足不同学生的学习需求。此外，教师应注重培养学生的自主学习能力和批判性思维能力，引导学生主动探索和思考问题。在教学过程中，教师还应注重评价与反馈，及时调整教学方法和策略，以确保教学目标的实现。</w:t>
      </w:r>
    </w:p>
    <w:p w14:paraId="67AE5A3E">
      <w:pPr>
        <w:spacing w:line="360" w:lineRule="auto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（四）教学实训条件要求</w:t>
      </w:r>
    </w:p>
    <w:p w14:paraId="74E903A3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1.校内实训基地</w:t>
      </w:r>
    </w:p>
    <w:p w14:paraId="793A9FE9">
      <w:pPr>
        <w:spacing w:line="360" w:lineRule="auto"/>
        <w:ind w:firstLine="420" w:firstLineChars="200"/>
        <w:rPr>
          <w:rFonts w:ascii="黑体" w:hAnsi="黑体" w:eastAsia="黑体" w:cs="黑体"/>
          <w:sz w:val="24"/>
        </w:rPr>
      </w:pPr>
      <w:r>
        <w:rPr>
          <w:rFonts w:hint="eastAsia" w:ascii="宋体" w:hAnsi="宋体"/>
          <w:szCs w:val="21"/>
        </w:rPr>
        <w:t>学校建有一间功能齐全的</w:t>
      </w:r>
      <w:r>
        <w:rPr>
          <w:rFonts w:hint="eastAsia" w:ascii="宋体" w:hAnsi="宋体"/>
          <w:szCs w:val="21"/>
          <w:lang w:val="en-US" w:eastAsia="zh-CN"/>
        </w:rPr>
        <w:t>新大陆实训基地</w:t>
      </w:r>
      <w:r>
        <w:rPr>
          <w:rFonts w:hint="eastAsia" w:ascii="宋体" w:hAnsi="宋体"/>
          <w:szCs w:val="21"/>
        </w:rPr>
        <w:t>实训室，拥有</w:t>
      </w:r>
      <w:r>
        <w:rPr>
          <w:rFonts w:hint="eastAsia" w:ascii="宋体" w:hAnsi="宋体"/>
          <w:szCs w:val="21"/>
          <w:lang w:val="en-US" w:eastAsia="zh-CN"/>
        </w:rPr>
        <w:t>50</w:t>
      </w:r>
      <w:r>
        <w:rPr>
          <w:rFonts w:hint="eastAsia" w:ascii="宋体" w:hAnsi="宋体"/>
          <w:szCs w:val="21"/>
        </w:rPr>
        <w:t>台</w:t>
      </w:r>
      <w:r>
        <w:rPr>
          <w:rFonts w:hint="eastAsia" w:ascii="宋体" w:hAnsi="宋体"/>
          <w:szCs w:val="21"/>
          <w:lang w:val="en-US" w:eastAsia="zh-CN"/>
        </w:rPr>
        <w:t>电脑设备</w:t>
      </w:r>
      <w:r>
        <w:rPr>
          <w:rFonts w:hint="eastAsia" w:ascii="宋体" w:hAnsi="宋体"/>
          <w:szCs w:val="21"/>
        </w:rPr>
        <w:t>，多媒体教学设备一套，能较好的满足本课程的理实一体教学。</w:t>
      </w:r>
    </w:p>
    <w:p w14:paraId="5915AF92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2.校外实习基地</w:t>
      </w:r>
    </w:p>
    <w:p w14:paraId="2FFD4CAE">
      <w:pPr>
        <w:pStyle w:val="3"/>
        <w:spacing w:line="360" w:lineRule="auto"/>
        <w:ind w:left="0" w:leftChars="0"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学校与</w:t>
      </w:r>
      <w:r>
        <w:rPr>
          <w:rFonts w:hint="eastAsia" w:ascii="宋体" w:hAnsi="宋体"/>
          <w:szCs w:val="21"/>
          <w:lang w:val="en-US" w:eastAsia="zh-CN"/>
        </w:rPr>
        <w:t>京东</w:t>
      </w:r>
      <w:r>
        <w:rPr>
          <w:rFonts w:hint="eastAsia" w:ascii="宋体" w:hAnsi="宋体"/>
          <w:szCs w:val="21"/>
        </w:rPr>
        <w:t>等公司建立校企合作，为学生提供实习、参与实际项目的机会，学生可在</w:t>
      </w:r>
      <w:r>
        <w:rPr>
          <w:rFonts w:hint="eastAsia" w:ascii="宋体" w:hAnsi="宋体"/>
          <w:szCs w:val="21"/>
          <w:lang w:val="en-US" w:eastAsia="zh-CN"/>
        </w:rPr>
        <w:t>新大陆鸿蒙应用开发岗位</w:t>
      </w:r>
      <w:r>
        <w:rPr>
          <w:rFonts w:hint="eastAsia" w:ascii="宋体" w:hAnsi="宋体"/>
          <w:szCs w:val="21"/>
        </w:rPr>
        <w:t>观察和学习</w:t>
      </w:r>
      <w:r>
        <w:rPr>
          <w:rFonts w:hint="eastAsia" w:ascii="宋体" w:hAnsi="宋体"/>
          <w:szCs w:val="21"/>
          <w:lang w:val="en-US" w:eastAsia="zh-CN"/>
        </w:rPr>
        <w:t>嵌入式操作系统及应用</w:t>
      </w:r>
      <w:r>
        <w:rPr>
          <w:rFonts w:hint="eastAsia" w:ascii="宋体" w:hAnsi="宋体"/>
          <w:szCs w:val="21"/>
        </w:rPr>
        <w:t>技术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hint="eastAsia" w:ascii="宋体" w:hAnsi="宋体"/>
          <w:szCs w:val="21"/>
          <w:highlight w:val="none"/>
        </w:rPr>
        <w:t>为职业生涯发展打下扎实基础。</w:t>
      </w:r>
    </w:p>
    <w:p w14:paraId="2373847B">
      <w:pPr>
        <w:spacing w:line="360" w:lineRule="auto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（五）</w:t>
      </w:r>
      <w:r>
        <w:rPr>
          <w:rFonts w:hint="eastAsia" w:ascii="黑体" w:hAnsi="黑体" w:eastAsia="黑体" w:cs="黑体"/>
          <w:color w:val="000000"/>
          <w:sz w:val="24"/>
        </w:rPr>
        <w:t>课程资源建</w:t>
      </w:r>
      <w:r>
        <w:rPr>
          <w:rFonts w:hint="eastAsia" w:ascii="黑体" w:hAnsi="黑体" w:eastAsia="黑体" w:cs="黑体"/>
          <w:sz w:val="24"/>
        </w:rPr>
        <w:t>设要求</w:t>
      </w:r>
    </w:p>
    <w:p w14:paraId="32A585C0">
      <w:pPr>
        <w:pStyle w:val="3"/>
        <w:spacing w:line="360" w:lineRule="auto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1.多媒体教学资源</w:t>
      </w:r>
    </w:p>
    <w:p w14:paraId="1308F47D">
      <w:pPr>
        <w:spacing w:line="360" w:lineRule="auto"/>
        <w:ind w:firstLine="42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开发教学资源库，完善PPT课件、电子教案、习题库、试题库、模拟试卷、视频、录像等课程资源，为学生提供多维、动态、活跃、自主的学习资源。</w:t>
      </w:r>
    </w:p>
    <w:p w14:paraId="59981BCD">
      <w:pPr>
        <w:spacing w:line="360" w:lineRule="auto"/>
        <w:ind w:firstLine="420" w:firstLineChars="200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2.网络平台资源</w:t>
      </w:r>
    </w:p>
    <w:p w14:paraId="3B6F70BF">
      <w:pPr>
        <w:pStyle w:val="3"/>
        <w:spacing w:line="360" w:lineRule="auto"/>
        <w:ind w:left="0" w:leftChars="0" w:firstLine="42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积极利用网络平台课程资源，如国家智慧职教公共服务平台，超星学银在线、中国大学MOOC（慕课）平台等教学资源，使教学从单一媒体向多种媒体转变；教学活动从信息的单向传递向双向交换转变；学生单独学习向合作学习转变。</w:t>
      </w:r>
    </w:p>
    <w:p w14:paraId="3D453118">
      <w:pPr>
        <w:pStyle w:val="3"/>
        <w:spacing w:line="360" w:lineRule="auto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3.实践教学资源</w:t>
      </w:r>
    </w:p>
    <w:p w14:paraId="22793A2A">
      <w:pPr>
        <w:spacing w:line="360" w:lineRule="auto"/>
        <w:ind w:firstLine="42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充分利用学校的实训设施设备，将理论与实践相融合，满足学生综合职业能力培养的要求。</w:t>
      </w:r>
    </w:p>
    <w:p w14:paraId="1FB92BEF">
      <w:pPr>
        <w:spacing w:line="360" w:lineRule="auto"/>
        <w:ind w:firstLine="42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4.行业资源与案例库</w:t>
      </w:r>
    </w:p>
    <w:p w14:paraId="1DD73F07">
      <w:pPr>
        <w:spacing w:line="360" w:lineRule="auto"/>
        <w:ind w:firstLine="42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系统地搜集并整理</w:t>
      </w:r>
      <w:r>
        <w:rPr>
          <w:rFonts w:hint="eastAsia" w:ascii="宋体" w:hAnsi="宋体" w:cs="宋体"/>
          <w:szCs w:val="21"/>
          <w:lang w:val="en-US" w:eastAsia="zh-CN"/>
        </w:rPr>
        <w:t>鸿蒙应用开发</w:t>
      </w:r>
      <w:r>
        <w:rPr>
          <w:rFonts w:hint="eastAsia" w:ascii="宋体" w:hAnsi="宋体" w:cs="宋体"/>
          <w:szCs w:val="21"/>
        </w:rPr>
        <w:t>行业的最新资讯、技术标准和规范，打造案例库，选具有代表性的</w:t>
      </w:r>
      <w:r>
        <w:rPr>
          <w:rFonts w:hint="eastAsia" w:ascii="宋体" w:hAnsi="宋体" w:cs="宋体"/>
          <w:szCs w:val="21"/>
          <w:lang w:val="en-US" w:eastAsia="zh-CN"/>
        </w:rPr>
        <w:t>鸿蒙应用开发</w:t>
      </w:r>
      <w:r>
        <w:rPr>
          <w:rFonts w:hint="eastAsia" w:ascii="宋体" w:hAnsi="宋体" w:cs="宋体"/>
          <w:szCs w:val="21"/>
        </w:rPr>
        <w:t>项目案例，这些案例将用于教学分析和实践研讨，以增强学生的行业洞察力和实战能力。</w:t>
      </w:r>
    </w:p>
    <w:p w14:paraId="6599A2CB">
      <w:pPr>
        <w:spacing w:line="360" w:lineRule="auto"/>
        <w:ind w:firstLine="420" w:firstLineChars="200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5.专业课程思政资源</w:t>
      </w:r>
    </w:p>
    <w:p w14:paraId="520728E0">
      <w:pPr>
        <w:spacing w:line="360" w:lineRule="auto"/>
        <w:ind w:firstLine="42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充分利用学校课程思政资源库，将思政元素案例与教学内容相结合，培养学生树立爱国情怀、民族自豪感，引导学</w:t>
      </w:r>
      <w:r>
        <w:rPr>
          <w:rFonts w:hint="eastAsia" w:ascii="宋体" w:hAnsi="宋体" w:cs="宋体"/>
          <w:szCs w:val="21"/>
          <w:highlight w:val="none"/>
        </w:rPr>
        <w:t>生对社会主义核心价值观的认同。</w:t>
      </w:r>
    </w:p>
    <w:p w14:paraId="77B7FF20">
      <w:pPr>
        <w:pStyle w:val="3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七、教学进程与安排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900"/>
        <w:gridCol w:w="3162"/>
        <w:gridCol w:w="2791"/>
      </w:tblGrid>
      <w:tr w14:paraId="2FFE2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vAlign w:val="center"/>
          </w:tcPr>
          <w:p w14:paraId="2A96E2C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周次</w:t>
            </w:r>
          </w:p>
        </w:tc>
        <w:tc>
          <w:tcPr>
            <w:tcW w:w="900" w:type="dxa"/>
            <w:vAlign w:val="center"/>
          </w:tcPr>
          <w:p w14:paraId="7985A3C8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课时</w:t>
            </w:r>
          </w:p>
        </w:tc>
        <w:tc>
          <w:tcPr>
            <w:tcW w:w="3162" w:type="dxa"/>
            <w:vAlign w:val="center"/>
          </w:tcPr>
          <w:p w14:paraId="16E92D2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学习任务/项目名称</w:t>
            </w:r>
          </w:p>
        </w:tc>
        <w:tc>
          <w:tcPr>
            <w:tcW w:w="2791" w:type="dxa"/>
            <w:vAlign w:val="center"/>
          </w:tcPr>
          <w:p w14:paraId="0A766154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教学组织</w:t>
            </w:r>
          </w:p>
          <w:p w14:paraId="7A808869">
            <w:pPr>
              <w:pStyle w:val="3"/>
              <w:ind w:left="0" w:left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（理论、实操、理实一体）</w:t>
            </w:r>
          </w:p>
        </w:tc>
      </w:tr>
      <w:tr w14:paraId="432FB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vAlign w:val="center"/>
          </w:tcPr>
          <w:p w14:paraId="4523EC4D">
            <w:pPr>
              <w:jc w:val="center"/>
              <w:rPr>
                <w:rFonts w:hint="eastAsia" w:ascii="宋体" w:hAnsi="宋体" w:eastAsia="宋体"/>
                <w:lang w:val="en-US" w:eastAsia="zh-CN"/>
              </w:rPr>
            </w:pPr>
          </w:p>
        </w:tc>
        <w:tc>
          <w:tcPr>
            <w:tcW w:w="900" w:type="dxa"/>
            <w:vAlign w:val="center"/>
          </w:tcPr>
          <w:p w14:paraId="0E2D22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2E3F0A3F">
            <w:pPr>
              <w:numPr>
                <w:ilvl w:val="0"/>
                <w:numId w:val="8"/>
              </w:numP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环境搭建-安装Ubuntu开发环境</w:t>
            </w:r>
          </w:p>
          <w:p w14:paraId="378ADDE7">
            <w:pPr>
              <w:numPr>
                <w:ilvl w:val="0"/>
                <w:numId w:val="8"/>
              </w:num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环境搭建-在Windows上远程连接服务器&amp;Ubuntu文件映射到Windows上</w:t>
            </w:r>
          </w:p>
        </w:tc>
        <w:tc>
          <w:tcPr>
            <w:tcW w:w="2791" w:type="dxa"/>
            <w:vAlign w:val="center"/>
          </w:tcPr>
          <w:p w14:paraId="4B02BD94">
            <w:pPr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60C4D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320" w:type="dxa"/>
            <w:vAlign w:val="center"/>
          </w:tcPr>
          <w:p w14:paraId="2C114EBB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</w:p>
        </w:tc>
        <w:tc>
          <w:tcPr>
            <w:tcW w:w="900" w:type="dxa"/>
            <w:shd w:val="clear"/>
            <w:vAlign w:val="center"/>
          </w:tcPr>
          <w:p w14:paraId="12303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6AB78BBD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环境搭建-鸿蒙编译</w:t>
            </w:r>
          </w:p>
          <w:p w14:paraId="5FC61FB5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环境搭建-安装Windows驱动工具&amp;烧写bin文件</w:t>
            </w:r>
          </w:p>
        </w:tc>
        <w:tc>
          <w:tcPr>
            <w:tcW w:w="2791" w:type="dxa"/>
            <w:vAlign w:val="center"/>
          </w:tcPr>
          <w:p w14:paraId="44C9A17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49E37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 w:color="auto" w:fill="auto"/>
            <w:vAlign w:val="center"/>
          </w:tcPr>
          <w:p w14:paraId="3D869B25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/>
            <w:vAlign w:val="center"/>
          </w:tcPr>
          <w:p w14:paraId="43500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6356567C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环境搭建-运行程序&amp;查看log</w:t>
            </w:r>
          </w:p>
          <w:p w14:paraId="4732F138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基础开发-Hello World</w:t>
            </w:r>
          </w:p>
        </w:tc>
        <w:tc>
          <w:tcPr>
            <w:tcW w:w="2791" w:type="dxa"/>
            <w:vAlign w:val="center"/>
          </w:tcPr>
          <w:p w14:paraId="612FAE38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5F596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 w:color="auto" w:fill="auto"/>
            <w:vAlign w:val="center"/>
          </w:tcPr>
          <w:p w14:paraId="74963258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419A9C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49A98BB8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基础开发-信号量</w:t>
            </w:r>
          </w:p>
          <w:p w14:paraId="0BB7C902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基础开发-任务</w:t>
            </w:r>
          </w:p>
        </w:tc>
        <w:tc>
          <w:tcPr>
            <w:tcW w:w="2791" w:type="dxa"/>
            <w:vAlign w:val="center"/>
          </w:tcPr>
          <w:p w14:paraId="62BBF2A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3BDF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 w:color="auto" w:fill="auto"/>
            <w:vAlign w:val="center"/>
          </w:tcPr>
          <w:p w14:paraId="307323EB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/>
            <w:vAlign w:val="center"/>
          </w:tcPr>
          <w:p w14:paraId="53375A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0B4C627F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基础开发-定时器</w:t>
            </w:r>
          </w:p>
          <w:p w14:paraId="1448822B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基础开发-事件</w:t>
            </w:r>
          </w:p>
        </w:tc>
        <w:tc>
          <w:tcPr>
            <w:tcW w:w="2791" w:type="dxa"/>
            <w:shd w:val="clear" w:color="auto" w:fill="auto"/>
            <w:vAlign w:val="center"/>
          </w:tcPr>
          <w:p w14:paraId="2CA6C863">
            <w:pPr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54921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 w:color="auto" w:fill="auto"/>
            <w:vAlign w:val="center"/>
          </w:tcPr>
          <w:p w14:paraId="1C04120A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3910BA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551AD123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textAlignment w:val="auto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基础开发-标准PWM控制</w:t>
            </w:r>
          </w:p>
          <w:p w14:paraId="65EF0F14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textAlignment w:val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基础开发-ADC按键检测</w:t>
            </w:r>
          </w:p>
        </w:tc>
        <w:tc>
          <w:tcPr>
            <w:tcW w:w="2791" w:type="dxa"/>
            <w:shd w:val="clear" w:color="auto" w:fill="auto"/>
            <w:vAlign w:val="center"/>
          </w:tcPr>
          <w:p w14:paraId="47CAF2A3">
            <w:pPr>
              <w:jc w:val="center"/>
              <w:rPr>
                <w:rFonts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2F46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 w:color="auto" w:fill="auto"/>
            <w:vAlign w:val="center"/>
          </w:tcPr>
          <w:p w14:paraId="0E13B9F9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/>
            <w:vAlign w:val="center"/>
          </w:tcPr>
          <w:p w14:paraId="39959A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6781152E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textAlignment w:val="auto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基础开发-NFC标签</w:t>
            </w:r>
          </w:p>
          <w:p w14:paraId="037550BC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textAlignment w:val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基础开发-LCD显示</w:t>
            </w:r>
          </w:p>
        </w:tc>
        <w:tc>
          <w:tcPr>
            <w:tcW w:w="2791" w:type="dxa"/>
            <w:shd w:val="clear" w:color="auto" w:fill="auto"/>
            <w:vAlign w:val="center"/>
          </w:tcPr>
          <w:p w14:paraId="097A2E11">
            <w:pPr>
              <w:jc w:val="center"/>
              <w:rPr>
                <w:rFonts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74CEB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/>
            <w:vAlign w:val="center"/>
          </w:tcPr>
          <w:p w14:paraId="2A9C6C1A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/>
            <w:vAlign w:val="center"/>
          </w:tcPr>
          <w:p w14:paraId="09D315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2FC5FB90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基础开发-OLED显示</w:t>
            </w:r>
          </w:p>
          <w:p w14:paraId="4A4471CA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基础开发-UART打印&amp;UART2收发</w:t>
            </w:r>
          </w:p>
        </w:tc>
        <w:tc>
          <w:tcPr>
            <w:tcW w:w="2791" w:type="dxa"/>
            <w:shd w:val="clear"/>
            <w:vAlign w:val="center"/>
          </w:tcPr>
          <w:p w14:paraId="41001682">
            <w:pPr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5EDC0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/>
            <w:vAlign w:val="center"/>
          </w:tcPr>
          <w:p w14:paraId="741FE6FD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088D4A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3C52BD0B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基础开发-互斥</w:t>
            </w:r>
          </w:p>
          <w:p w14:paraId="0A57A074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基础开发-TCP通信</w:t>
            </w:r>
          </w:p>
        </w:tc>
        <w:tc>
          <w:tcPr>
            <w:tcW w:w="2791" w:type="dxa"/>
            <w:shd w:val="clear"/>
            <w:vAlign w:val="center"/>
          </w:tcPr>
          <w:p w14:paraId="3F5B5FB8">
            <w:pPr>
              <w:jc w:val="center"/>
              <w:rPr>
                <w:rFonts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5C469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 w:color="auto" w:fill="auto"/>
            <w:vAlign w:val="center"/>
          </w:tcPr>
          <w:p w14:paraId="26E9BF6B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/>
            <w:vAlign w:val="center"/>
          </w:tcPr>
          <w:p w14:paraId="2CA6FE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4E41C486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基础开发-UDP通信</w:t>
            </w:r>
          </w:p>
          <w:p w14:paraId="0D49DCE0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基础开发-GPIO控制</w:t>
            </w:r>
          </w:p>
        </w:tc>
        <w:tc>
          <w:tcPr>
            <w:tcW w:w="2791" w:type="dxa"/>
            <w:shd w:val="clear"/>
            <w:vAlign w:val="center"/>
          </w:tcPr>
          <w:p w14:paraId="2ED5ADF4">
            <w:pPr>
              <w:jc w:val="center"/>
              <w:rPr>
                <w:rFonts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2376F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 w:color="auto" w:fill="auto"/>
            <w:vAlign w:val="center"/>
          </w:tcPr>
          <w:p w14:paraId="5EF0C9FD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C90F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25E57CD4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基础案例-看门狗控制</w:t>
            </w:r>
          </w:p>
          <w:p w14:paraId="1426628C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基础开发-重启控制</w:t>
            </w:r>
          </w:p>
        </w:tc>
        <w:tc>
          <w:tcPr>
            <w:tcW w:w="2791" w:type="dxa"/>
            <w:shd w:val="clear"/>
            <w:vAlign w:val="center"/>
          </w:tcPr>
          <w:p w14:paraId="59867B5B">
            <w:pPr>
              <w:jc w:val="center"/>
              <w:rPr>
                <w:rFonts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03B68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320" w:type="dxa"/>
            <w:shd w:val="clear" w:color="auto" w:fill="auto"/>
            <w:vAlign w:val="center"/>
          </w:tcPr>
          <w:p w14:paraId="4842310F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/>
            <w:vAlign w:val="center"/>
          </w:tcPr>
          <w:p w14:paraId="0CC30E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256736FB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基础开发-WiFi路由模式</w:t>
            </w:r>
          </w:p>
          <w:p w14:paraId="11E9C22D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基础开发-I2C扫描从设备</w:t>
            </w:r>
          </w:p>
        </w:tc>
        <w:tc>
          <w:tcPr>
            <w:tcW w:w="2791" w:type="dxa"/>
            <w:shd w:val="clear" w:color="auto" w:fill="auto"/>
            <w:vAlign w:val="center"/>
          </w:tcPr>
          <w:p w14:paraId="23FD502D">
            <w:pPr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5D360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 w:color="auto" w:fill="auto"/>
            <w:vAlign w:val="center"/>
          </w:tcPr>
          <w:p w14:paraId="4BEE2905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/>
            <w:vAlign w:val="center"/>
          </w:tcPr>
          <w:p w14:paraId="5B10C7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5E06DC3C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textAlignment w:val="auto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案例开发-MQTT协议开发</w:t>
            </w:r>
          </w:p>
          <w:p w14:paraId="552CC3C1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textAlignment w:val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案例开发-基于华为云IoT的智慧井盖</w:t>
            </w:r>
          </w:p>
        </w:tc>
        <w:tc>
          <w:tcPr>
            <w:tcW w:w="2791" w:type="dxa"/>
            <w:shd w:val="clear" w:color="auto" w:fill="auto"/>
            <w:vAlign w:val="center"/>
          </w:tcPr>
          <w:p w14:paraId="75D3F603">
            <w:pPr>
              <w:jc w:val="center"/>
              <w:rPr>
                <w:rFonts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4E331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 w:color="auto" w:fill="auto"/>
            <w:vAlign w:val="center"/>
          </w:tcPr>
          <w:p w14:paraId="13F9879C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4AB19F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5ADF8187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textAlignment w:val="auto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案例开发-华为云IoT的智慧路灯应用</w:t>
            </w:r>
          </w:p>
          <w:p w14:paraId="77EB5012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textAlignment w:val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案例开发-华为云IoT的智慧车载应用</w:t>
            </w:r>
          </w:p>
        </w:tc>
        <w:tc>
          <w:tcPr>
            <w:tcW w:w="2791" w:type="dxa"/>
            <w:shd w:val="clear" w:color="auto" w:fill="auto"/>
            <w:vAlign w:val="center"/>
          </w:tcPr>
          <w:p w14:paraId="6E77B421">
            <w:pPr>
              <w:jc w:val="center"/>
              <w:rPr>
                <w:rFonts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77E0E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 w:color="auto" w:fill="auto"/>
            <w:vAlign w:val="center"/>
          </w:tcPr>
          <w:p w14:paraId="60424E52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00" w:type="dxa"/>
            <w:shd w:val="clear"/>
            <w:vAlign w:val="center"/>
          </w:tcPr>
          <w:p w14:paraId="6C82FA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1C1841F0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案例开发-华为云IoT的人体感应应用</w:t>
            </w:r>
          </w:p>
          <w:p w14:paraId="33B5BA22"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案例开发-华为云IoT的手势感应应用</w:t>
            </w:r>
          </w:p>
        </w:tc>
        <w:tc>
          <w:tcPr>
            <w:tcW w:w="2791" w:type="dxa"/>
            <w:shd w:val="clear" w:color="auto" w:fill="auto"/>
            <w:vAlign w:val="center"/>
          </w:tcPr>
          <w:p w14:paraId="5BC1D4DE">
            <w:pPr>
              <w:jc w:val="center"/>
              <w:rPr>
                <w:rFonts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  <w:tr w14:paraId="6E1F3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vAlign w:val="center"/>
          </w:tcPr>
          <w:p w14:paraId="10559B08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47E66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35B564DC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案例开发-华为云IoT的智慧农业应用</w:t>
            </w:r>
          </w:p>
          <w:p w14:paraId="5A6C6EB0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案例开发-对接通鸿联网平台</w:t>
            </w:r>
          </w:p>
        </w:tc>
        <w:tc>
          <w:tcPr>
            <w:tcW w:w="2791" w:type="dxa"/>
            <w:vAlign w:val="center"/>
          </w:tcPr>
          <w:p w14:paraId="7C0AC4A6">
            <w:pPr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理实一体</w:t>
            </w:r>
          </w:p>
        </w:tc>
      </w:tr>
    </w:tbl>
    <w:p w14:paraId="2B9DCF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楷体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329CC"/>
    <w:multiLevelType w:val="singleLevel"/>
    <w:tmpl w:val="8D6329CC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C442690E"/>
    <w:multiLevelType w:val="singleLevel"/>
    <w:tmpl w:val="C44269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BF374D8"/>
    <w:multiLevelType w:val="singleLevel"/>
    <w:tmpl w:val="CBF374D8"/>
    <w:lvl w:ilvl="0" w:tentative="0">
      <w:start w:val="3"/>
      <w:numFmt w:val="decimal"/>
      <w:lvlText w:val="%1."/>
      <w:lvlJc w:val="left"/>
      <w:pPr>
        <w:tabs>
          <w:tab w:val="left" w:pos="312"/>
        </w:tabs>
        <w:ind w:left="-420"/>
      </w:pPr>
    </w:lvl>
  </w:abstractNum>
  <w:abstractNum w:abstractNumId="3">
    <w:nsid w:val="E0282A80"/>
    <w:multiLevelType w:val="multilevel"/>
    <w:tmpl w:val="E0282A80"/>
    <w:lvl w:ilvl="0" w:tentative="0">
      <w:start w:val="1"/>
      <w:numFmt w:val="bullet"/>
      <w:pStyle w:val="33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0E99D485"/>
    <w:multiLevelType w:val="singleLevel"/>
    <w:tmpl w:val="0E99D4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C61485D"/>
    <w:multiLevelType w:val="singleLevel"/>
    <w:tmpl w:val="3C6148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05EA7F7"/>
    <w:multiLevelType w:val="singleLevel"/>
    <w:tmpl w:val="505EA7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5832AEE"/>
    <w:multiLevelType w:val="multilevel"/>
    <w:tmpl w:val="65832AEE"/>
    <w:lvl w:ilvl="0" w:tentative="0">
      <w:start w:val="1"/>
      <w:numFmt w:val="bullet"/>
      <w:pStyle w:val="26"/>
      <w:lvlText w:val=""/>
      <w:lvlJc w:val="left"/>
      <w:pPr>
        <w:ind w:left="70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MxZWIyOTA4Y2MxOTNkYjZjYWRjMzVjZDVlNTM2YmYifQ=="/>
  </w:docVars>
  <w:rsids>
    <w:rsidRoot w:val="00BD5C34"/>
    <w:rsid w:val="0004384B"/>
    <w:rsid w:val="000B061E"/>
    <w:rsid w:val="000B1DEF"/>
    <w:rsid w:val="000B4815"/>
    <w:rsid w:val="000E21B0"/>
    <w:rsid w:val="000F3D0E"/>
    <w:rsid w:val="00110819"/>
    <w:rsid w:val="00111E28"/>
    <w:rsid w:val="001627EC"/>
    <w:rsid w:val="00186E66"/>
    <w:rsid w:val="001E4C49"/>
    <w:rsid w:val="00203C07"/>
    <w:rsid w:val="002358FF"/>
    <w:rsid w:val="0023636C"/>
    <w:rsid w:val="002645B1"/>
    <w:rsid w:val="00273CD0"/>
    <w:rsid w:val="002B24A3"/>
    <w:rsid w:val="002C4CBF"/>
    <w:rsid w:val="00333180"/>
    <w:rsid w:val="003372D5"/>
    <w:rsid w:val="00386300"/>
    <w:rsid w:val="00390ADF"/>
    <w:rsid w:val="004006B8"/>
    <w:rsid w:val="00411754"/>
    <w:rsid w:val="0042644C"/>
    <w:rsid w:val="004C105F"/>
    <w:rsid w:val="004F4FAD"/>
    <w:rsid w:val="00504A69"/>
    <w:rsid w:val="00511645"/>
    <w:rsid w:val="00577C27"/>
    <w:rsid w:val="005C5B8D"/>
    <w:rsid w:val="006140F3"/>
    <w:rsid w:val="006D7352"/>
    <w:rsid w:val="00756C6C"/>
    <w:rsid w:val="00764CBF"/>
    <w:rsid w:val="007B2E0A"/>
    <w:rsid w:val="007B2FEA"/>
    <w:rsid w:val="00827B3C"/>
    <w:rsid w:val="00844357"/>
    <w:rsid w:val="00861642"/>
    <w:rsid w:val="008855D8"/>
    <w:rsid w:val="008A2B31"/>
    <w:rsid w:val="008D1CB4"/>
    <w:rsid w:val="00921940"/>
    <w:rsid w:val="0098528B"/>
    <w:rsid w:val="00995F6E"/>
    <w:rsid w:val="009B4974"/>
    <w:rsid w:val="009D1D52"/>
    <w:rsid w:val="00A66305"/>
    <w:rsid w:val="00A804CD"/>
    <w:rsid w:val="00AF3DE9"/>
    <w:rsid w:val="00B61B42"/>
    <w:rsid w:val="00B7294E"/>
    <w:rsid w:val="00B76B13"/>
    <w:rsid w:val="00B87BEA"/>
    <w:rsid w:val="00BC042F"/>
    <w:rsid w:val="00BD5C34"/>
    <w:rsid w:val="00C063C2"/>
    <w:rsid w:val="00C11DA1"/>
    <w:rsid w:val="00CA5187"/>
    <w:rsid w:val="00CD65B4"/>
    <w:rsid w:val="00D11BD5"/>
    <w:rsid w:val="00D226B1"/>
    <w:rsid w:val="00D70686"/>
    <w:rsid w:val="00D96FC2"/>
    <w:rsid w:val="00D97372"/>
    <w:rsid w:val="00DF10E4"/>
    <w:rsid w:val="00DF2F5A"/>
    <w:rsid w:val="00E60C45"/>
    <w:rsid w:val="00E73475"/>
    <w:rsid w:val="00E90471"/>
    <w:rsid w:val="00EF4071"/>
    <w:rsid w:val="00F25384"/>
    <w:rsid w:val="00F546D9"/>
    <w:rsid w:val="00F8693D"/>
    <w:rsid w:val="00FF36E3"/>
    <w:rsid w:val="011D7212"/>
    <w:rsid w:val="0127637F"/>
    <w:rsid w:val="014E7758"/>
    <w:rsid w:val="0179546C"/>
    <w:rsid w:val="017C3139"/>
    <w:rsid w:val="018646FA"/>
    <w:rsid w:val="01B841E6"/>
    <w:rsid w:val="01CA3F1A"/>
    <w:rsid w:val="01E41FFE"/>
    <w:rsid w:val="02153FF2"/>
    <w:rsid w:val="024141DC"/>
    <w:rsid w:val="024E68F9"/>
    <w:rsid w:val="02DA018C"/>
    <w:rsid w:val="02DC289A"/>
    <w:rsid w:val="031A67DB"/>
    <w:rsid w:val="03417080"/>
    <w:rsid w:val="037E6BB8"/>
    <w:rsid w:val="03800D34"/>
    <w:rsid w:val="03F569C0"/>
    <w:rsid w:val="046C2501"/>
    <w:rsid w:val="049975B9"/>
    <w:rsid w:val="051528EC"/>
    <w:rsid w:val="053D01B1"/>
    <w:rsid w:val="057B7A05"/>
    <w:rsid w:val="057E03BB"/>
    <w:rsid w:val="05A25772"/>
    <w:rsid w:val="05D37841"/>
    <w:rsid w:val="05DB66F5"/>
    <w:rsid w:val="06070A68"/>
    <w:rsid w:val="068D4A78"/>
    <w:rsid w:val="06C76160"/>
    <w:rsid w:val="06D21D6E"/>
    <w:rsid w:val="07612C2A"/>
    <w:rsid w:val="07717112"/>
    <w:rsid w:val="07EA463D"/>
    <w:rsid w:val="07F9639C"/>
    <w:rsid w:val="080D4B60"/>
    <w:rsid w:val="0858732C"/>
    <w:rsid w:val="08E049BC"/>
    <w:rsid w:val="08E314A9"/>
    <w:rsid w:val="08ED6E6B"/>
    <w:rsid w:val="08FF094D"/>
    <w:rsid w:val="09287EA3"/>
    <w:rsid w:val="099F7A3A"/>
    <w:rsid w:val="0A442EC0"/>
    <w:rsid w:val="0A456833"/>
    <w:rsid w:val="0A7D5FCD"/>
    <w:rsid w:val="0AD211C7"/>
    <w:rsid w:val="0AEB574B"/>
    <w:rsid w:val="0B6215DB"/>
    <w:rsid w:val="0B805246"/>
    <w:rsid w:val="0B835865"/>
    <w:rsid w:val="0B9418C8"/>
    <w:rsid w:val="0BD81C35"/>
    <w:rsid w:val="0BD87233"/>
    <w:rsid w:val="0C0F4CA9"/>
    <w:rsid w:val="0D1A7244"/>
    <w:rsid w:val="0D6E6672"/>
    <w:rsid w:val="0D8A1A1C"/>
    <w:rsid w:val="0D993901"/>
    <w:rsid w:val="0E55371B"/>
    <w:rsid w:val="0EF9473A"/>
    <w:rsid w:val="0EFB3964"/>
    <w:rsid w:val="0F130A0E"/>
    <w:rsid w:val="0F8839D0"/>
    <w:rsid w:val="0F8B118C"/>
    <w:rsid w:val="0FA55340"/>
    <w:rsid w:val="0FB35FED"/>
    <w:rsid w:val="0FDE750E"/>
    <w:rsid w:val="100706CE"/>
    <w:rsid w:val="105A290D"/>
    <w:rsid w:val="105A46BB"/>
    <w:rsid w:val="106C0B1D"/>
    <w:rsid w:val="10B93D1B"/>
    <w:rsid w:val="10DB1C9F"/>
    <w:rsid w:val="114312D0"/>
    <w:rsid w:val="11755C50"/>
    <w:rsid w:val="11914EBF"/>
    <w:rsid w:val="11A450CF"/>
    <w:rsid w:val="11B423B2"/>
    <w:rsid w:val="11D75DFD"/>
    <w:rsid w:val="12E806A4"/>
    <w:rsid w:val="13031039"/>
    <w:rsid w:val="13545D39"/>
    <w:rsid w:val="13873911"/>
    <w:rsid w:val="13E7095B"/>
    <w:rsid w:val="14B52807"/>
    <w:rsid w:val="14C34F24"/>
    <w:rsid w:val="14CC4545"/>
    <w:rsid w:val="14FB4561"/>
    <w:rsid w:val="1537141C"/>
    <w:rsid w:val="162639BD"/>
    <w:rsid w:val="1633267B"/>
    <w:rsid w:val="16481B85"/>
    <w:rsid w:val="166416D0"/>
    <w:rsid w:val="169A3A63"/>
    <w:rsid w:val="16AE21C6"/>
    <w:rsid w:val="16C17785"/>
    <w:rsid w:val="16C45831"/>
    <w:rsid w:val="17516470"/>
    <w:rsid w:val="17CF3BE0"/>
    <w:rsid w:val="18016469"/>
    <w:rsid w:val="180245E6"/>
    <w:rsid w:val="18456D28"/>
    <w:rsid w:val="19377C8F"/>
    <w:rsid w:val="198D5B1F"/>
    <w:rsid w:val="19C07C84"/>
    <w:rsid w:val="19FD2C86"/>
    <w:rsid w:val="1A0C111B"/>
    <w:rsid w:val="1A4C59BC"/>
    <w:rsid w:val="1A693E78"/>
    <w:rsid w:val="1A766595"/>
    <w:rsid w:val="1A7C1752"/>
    <w:rsid w:val="1B1C4C0F"/>
    <w:rsid w:val="1B1D66B9"/>
    <w:rsid w:val="1B430B6D"/>
    <w:rsid w:val="1B56010D"/>
    <w:rsid w:val="1B612DA1"/>
    <w:rsid w:val="1B684130"/>
    <w:rsid w:val="1B8352F4"/>
    <w:rsid w:val="1BB747A9"/>
    <w:rsid w:val="1BBC26CD"/>
    <w:rsid w:val="1BC429EE"/>
    <w:rsid w:val="1BF14125"/>
    <w:rsid w:val="1C0159A6"/>
    <w:rsid w:val="1C76287C"/>
    <w:rsid w:val="1C890801"/>
    <w:rsid w:val="1CB258D2"/>
    <w:rsid w:val="1D664516"/>
    <w:rsid w:val="1D6E4A05"/>
    <w:rsid w:val="1D6E4EF6"/>
    <w:rsid w:val="1D8F1E47"/>
    <w:rsid w:val="1D930211"/>
    <w:rsid w:val="1E214A6A"/>
    <w:rsid w:val="1E943D2D"/>
    <w:rsid w:val="1EB8776E"/>
    <w:rsid w:val="1EBD399D"/>
    <w:rsid w:val="1EEF7FE2"/>
    <w:rsid w:val="1F253900"/>
    <w:rsid w:val="1F4469F8"/>
    <w:rsid w:val="1F6A034A"/>
    <w:rsid w:val="1F7A6B27"/>
    <w:rsid w:val="1F861028"/>
    <w:rsid w:val="1FBC7140"/>
    <w:rsid w:val="1FE12702"/>
    <w:rsid w:val="1FFC578E"/>
    <w:rsid w:val="20112BB3"/>
    <w:rsid w:val="204F3608"/>
    <w:rsid w:val="20977E55"/>
    <w:rsid w:val="20A51982"/>
    <w:rsid w:val="20A63AF2"/>
    <w:rsid w:val="20BA4033"/>
    <w:rsid w:val="20EC1E85"/>
    <w:rsid w:val="20F1187F"/>
    <w:rsid w:val="212550E6"/>
    <w:rsid w:val="219739C1"/>
    <w:rsid w:val="21BF4458"/>
    <w:rsid w:val="221D0DBA"/>
    <w:rsid w:val="222E307C"/>
    <w:rsid w:val="22896DB2"/>
    <w:rsid w:val="22BA4FCF"/>
    <w:rsid w:val="22CC0F2A"/>
    <w:rsid w:val="22F610D4"/>
    <w:rsid w:val="230C7A96"/>
    <w:rsid w:val="23D5257E"/>
    <w:rsid w:val="24213A15"/>
    <w:rsid w:val="249D7983"/>
    <w:rsid w:val="24D377A4"/>
    <w:rsid w:val="25021151"/>
    <w:rsid w:val="251B2BA7"/>
    <w:rsid w:val="25227A45"/>
    <w:rsid w:val="25445C0D"/>
    <w:rsid w:val="25A14134"/>
    <w:rsid w:val="25A20B86"/>
    <w:rsid w:val="25B01610"/>
    <w:rsid w:val="25F75F64"/>
    <w:rsid w:val="2613738E"/>
    <w:rsid w:val="26345C82"/>
    <w:rsid w:val="26697889"/>
    <w:rsid w:val="266D4CF0"/>
    <w:rsid w:val="27371EF9"/>
    <w:rsid w:val="27414187"/>
    <w:rsid w:val="27B54BA0"/>
    <w:rsid w:val="280B47C0"/>
    <w:rsid w:val="28C86429"/>
    <w:rsid w:val="28E76FDC"/>
    <w:rsid w:val="297138A3"/>
    <w:rsid w:val="29CB7425"/>
    <w:rsid w:val="29CE019B"/>
    <w:rsid w:val="29F15C38"/>
    <w:rsid w:val="29FB1396"/>
    <w:rsid w:val="2A0004EC"/>
    <w:rsid w:val="2A0B4CC0"/>
    <w:rsid w:val="2A375D41"/>
    <w:rsid w:val="2A8B7E3A"/>
    <w:rsid w:val="2A9C2048"/>
    <w:rsid w:val="2AFA0B1C"/>
    <w:rsid w:val="2B273C76"/>
    <w:rsid w:val="2B326508"/>
    <w:rsid w:val="2BC5737C"/>
    <w:rsid w:val="2BF8505C"/>
    <w:rsid w:val="2C22352A"/>
    <w:rsid w:val="2C531738"/>
    <w:rsid w:val="2CB2481F"/>
    <w:rsid w:val="2DBC4548"/>
    <w:rsid w:val="2DE4623F"/>
    <w:rsid w:val="2E04418C"/>
    <w:rsid w:val="2EA17C2D"/>
    <w:rsid w:val="2F7D50B0"/>
    <w:rsid w:val="2FA53C7A"/>
    <w:rsid w:val="30322514"/>
    <w:rsid w:val="3074553B"/>
    <w:rsid w:val="309D23E8"/>
    <w:rsid w:val="30D64D73"/>
    <w:rsid w:val="30EA318F"/>
    <w:rsid w:val="30F966D7"/>
    <w:rsid w:val="312707D0"/>
    <w:rsid w:val="31864EB8"/>
    <w:rsid w:val="31EA18EB"/>
    <w:rsid w:val="31F95B16"/>
    <w:rsid w:val="32562ADC"/>
    <w:rsid w:val="332A4F71"/>
    <w:rsid w:val="33632A6C"/>
    <w:rsid w:val="33A54205"/>
    <w:rsid w:val="342B439E"/>
    <w:rsid w:val="34766943"/>
    <w:rsid w:val="349F0EB6"/>
    <w:rsid w:val="34E41A9A"/>
    <w:rsid w:val="353C16BC"/>
    <w:rsid w:val="353E2C35"/>
    <w:rsid w:val="358D0F0B"/>
    <w:rsid w:val="35C53375"/>
    <w:rsid w:val="35EA3F35"/>
    <w:rsid w:val="36342144"/>
    <w:rsid w:val="36631C6B"/>
    <w:rsid w:val="368D6CE8"/>
    <w:rsid w:val="36C00E6C"/>
    <w:rsid w:val="3718335F"/>
    <w:rsid w:val="37415715"/>
    <w:rsid w:val="375B0AC3"/>
    <w:rsid w:val="376637C1"/>
    <w:rsid w:val="379215C2"/>
    <w:rsid w:val="37BA68D2"/>
    <w:rsid w:val="37F809C1"/>
    <w:rsid w:val="38496AB6"/>
    <w:rsid w:val="386677F1"/>
    <w:rsid w:val="387B6D70"/>
    <w:rsid w:val="38A56B9D"/>
    <w:rsid w:val="38A94FDB"/>
    <w:rsid w:val="38C8225A"/>
    <w:rsid w:val="38F60B75"/>
    <w:rsid w:val="3905700A"/>
    <w:rsid w:val="39730417"/>
    <w:rsid w:val="398443D3"/>
    <w:rsid w:val="39872B7F"/>
    <w:rsid w:val="39A16D33"/>
    <w:rsid w:val="39AB1959"/>
    <w:rsid w:val="39E70C2A"/>
    <w:rsid w:val="39FC665F"/>
    <w:rsid w:val="3A40479E"/>
    <w:rsid w:val="3A7A7CE8"/>
    <w:rsid w:val="3B2B1381"/>
    <w:rsid w:val="3B6174C9"/>
    <w:rsid w:val="3B7346FF"/>
    <w:rsid w:val="3B7A783B"/>
    <w:rsid w:val="3BA14811"/>
    <w:rsid w:val="3BAF612E"/>
    <w:rsid w:val="3BAF70B5"/>
    <w:rsid w:val="3BDA7A57"/>
    <w:rsid w:val="3BFA7F71"/>
    <w:rsid w:val="3C095928"/>
    <w:rsid w:val="3C304C69"/>
    <w:rsid w:val="3C575C4E"/>
    <w:rsid w:val="3C6127A9"/>
    <w:rsid w:val="3C77021F"/>
    <w:rsid w:val="3CC11CFC"/>
    <w:rsid w:val="3D881438"/>
    <w:rsid w:val="3DE47EA4"/>
    <w:rsid w:val="3DEB1AF2"/>
    <w:rsid w:val="3E1169E0"/>
    <w:rsid w:val="3E216694"/>
    <w:rsid w:val="3EA06A3E"/>
    <w:rsid w:val="3EC413AC"/>
    <w:rsid w:val="3F0A38C9"/>
    <w:rsid w:val="3FFE7BEC"/>
    <w:rsid w:val="40786313"/>
    <w:rsid w:val="40A778A1"/>
    <w:rsid w:val="40F37AD9"/>
    <w:rsid w:val="4170343C"/>
    <w:rsid w:val="41B33AA7"/>
    <w:rsid w:val="41D852BC"/>
    <w:rsid w:val="41E40104"/>
    <w:rsid w:val="41F12821"/>
    <w:rsid w:val="422C5BEA"/>
    <w:rsid w:val="42523BD8"/>
    <w:rsid w:val="427D40B5"/>
    <w:rsid w:val="42DD6902"/>
    <w:rsid w:val="42ED4847"/>
    <w:rsid w:val="42FA567F"/>
    <w:rsid w:val="432B46F7"/>
    <w:rsid w:val="43525542"/>
    <w:rsid w:val="43776D56"/>
    <w:rsid w:val="438F22F2"/>
    <w:rsid w:val="43BC2C7F"/>
    <w:rsid w:val="43D42766"/>
    <w:rsid w:val="443B7D84"/>
    <w:rsid w:val="448D4A83"/>
    <w:rsid w:val="449A2CFC"/>
    <w:rsid w:val="45343151"/>
    <w:rsid w:val="45727023"/>
    <w:rsid w:val="458E3CF0"/>
    <w:rsid w:val="459260C9"/>
    <w:rsid w:val="45C91337"/>
    <w:rsid w:val="45D516D3"/>
    <w:rsid w:val="4609638B"/>
    <w:rsid w:val="46366A55"/>
    <w:rsid w:val="465670F7"/>
    <w:rsid w:val="468F312C"/>
    <w:rsid w:val="46A9191C"/>
    <w:rsid w:val="46AE6F33"/>
    <w:rsid w:val="46C93D6D"/>
    <w:rsid w:val="46D0054F"/>
    <w:rsid w:val="470441DC"/>
    <w:rsid w:val="472C440A"/>
    <w:rsid w:val="47B36AA1"/>
    <w:rsid w:val="47F003AF"/>
    <w:rsid w:val="483E6094"/>
    <w:rsid w:val="48896B80"/>
    <w:rsid w:val="48EB1D78"/>
    <w:rsid w:val="490A2935"/>
    <w:rsid w:val="49862820"/>
    <w:rsid w:val="499C12C5"/>
    <w:rsid w:val="499F0DB5"/>
    <w:rsid w:val="49EB5DA8"/>
    <w:rsid w:val="4A145031"/>
    <w:rsid w:val="4A1F0E0D"/>
    <w:rsid w:val="4A454F7B"/>
    <w:rsid w:val="4A946440"/>
    <w:rsid w:val="4B0C003F"/>
    <w:rsid w:val="4B2E419E"/>
    <w:rsid w:val="4B3F1E2E"/>
    <w:rsid w:val="4B9359E8"/>
    <w:rsid w:val="4BB16B1F"/>
    <w:rsid w:val="4D2A0AF4"/>
    <w:rsid w:val="4D830A74"/>
    <w:rsid w:val="4E023BB8"/>
    <w:rsid w:val="4E0439E7"/>
    <w:rsid w:val="4E1221A2"/>
    <w:rsid w:val="4E255D2C"/>
    <w:rsid w:val="4EA21AFA"/>
    <w:rsid w:val="4EB726FD"/>
    <w:rsid w:val="4EDD6607"/>
    <w:rsid w:val="4F1B164B"/>
    <w:rsid w:val="4F2B696A"/>
    <w:rsid w:val="4F6E6531"/>
    <w:rsid w:val="4FB569B7"/>
    <w:rsid w:val="4FB855E9"/>
    <w:rsid w:val="506806B9"/>
    <w:rsid w:val="50DB26D2"/>
    <w:rsid w:val="50E00881"/>
    <w:rsid w:val="510F35C3"/>
    <w:rsid w:val="51621E44"/>
    <w:rsid w:val="5180327A"/>
    <w:rsid w:val="518E7DF8"/>
    <w:rsid w:val="51C770FB"/>
    <w:rsid w:val="5247502A"/>
    <w:rsid w:val="5257047F"/>
    <w:rsid w:val="525F5585"/>
    <w:rsid w:val="526B5CD8"/>
    <w:rsid w:val="527C7EE5"/>
    <w:rsid w:val="52CA6EA2"/>
    <w:rsid w:val="537D42F8"/>
    <w:rsid w:val="53983A49"/>
    <w:rsid w:val="54435EBC"/>
    <w:rsid w:val="547D1CF3"/>
    <w:rsid w:val="54950A7E"/>
    <w:rsid w:val="55780E38"/>
    <w:rsid w:val="55BA1D17"/>
    <w:rsid w:val="5627460C"/>
    <w:rsid w:val="56561C37"/>
    <w:rsid w:val="566A3561"/>
    <w:rsid w:val="56953069"/>
    <w:rsid w:val="56F269C8"/>
    <w:rsid w:val="56F62932"/>
    <w:rsid w:val="57283373"/>
    <w:rsid w:val="57285E7C"/>
    <w:rsid w:val="576F0018"/>
    <w:rsid w:val="57801216"/>
    <w:rsid w:val="57B43C7D"/>
    <w:rsid w:val="58445001"/>
    <w:rsid w:val="58496ABB"/>
    <w:rsid w:val="586D4D7C"/>
    <w:rsid w:val="58BE1257"/>
    <w:rsid w:val="58E32A6C"/>
    <w:rsid w:val="5943350B"/>
    <w:rsid w:val="59B03888"/>
    <w:rsid w:val="59B241EC"/>
    <w:rsid w:val="59FB3DE5"/>
    <w:rsid w:val="5A0E1D6B"/>
    <w:rsid w:val="5A2F44D7"/>
    <w:rsid w:val="5A625C12"/>
    <w:rsid w:val="5A7B0A82"/>
    <w:rsid w:val="5AA224B3"/>
    <w:rsid w:val="5AA24261"/>
    <w:rsid w:val="5ADF1BC9"/>
    <w:rsid w:val="5B0A0784"/>
    <w:rsid w:val="5B0D3DD0"/>
    <w:rsid w:val="5B565CB3"/>
    <w:rsid w:val="5B601D6D"/>
    <w:rsid w:val="5B9E711E"/>
    <w:rsid w:val="5BC672C4"/>
    <w:rsid w:val="5BEC7F89"/>
    <w:rsid w:val="5C846AE8"/>
    <w:rsid w:val="5C8A1451"/>
    <w:rsid w:val="5CF67716"/>
    <w:rsid w:val="5D1755BF"/>
    <w:rsid w:val="5D2D2508"/>
    <w:rsid w:val="5D7C49E0"/>
    <w:rsid w:val="5DA86032"/>
    <w:rsid w:val="5DFF7C9E"/>
    <w:rsid w:val="5E8E5228"/>
    <w:rsid w:val="5EA410AC"/>
    <w:rsid w:val="5EEE5C79"/>
    <w:rsid w:val="5F250023"/>
    <w:rsid w:val="5F3E23E4"/>
    <w:rsid w:val="5F4571B2"/>
    <w:rsid w:val="5F6917F1"/>
    <w:rsid w:val="5F792F55"/>
    <w:rsid w:val="5FCA04E2"/>
    <w:rsid w:val="5FED41D0"/>
    <w:rsid w:val="603B13E0"/>
    <w:rsid w:val="60A6305A"/>
    <w:rsid w:val="60B53531"/>
    <w:rsid w:val="60CE7B5E"/>
    <w:rsid w:val="60DB22E9"/>
    <w:rsid w:val="60F01468"/>
    <w:rsid w:val="610E08A2"/>
    <w:rsid w:val="6115317F"/>
    <w:rsid w:val="614C1849"/>
    <w:rsid w:val="615E35D8"/>
    <w:rsid w:val="61932B55"/>
    <w:rsid w:val="626103C7"/>
    <w:rsid w:val="62832BCA"/>
    <w:rsid w:val="62D502BE"/>
    <w:rsid w:val="630737FB"/>
    <w:rsid w:val="630E6937"/>
    <w:rsid w:val="63464323"/>
    <w:rsid w:val="637426D2"/>
    <w:rsid w:val="637F7835"/>
    <w:rsid w:val="639B1F33"/>
    <w:rsid w:val="63A267C1"/>
    <w:rsid w:val="63D97A6C"/>
    <w:rsid w:val="63ED0BBF"/>
    <w:rsid w:val="647B6F79"/>
    <w:rsid w:val="648E2F62"/>
    <w:rsid w:val="64CD1C8A"/>
    <w:rsid w:val="64FC400C"/>
    <w:rsid w:val="653B3C30"/>
    <w:rsid w:val="655A0B79"/>
    <w:rsid w:val="65B832A1"/>
    <w:rsid w:val="65D23F5A"/>
    <w:rsid w:val="65DD16A8"/>
    <w:rsid w:val="666703C9"/>
    <w:rsid w:val="66862C89"/>
    <w:rsid w:val="672D1356"/>
    <w:rsid w:val="67496EB9"/>
    <w:rsid w:val="68545904"/>
    <w:rsid w:val="687731D1"/>
    <w:rsid w:val="68A815DC"/>
    <w:rsid w:val="68DB3760"/>
    <w:rsid w:val="690507DD"/>
    <w:rsid w:val="69166546"/>
    <w:rsid w:val="6A0E36C1"/>
    <w:rsid w:val="6A511D44"/>
    <w:rsid w:val="6A664892"/>
    <w:rsid w:val="6A9C35C2"/>
    <w:rsid w:val="6ADC37BF"/>
    <w:rsid w:val="6B1D68BE"/>
    <w:rsid w:val="6B735ED1"/>
    <w:rsid w:val="6BA53BB1"/>
    <w:rsid w:val="6BC77FCB"/>
    <w:rsid w:val="6C586190"/>
    <w:rsid w:val="6C9C1458"/>
    <w:rsid w:val="6CB93DB8"/>
    <w:rsid w:val="6CD32342"/>
    <w:rsid w:val="6DA00AD4"/>
    <w:rsid w:val="6E21682C"/>
    <w:rsid w:val="6E2214E9"/>
    <w:rsid w:val="6E273271"/>
    <w:rsid w:val="6E3F589C"/>
    <w:rsid w:val="6E5A505C"/>
    <w:rsid w:val="6E5D69C5"/>
    <w:rsid w:val="6E6E2980"/>
    <w:rsid w:val="6ED547AD"/>
    <w:rsid w:val="6F406167"/>
    <w:rsid w:val="6F5A2F04"/>
    <w:rsid w:val="6F653D83"/>
    <w:rsid w:val="6F9C1E2D"/>
    <w:rsid w:val="6FA84896"/>
    <w:rsid w:val="6FBD10E0"/>
    <w:rsid w:val="6FBE7937"/>
    <w:rsid w:val="6FF82F30"/>
    <w:rsid w:val="70A24B63"/>
    <w:rsid w:val="70DC03E9"/>
    <w:rsid w:val="71836742"/>
    <w:rsid w:val="718A65D1"/>
    <w:rsid w:val="71D47603"/>
    <w:rsid w:val="71E643F8"/>
    <w:rsid w:val="71F25309"/>
    <w:rsid w:val="71F4319C"/>
    <w:rsid w:val="72062ED0"/>
    <w:rsid w:val="72263A65"/>
    <w:rsid w:val="724A505B"/>
    <w:rsid w:val="72AE77EF"/>
    <w:rsid w:val="72FF12A0"/>
    <w:rsid w:val="73214465"/>
    <w:rsid w:val="732301DD"/>
    <w:rsid w:val="73FD6130"/>
    <w:rsid w:val="74307A19"/>
    <w:rsid w:val="7440091B"/>
    <w:rsid w:val="74791404"/>
    <w:rsid w:val="74820346"/>
    <w:rsid w:val="749C79EF"/>
    <w:rsid w:val="75133BF1"/>
    <w:rsid w:val="75207066"/>
    <w:rsid w:val="75481873"/>
    <w:rsid w:val="759058D2"/>
    <w:rsid w:val="75E85738"/>
    <w:rsid w:val="75F32F93"/>
    <w:rsid w:val="765D6201"/>
    <w:rsid w:val="769D5DDE"/>
    <w:rsid w:val="770C0F88"/>
    <w:rsid w:val="772269FE"/>
    <w:rsid w:val="77416534"/>
    <w:rsid w:val="774442C4"/>
    <w:rsid w:val="778140EF"/>
    <w:rsid w:val="77976AA4"/>
    <w:rsid w:val="77AB69F3"/>
    <w:rsid w:val="77F62ADA"/>
    <w:rsid w:val="78764A5D"/>
    <w:rsid w:val="78B673FD"/>
    <w:rsid w:val="790F6B0E"/>
    <w:rsid w:val="792E7984"/>
    <w:rsid w:val="79685433"/>
    <w:rsid w:val="79B672FA"/>
    <w:rsid w:val="7A1E1C82"/>
    <w:rsid w:val="7A1E51EA"/>
    <w:rsid w:val="7A293BFF"/>
    <w:rsid w:val="7A392094"/>
    <w:rsid w:val="7B222136"/>
    <w:rsid w:val="7B6503BE"/>
    <w:rsid w:val="7BA4716E"/>
    <w:rsid w:val="7C030BAC"/>
    <w:rsid w:val="7C587916"/>
    <w:rsid w:val="7C647170"/>
    <w:rsid w:val="7D3923AB"/>
    <w:rsid w:val="7E0B3D48"/>
    <w:rsid w:val="7EA14E3E"/>
    <w:rsid w:val="7EA6304A"/>
    <w:rsid w:val="7EE10F4C"/>
    <w:rsid w:val="7F92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qFormat="1"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qFormat="1" w:unhideWhenUsed="0" w:uiPriority="99" w:semiHidden="0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able of authorities"/>
    <w:basedOn w:val="1"/>
    <w:next w:val="1"/>
    <w:qFormat/>
    <w:uiPriority w:val="99"/>
    <w:pPr>
      <w:ind w:left="420" w:leftChars="200"/>
    </w:pPr>
  </w:style>
  <w:style w:type="paragraph" w:styleId="4">
    <w:name w:val="index 5"/>
    <w:basedOn w:val="1"/>
    <w:next w:val="1"/>
    <w:autoRedefine/>
    <w:semiHidden/>
    <w:unhideWhenUsed/>
    <w:qFormat/>
    <w:uiPriority w:val="99"/>
    <w:pPr>
      <w:ind w:left="800" w:leftChars="800"/>
    </w:pPr>
  </w:style>
  <w:style w:type="paragraph" w:styleId="5">
    <w:name w:val="annotation text"/>
    <w:basedOn w:val="1"/>
    <w:link w:val="28"/>
    <w:qFormat/>
    <w:uiPriority w:val="99"/>
    <w:pPr>
      <w:jc w:val="left"/>
    </w:pPr>
  </w:style>
  <w:style w:type="paragraph" w:styleId="6">
    <w:name w:val="Body Text"/>
    <w:basedOn w:val="1"/>
    <w:link w:val="23"/>
    <w:qFormat/>
    <w:uiPriority w:val="0"/>
    <w:pPr>
      <w:jc w:val="center"/>
    </w:pPr>
    <w:rPr>
      <w:rFonts w:ascii="Calibri" w:hAnsi="Calibri" w:cs="宋体"/>
    </w:rPr>
  </w:style>
  <w:style w:type="paragraph" w:styleId="7">
    <w:name w:val="Plain Text"/>
    <w:basedOn w:val="1"/>
    <w:unhideWhenUsed/>
    <w:qFormat/>
    <w:uiPriority w:val="0"/>
    <w:rPr>
      <w:rFonts w:ascii="宋体" w:hAnsi="Courier New" w:cs="Courier New"/>
      <w:szCs w:val="21"/>
    </w:rPr>
  </w:style>
  <w:style w:type="paragraph" w:styleId="8">
    <w:name w:val="Balloon Text"/>
    <w:basedOn w:val="1"/>
    <w:next w:val="4"/>
    <w:link w:val="30"/>
    <w:unhideWhenUsed/>
    <w:qFormat/>
    <w:uiPriority w:val="99"/>
    <w:rPr>
      <w:rFonts w:eastAsia="仿宋"/>
      <w:color w:val="000000"/>
      <w:sz w:val="18"/>
      <w:szCs w:val="18"/>
    </w:rPr>
  </w:style>
  <w:style w:type="paragraph" w:styleId="9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annotation subject"/>
    <w:basedOn w:val="5"/>
    <w:next w:val="5"/>
    <w:link w:val="29"/>
    <w:qFormat/>
    <w:uiPriority w:val="99"/>
    <w:rPr>
      <w:b/>
      <w:bCs/>
    </w:rPr>
  </w:style>
  <w:style w:type="table" w:styleId="13">
    <w:name w:val="Table Grid"/>
    <w:basedOn w:val="12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Emphasis"/>
    <w:basedOn w:val="14"/>
    <w:qFormat/>
    <w:uiPriority w:val="20"/>
    <w:rPr>
      <w:i/>
      <w:iCs/>
    </w:rPr>
  </w:style>
  <w:style w:type="character" w:styleId="17">
    <w:name w:val="Hyperlink"/>
    <w:basedOn w:val="14"/>
    <w:unhideWhenUsed/>
    <w:qFormat/>
    <w:uiPriority w:val="99"/>
    <w:rPr>
      <w:color w:val="0000FF"/>
      <w:u w:val="single"/>
    </w:rPr>
  </w:style>
  <w:style w:type="character" w:styleId="18">
    <w:name w:val="annotation reference"/>
    <w:basedOn w:val="14"/>
    <w:qFormat/>
    <w:uiPriority w:val="99"/>
    <w:rPr>
      <w:sz w:val="21"/>
      <w:szCs w:val="21"/>
    </w:rPr>
  </w:style>
  <w:style w:type="character" w:customStyle="1" w:styleId="19">
    <w:name w:val="页眉 字符"/>
    <w:basedOn w:val="14"/>
    <w:link w:val="10"/>
    <w:qFormat/>
    <w:uiPriority w:val="99"/>
    <w:rPr>
      <w:sz w:val="18"/>
      <w:szCs w:val="18"/>
    </w:rPr>
  </w:style>
  <w:style w:type="character" w:customStyle="1" w:styleId="20">
    <w:name w:val="页脚 字符"/>
    <w:basedOn w:val="14"/>
    <w:link w:val="9"/>
    <w:qFormat/>
    <w:uiPriority w:val="99"/>
    <w:rPr>
      <w:sz w:val="18"/>
      <w:szCs w:val="18"/>
    </w:rPr>
  </w:style>
  <w:style w:type="paragraph" w:customStyle="1" w:styleId="21">
    <w:name w:val="一级目录"/>
    <w:basedOn w:val="1"/>
    <w:qFormat/>
    <w:uiPriority w:val="0"/>
    <w:pPr>
      <w:keepNext/>
      <w:keepLines/>
      <w:spacing w:before="340" w:after="330" w:line="360" w:lineRule="atLeast"/>
      <w:jc w:val="center"/>
      <w:outlineLvl w:val="0"/>
    </w:pPr>
    <w:rPr>
      <w:rFonts w:hint="eastAsia" w:ascii="黑体" w:hAnsi="黑体" w:eastAsia="黑体"/>
      <w:bCs/>
      <w:color w:val="000000"/>
      <w:kern w:val="44"/>
      <w:sz w:val="44"/>
      <w:szCs w:val="44"/>
    </w:rPr>
  </w:style>
  <w:style w:type="character" w:customStyle="1" w:styleId="22">
    <w:name w:val="正文文本 Char"/>
    <w:basedOn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3">
    <w:name w:val="正文文本 字符"/>
    <w:basedOn w:val="14"/>
    <w:link w:val="6"/>
    <w:qFormat/>
    <w:uiPriority w:val="0"/>
    <w:rPr>
      <w:szCs w:val="24"/>
    </w:rPr>
  </w:style>
  <w:style w:type="paragraph" w:customStyle="1" w:styleId="24">
    <w:name w:val="居中标注"/>
    <w:next w:val="1"/>
    <w:link w:val="25"/>
    <w:qFormat/>
    <w:uiPriority w:val="0"/>
    <w:pPr>
      <w:tabs>
        <w:tab w:val="left" w:pos="2265"/>
      </w:tabs>
      <w:spacing w:line="300" w:lineRule="auto"/>
      <w:jc w:val="center"/>
    </w:pPr>
    <w:rPr>
      <w:rFonts w:ascii="宋体" w:hAnsi="宋体" w:eastAsia="宋体" w:cs="Calibri"/>
      <w:b/>
      <w:bCs/>
      <w:color w:val="000000"/>
      <w:kern w:val="2"/>
      <w:sz w:val="21"/>
      <w:szCs w:val="21"/>
      <w:lang w:val="en-US" w:eastAsia="zh-CN" w:bidi="ar-SA"/>
    </w:rPr>
  </w:style>
  <w:style w:type="character" w:customStyle="1" w:styleId="25">
    <w:name w:val="居中标注 字符"/>
    <w:basedOn w:val="14"/>
    <w:link w:val="24"/>
    <w:qFormat/>
    <w:uiPriority w:val="0"/>
    <w:rPr>
      <w:rFonts w:ascii="宋体" w:hAnsi="宋体" w:eastAsia="宋体" w:cs="Calibri"/>
      <w:b/>
      <w:bCs/>
      <w:color w:val="000000"/>
      <w:szCs w:val="21"/>
    </w:rPr>
  </w:style>
  <w:style w:type="paragraph" w:customStyle="1" w:styleId="26">
    <w:name w:val="列表项目"/>
    <w:next w:val="1"/>
    <w:link w:val="27"/>
    <w:qFormat/>
    <w:uiPriority w:val="0"/>
    <w:pPr>
      <w:numPr>
        <w:ilvl w:val="0"/>
        <w:numId w:val="1"/>
      </w:numPr>
      <w:spacing w:line="300" w:lineRule="auto"/>
    </w:pPr>
    <w:rPr>
      <w:rFonts w:ascii="宋体" w:hAnsi="宋体" w:eastAsia="宋体" w:cs="Calibri"/>
      <w:color w:val="000000"/>
      <w:kern w:val="2"/>
      <w:sz w:val="21"/>
      <w:szCs w:val="21"/>
      <w:lang w:val="en-US" w:eastAsia="zh-CN" w:bidi="ar-SA"/>
    </w:rPr>
  </w:style>
  <w:style w:type="character" w:customStyle="1" w:styleId="27">
    <w:name w:val="列表项目 字符"/>
    <w:basedOn w:val="14"/>
    <w:link w:val="26"/>
    <w:qFormat/>
    <w:uiPriority w:val="0"/>
    <w:rPr>
      <w:rFonts w:ascii="宋体" w:hAnsi="宋体" w:eastAsia="宋体" w:cs="Calibri"/>
      <w:color w:val="000000"/>
      <w:szCs w:val="21"/>
    </w:rPr>
  </w:style>
  <w:style w:type="character" w:customStyle="1" w:styleId="28">
    <w:name w:val="批注文字 字符"/>
    <w:basedOn w:val="14"/>
    <w:link w:val="5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9">
    <w:name w:val="批注主题 字符"/>
    <w:basedOn w:val="28"/>
    <w:link w:val="11"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30">
    <w:name w:val="批注框文本 字符"/>
    <w:basedOn w:val="14"/>
    <w:link w:val="8"/>
    <w:qFormat/>
    <w:uiPriority w:val="99"/>
    <w:rPr>
      <w:rFonts w:ascii="Times New Roman" w:hAnsi="Times New Roman" w:eastAsia="仿宋" w:cs="Times New Roman"/>
      <w:color w:val="000000"/>
      <w:kern w:val="2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2871</Words>
  <Characters>3028</Characters>
  <Lines>26</Lines>
  <Paragraphs>7</Paragraphs>
  <TotalTime>0</TotalTime>
  <ScaleCrop>false</ScaleCrop>
  <LinksUpToDate>false</LinksUpToDate>
  <CharactersWithSpaces>3134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2024-09-05T07:34:00Z</dcterms:created>
  <dc:creator>微软用户</dc:creator>
  <cp:lastModifiedBy>阿钱</cp:lastModifiedBy>
  <dcterms:modified xsi:type="dcterms:W3CDTF">2025-08-16T13:58:37Z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8D0453F141B9491DA681D9D49761485C_13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